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60D" w:rsidRDefault="0062660D">
      <w:pPr>
        <w:autoSpaceDE/>
        <w:autoSpaceDN/>
        <w:adjustRightInd/>
        <w:spacing w:after="0"/>
        <w:jc w:val="left"/>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217805</wp:posOffset>
                </wp:positionH>
                <wp:positionV relativeFrom="paragraph">
                  <wp:posOffset>6682740</wp:posOffset>
                </wp:positionV>
                <wp:extent cx="6542405" cy="189293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189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1FB5" w:rsidRPr="00C62373" w:rsidRDefault="0062660D" w:rsidP="009F0317">
                            <w:pPr>
                              <w:pStyle w:val="Title"/>
                              <w:rPr>
                                <w:sz w:val="72"/>
                                <w:szCs w:val="72"/>
                              </w:rPr>
                            </w:pPr>
                            <w:r w:rsidRPr="00C62373">
                              <w:rPr>
                                <w:sz w:val="72"/>
                                <w:szCs w:val="72"/>
                              </w:rPr>
                              <w:t>Lancashire County Pension Fund</w:t>
                            </w:r>
                          </w:p>
                          <w:p w:rsidR="00B51FB5" w:rsidRPr="00C62373" w:rsidRDefault="0062660D" w:rsidP="009F0317">
                            <w:pPr>
                              <w:pStyle w:val="Title"/>
                              <w:rPr>
                                <w:sz w:val="72"/>
                                <w:szCs w:val="72"/>
                              </w:rPr>
                            </w:pPr>
                            <w:r>
                              <w:rPr>
                                <w:sz w:val="72"/>
                                <w:szCs w:val="72"/>
                              </w:rPr>
                              <w:t>Annual Report</w:t>
                            </w:r>
                          </w:p>
                          <w:p w:rsidR="00B51FB5" w:rsidRPr="00C62373" w:rsidRDefault="0062660D" w:rsidP="009F0317">
                            <w:pPr>
                              <w:pStyle w:val="Title"/>
                              <w:rPr>
                                <w:sz w:val="72"/>
                                <w:szCs w:val="72"/>
                              </w:rPr>
                            </w:pPr>
                            <w:r w:rsidRPr="00C62373">
                              <w:rPr>
                                <w:sz w:val="72"/>
                                <w:szCs w:val="72"/>
                              </w:rPr>
                              <w:t>201</w:t>
                            </w:r>
                            <w:r>
                              <w:rPr>
                                <w:sz w:val="72"/>
                                <w:szCs w:val="72"/>
                              </w:rPr>
                              <w:t>5</w:t>
                            </w:r>
                            <w:r w:rsidRPr="00C62373">
                              <w:rPr>
                                <w:sz w:val="72"/>
                                <w:szCs w:val="72"/>
                              </w:rPr>
                              <w:t>-1</w:t>
                            </w:r>
                            <w:r>
                              <w:rPr>
                                <w:sz w:val="72"/>
                                <w:szCs w:val="72"/>
                              </w:rPr>
                              <w:t>6</w:t>
                            </w:r>
                          </w:p>
                        </w:txbxContent>
                      </wps:txbx>
                      <wps:bodyPr rot="0" vert="horz" wrap="square" anchor="t" anchorCtr="0" upright="1"/>
                    </wps:wsp>
                  </a:graphicData>
                </a:graphic>
              </wp:anchor>
            </w:drawing>
          </mc:Choice>
          <mc:Fallback>
            <w:pict>
              <v:shapetype id="_x0000_t202" coordsize="21600,21600" o:spt="202" path="m,l,21600r21600,l21600,xe">
                <v:stroke joinstyle="miter"/>
                <v:path gradientshapeok="t" o:connecttype="rect"/>
              </v:shapetype>
              <v:shape id="Text Box 4" o:spid="_x0000_s1025" type="#_x0000_t202" style="height:149.05pt;margin-left:17.15pt;margin-top:526.2pt;mso-height-percent:0;mso-height-relative:page;mso-width-percent:0;mso-width-relative:page;mso-wrap-distance-bottom:0;mso-wrap-distance-left:9pt;mso-wrap-distance-right:9pt;mso-wrap-distance-top:0;mso-wrap-style:square;position:absolute;v-text-anchor:top;visibility:visible;width:515.15pt;z-index:251659264" filled="f" stroked="f">
                <v:textbox>
                  <w:txbxContent>
                    <w:p w:rsidR="00B51FB5" w:rsidRPr="00C62373" w:rsidP="009F0317">
                      <w:pPr>
                        <w:pStyle w:val="Title"/>
                        <w:rPr>
                          <w:sz w:val="72"/>
                          <w:szCs w:val="72"/>
                        </w:rPr>
                      </w:pPr>
                      <w:r w:rsidRPr="00C62373">
                        <w:rPr>
                          <w:sz w:val="72"/>
                          <w:szCs w:val="72"/>
                        </w:rPr>
                        <w:t>Lancashire County Pension Fund</w:t>
                      </w:r>
                    </w:p>
                    <w:p w:rsidR="00B51FB5" w:rsidRPr="00C62373" w:rsidP="009F0317">
                      <w:pPr>
                        <w:pStyle w:val="Title"/>
                        <w:rPr>
                          <w:sz w:val="72"/>
                          <w:szCs w:val="72"/>
                        </w:rPr>
                      </w:pPr>
                      <w:r>
                        <w:rPr>
                          <w:sz w:val="72"/>
                          <w:szCs w:val="72"/>
                        </w:rPr>
                        <w:t>Annual Report</w:t>
                      </w:r>
                    </w:p>
                    <w:p w:rsidR="00B51FB5" w:rsidRPr="00C62373" w:rsidP="009F0317">
                      <w:pPr>
                        <w:pStyle w:val="Title"/>
                        <w:rPr>
                          <w:sz w:val="72"/>
                          <w:szCs w:val="72"/>
                        </w:rPr>
                      </w:pPr>
                      <w:r w:rsidRPr="00C62373">
                        <w:rPr>
                          <w:sz w:val="72"/>
                          <w:szCs w:val="72"/>
                        </w:rPr>
                        <w:t>201</w:t>
                      </w:r>
                      <w:r>
                        <w:rPr>
                          <w:sz w:val="72"/>
                          <w:szCs w:val="72"/>
                        </w:rPr>
                        <w:t>5</w:t>
                      </w:r>
                      <w:r w:rsidRPr="00C62373">
                        <w:rPr>
                          <w:sz w:val="72"/>
                          <w:szCs w:val="72"/>
                        </w:rPr>
                        <w:t>-1</w:t>
                      </w:r>
                      <w:r>
                        <w:rPr>
                          <w:sz w:val="72"/>
                          <w:szCs w:val="72"/>
                        </w:rPr>
                        <w:t>6</w:t>
                      </w:r>
                    </w:p>
                  </w:txbxContent>
                </v:textbox>
              </v:shape>
            </w:pict>
          </mc:Fallback>
        </mc:AlternateContent>
      </w:r>
    </w:p>
    <w:p w:rsidR="0062660D" w:rsidRDefault="0062660D" w:rsidP="0062660D"/>
    <w:p w:rsidR="0062660D" w:rsidRPr="0062660D" w:rsidRDefault="0062660D" w:rsidP="0062660D">
      <w:pPr>
        <w:rPr>
          <w:b/>
        </w:rPr>
      </w:pPr>
      <w:r w:rsidRPr="0062660D">
        <w:rPr>
          <w:b/>
        </w:rPr>
        <w:t>Appendix 'A'</w:t>
      </w:r>
    </w:p>
    <w:p w:rsidR="0062660D" w:rsidRDefault="0062660D" w:rsidP="0062660D"/>
    <w:p w:rsidR="00641054" w:rsidRPr="0062660D" w:rsidRDefault="0062660D" w:rsidP="0062660D">
      <w:pPr>
        <w:sectPr w:rsidR="00641054" w:rsidRPr="0062660D" w:rsidSect="00641054">
          <w:headerReference w:type="default" r:id="rId8"/>
          <w:footerReference w:type="default" r:id="rId9"/>
          <w:headerReference w:type="first" r:id="rId10"/>
          <w:pgSz w:w="11900" w:h="16840" w:code="9"/>
          <w:pgMar w:top="720" w:right="720" w:bottom="720" w:left="720" w:header="709" w:footer="709" w:gutter="0"/>
          <w:cols w:space="292"/>
          <w:titlePg/>
          <w:docGrid w:linePitch="326"/>
        </w:sectPr>
      </w:pPr>
      <w:bookmarkStart w:id="0" w:name="_GoBack"/>
      <w:bookmarkEnd w:id="0"/>
    </w:p>
    <w:tbl>
      <w:tblPr>
        <w:tblW w:w="11353" w:type="dxa"/>
        <w:tblInd w:w="250" w:type="dxa"/>
        <w:tblLook w:val="04A0" w:firstRow="1" w:lastRow="0" w:firstColumn="1" w:lastColumn="0" w:noHBand="0" w:noVBand="1"/>
      </w:tblPr>
      <w:tblGrid>
        <w:gridCol w:w="10562"/>
        <w:gridCol w:w="791"/>
      </w:tblGrid>
      <w:tr w:rsidR="006A2C17" w:rsidTr="00C105FB">
        <w:trPr>
          <w:trHeight w:val="454"/>
        </w:trPr>
        <w:tc>
          <w:tcPr>
            <w:tcW w:w="10562" w:type="dxa"/>
            <w:tcBorders>
              <w:top w:val="nil"/>
              <w:left w:val="nil"/>
              <w:bottom w:val="nil"/>
              <w:right w:val="nil"/>
            </w:tcBorders>
            <w:shd w:val="clear" w:color="auto" w:fill="auto"/>
            <w:vAlign w:val="center"/>
          </w:tcPr>
          <w:p w:rsidR="00D104DA" w:rsidRPr="002F17B5" w:rsidRDefault="0062660D" w:rsidP="00100442">
            <w:pPr>
              <w:autoSpaceDE/>
              <w:autoSpaceDN/>
              <w:adjustRightInd/>
              <w:spacing w:after="0"/>
              <w:ind w:left="459"/>
              <w:jc w:val="left"/>
              <w:rPr>
                <w:rFonts w:eastAsia="Times New Roman" w:cs="Arial"/>
                <w:lang w:eastAsia="en-GB"/>
              </w:rPr>
            </w:pPr>
            <w:bookmarkStart w:id="1" w:name="_Toc304199307"/>
          </w:p>
        </w:tc>
        <w:tc>
          <w:tcPr>
            <w:tcW w:w="791" w:type="dxa"/>
            <w:tcBorders>
              <w:top w:val="nil"/>
              <w:left w:val="nil"/>
              <w:bottom w:val="nil"/>
              <w:right w:val="nil"/>
            </w:tcBorders>
            <w:shd w:val="clear" w:color="auto" w:fill="auto"/>
            <w:noWrap/>
            <w:vAlign w:val="center"/>
          </w:tcPr>
          <w:p w:rsidR="00D104DA" w:rsidRPr="00F477E0" w:rsidRDefault="0062660D" w:rsidP="00100442">
            <w:pPr>
              <w:autoSpaceDE/>
              <w:autoSpaceDN/>
              <w:adjustRightInd/>
              <w:spacing w:after="0"/>
              <w:jc w:val="center"/>
              <w:rPr>
                <w:rFonts w:eastAsia="Times New Roman" w:cs="Arial"/>
                <w:color w:val="auto"/>
                <w:lang w:eastAsia="en-GB"/>
              </w:rPr>
            </w:pPr>
          </w:p>
        </w:tc>
      </w:tr>
      <w:tr w:rsidR="006A2C17" w:rsidTr="00C105FB">
        <w:trPr>
          <w:trHeight w:val="454"/>
        </w:trPr>
        <w:tc>
          <w:tcPr>
            <w:tcW w:w="10562" w:type="dxa"/>
            <w:tcBorders>
              <w:top w:val="nil"/>
              <w:left w:val="nil"/>
              <w:bottom w:val="nil"/>
              <w:right w:val="nil"/>
            </w:tcBorders>
            <w:shd w:val="clear" w:color="auto" w:fill="auto"/>
            <w:vAlign w:val="center"/>
          </w:tcPr>
          <w:p w:rsidR="00062886" w:rsidRDefault="0062660D" w:rsidP="00F504EE">
            <w:pPr>
              <w:spacing w:after="0"/>
              <w:rPr>
                <w:b/>
                <w:snapToGrid w:val="0"/>
                <w:sz w:val="28"/>
              </w:rPr>
            </w:pPr>
            <w:r>
              <w:rPr>
                <w:b/>
                <w:snapToGrid w:val="0"/>
                <w:sz w:val="28"/>
              </w:rPr>
              <w:t xml:space="preserve">Lancashire County Pension Fund </w:t>
            </w:r>
          </w:p>
          <w:p w:rsidR="00062886" w:rsidRDefault="0062660D" w:rsidP="00F504EE">
            <w:pPr>
              <w:spacing w:after="0"/>
              <w:rPr>
                <w:b/>
                <w:snapToGrid w:val="0"/>
                <w:sz w:val="28"/>
              </w:rPr>
            </w:pPr>
          </w:p>
          <w:p w:rsidR="00062886" w:rsidRDefault="0062660D" w:rsidP="00F504EE">
            <w:pPr>
              <w:spacing w:after="0"/>
              <w:rPr>
                <w:b/>
                <w:snapToGrid w:val="0"/>
                <w:sz w:val="28"/>
              </w:rPr>
            </w:pPr>
            <w:r>
              <w:rPr>
                <w:b/>
                <w:snapToGrid w:val="0"/>
                <w:sz w:val="28"/>
              </w:rPr>
              <w:t>Annual Report 201</w:t>
            </w:r>
            <w:r>
              <w:rPr>
                <w:b/>
                <w:snapToGrid w:val="0"/>
                <w:sz w:val="28"/>
              </w:rPr>
              <w:t>5</w:t>
            </w:r>
            <w:r>
              <w:rPr>
                <w:b/>
                <w:snapToGrid w:val="0"/>
                <w:sz w:val="28"/>
              </w:rPr>
              <w:t>/1</w:t>
            </w:r>
            <w:r>
              <w:rPr>
                <w:b/>
                <w:snapToGrid w:val="0"/>
                <w:sz w:val="28"/>
              </w:rPr>
              <w:t>6</w:t>
            </w:r>
          </w:p>
          <w:p w:rsidR="00062886" w:rsidRDefault="0062660D" w:rsidP="00F504EE">
            <w:pPr>
              <w:spacing w:after="0"/>
              <w:rPr>
                <w:b/>
                <w:snapToGrid w:val="0"/>
                <w:sz w:val="28"/>
              </w:rPr>
            </w:pPr>
          </w:p>
          <w:p w:rsidR="00062886" w:rsidRDefault="0062660D" w:rsidP="00F504EE">
            <w:pPr>
              <w:spacing w:after="0"/>
              <w:rPr>
                <w:b/>
                <w:snapToGrid w:val="0"/>
                <w:sz w:val="28"/>
              </w:rPr>
            </w:pPr>
            <w:r>
              <w:rPr>
                <w:b/>
                <w:snapToGrid w:val="0"/>
                <w:sz w:val="28"/>
              </w:rPr>
              <w:t>Contents</w:t>
            </w:r>
          </w:p>
          <w:p w:rsidR="00F504EE" w:rsidRDefault="0062660D" w:rsidP="00F504EE">
            <w:pPr>
              <w:spacing w:after="0"/>
              <w:rPr>
                <w:b/>
                <w:snapToGrid w:val="0"/>
                <w:sz w:val="28"/>
              </w:rPr>
            </w:pPr>
          </w:p>
          <w:p w:rsidR="00062886" w:rsidRDefault="0062660D" w:rsidP="00F504EE">
            <w:pPr>
              <w:spacing w:after="0"/>
              <w:rPr>
                <w:b/>
                <w:snapToGrid w:val="0"/>
                <w:sz w:val="28"/>
              </w:rPr>
            </w:pPr>
          </w:p>
          <w:tbl>
            <w:tblPr>
              <w:tblW w:w="0" w:type="auto"/>
              <w:tblLook w:val="04A0" w:firstRow="1" w:lastRow="0" w:firstColumn="1" w:lastColumn="0" w:noHBand="0" w:noVBand="1"/>
            </w:tblPr>
            <w:tblGrid>
              <w:gridCol w:w="1101"/>
              <w:gridCol w:w="6945"/>
              <w:gridCol w:w="1807"/>
            </w:tblGrid>
            <w:tr w:rsidR="006A2C17" w:rsidTr="00062886">
              <w:tc>
                <w:tcPr>
                  <w:tcW w:w="1101" w:type="dxa"/>
                </w:tcPr>
                <w:p w:rsidR="00062886" w:rsidRPr="00EE6828" w:rsidRDefault="0062660D" w:rsidP="00F504EE">
                  <w:pPr>
                    <w:spacing w:after="0"/>
                    <w:rPr>
                      <w:b/>
                      <w:snapToGrid w:val="0"/>
                    </w:rPr>
                  </w:pPr>
                  <w:r w:rsidRPr="00EE6828">
                    <w:rPr>
                      <w:b/>
                      <w:snapToGrid w:val="0"/>
                    </w:rPr>
                    <w:t>Section</w:t>
                  </w:r>
                </w:p>
              </w:tc>
              <w:tc>
                <w:tcPr>
                  <w:tcW w:w="6945" w:type="dxa"/>
                </w:tcPr>
                <w:p w:rsidR="00062886" w:rsidRPr="00EE6828" w:rsidRDefault="0062660D" w:rsidP="00F504EE">
                  <w:pPr>
                    <w:spacing w:after="0"/>
                    <w:jc w:val="center"/>
                    <w:rPr>
                      <w:b/>
                      <w:snapToGrid w:val="0"/>
                    </w:rPr>
                  </w:pPr>
                  <w:r w:rsidRPr="00EE6828">
                    <w:rPr>
                      <w:b/>
                      <w:snapToGrid w:val="0"/>
                    </w:rPr>
                    <w:t>Description</w:t>
                  </w:r>
                </w:p>
              </w:tc>
              <w:tc>
                <w:tcPr>
                  <w:tcW w:w="1807" w:type="dxa"/>
                </w:tcPr>
                <w:p w:rsidR="00062886" w:rsidRPr="00EE6828" w:rsidRDefault="0062660D" w:rsidP="00F504EE">
                  <w:pPr>
                    <w:spacing w:after="0"/>
                    <w:jc w:val="center"/>
                    <w:rPr>
                      <w:b/>
                      <w:snapToGrid w:val="0"/>
                    </w:rPr>
                  </w:pPr>
                  <w:r w:rsidRPr="00EE6828">
                    <w:rPr>
                      <w:b/>
                      <w:snapToGrid w:val="0"/>
                    </w:rPr>
                    <w:t>Page</w:t>
                  </w:r>
                </w:p>
              </w:tc>
            </w:tr>
            <w:tr w:rsidR="006A2C17" w:rsidTr="00062886">
              <w:tc>
                <w:tcPr>
                  <w:tcW w:w="1101" w:type="dxa"/>
                </w:tcPr>
                <w:p w:rsidR="00062886" w:rsidRPr="00D07A93" w:rsidRDefault="0062660D" w:rsidP="00F504EE">
                  <w:pPr>
                    <w:spacing w:after="0"/>
                    <w:rPr>
                      <w:b/>
                      <w:snapToGrid w:val="0"/>
                    </w:rPr>
                  </w:pPr>
                </w:p>
              </w:tc>
              <w:tc>
                <w:tcPr>
                  <w:tcW w:w="6945" w:type="dxa"/>
                </w:tcPr>
                <w:p w:rsidR="00062886" w:rsidRPr="00D07A93" w:rsidRDefault="0062660D" w:rsidP="00F504EE">
                  <w:pPr>
                    <w:spacing w:after="0"/>
                    <w:rPr>
                      <w:b/>
                      <w:snapToGrid w:val="0"/>
                    </w:rPr>
                  </w:pPr>
                </w:p>
              </w:tc>
              <w:tc>
                <w:tcPr>
                  <w:tcW w:w="1807" w:type="dxa"/>
                </w:tcPr>
                <w:p w:rsidR="00062886" w:rsidRPr="00D07A93" w:rsidRDefault="0062660D" w:rsidP="00F504EE">
                  <w:pPr>
                    <w:spacing w:after="0"/>
                    <w:jc w:val="center"/>
                    <w:rPr>
                      <w:b/>
                      <w:snapToGrid w:val="0"/>
                    </w:rPr>
                  </w:pPr>
                </w:p>
              </w:tc>
            </w:tr>
            <w:tr w:rsidR="006A2C17" w:rsidTr="00062886">
              <w:tc>
                <w:tcPr>
                  <w:tcW w:w="1101" w:type="dxa"/>
                </w:tcPr>
                <w:p w:rsidR="00062886" w:rsidRPr="00D07A93" w:rsidRDefault="0062660D" w:rsidP="00F504EE">
                  <w:pPr>
                    <w:spacing w:after="0"/>
                    <w:rPr>
                      <w:b/>
                      <w:snapToGrid w:val="0"/>
                    </w:rPr>
                  </w:pPr>
                  <w:r w:rsidRPr="00D07A93">
                    <w:rPr>
                      <w:b/>
                      <w:snapToGrid w:val="0"/>
                    </w:rPr>
                    <w:t>A</w:t>
                  </w:r>
                </w:p>
              </w:tc>
              <w:tc>
                <w:tcPr>
                  <w:tcW w:w="6945" w:type="dxa"/>
                </w:tcPr>
                <w:p w:rsidR="00062886" w:rsidRPr="00D07A93" w:rsidRDefault="0062660D" w:rsidP="00F504EE">
                  <w:pPr>
                    <w:spacing w:after="0"/>
                    <w:rPr>
                      <w:b/>
                      <w:snapToGrid w:val="0"/>
                    </w:rPr>
                  </w:pPr>
                  <w:r w:rsidRPr="00D07A93">
                    <w:rPr>
                      <w:b/>
                      <w:snapToGrid w:val="0"/>
                    </w:rPr>
                    <w:t>Management Structure</w:t>
                  </w:r>
                </w:p>
              </w:tc>
              <w:tc>
                <w:tcPr>
                  <w:tcW w:w="1807" w:type="dxa"/>
                </w:tcPr>
                <w:p w:rsidR="00062886" w:rsidRPr="00D07A93" w:rsidRDefault="0062660D" w:rsidP="00F504EE">
                  <w:pPr>
                    <w:spacing w:after="0"/>
                    <w:jc w:val="center"/>
                    <w:rPr>
                      <w:b/>
                      <w:snapToGrid w:val="0"/>
                    </w:rPr>
                  </w:pPr>
                  <w:r w:rsidRPr="00D07A93">
                    <w:rPr>
                      <w:b/>
                      <w:snapToGrid w:val="0"/>
                    </w:rPr>
                    <w:t>2</w:t>
                  </w:r>
                </w:p>
              </w:tc>
            </w:tr>
            <w:tr w:rsidR="006A2C17" w:rsidTr="00062886">
              <w:tc>
                <w:tcPr>
                  <w:tcW w:w="1101" w:type="dxa"/>
                </w:tcPr>
                <w:p w:rsidR="00062886" w:rsidRPr="00D07A93" w:rsidRDefault="0062660D" w:rsidP="00F504EE">
                  <w:pPr>
                    <w:spacing w:after="0"/>
                    <w:rPr>
                      <w:b/>
                      <w:snapToGrid w:val="0"/>
                    </w:rPr>
                  </w:pPr>
                </w:p>
              </w:tc>
              <w:tc>
                <w:tcPr>
                  <w:tcW w:w="6945" w:type="dxa"/>
                </w:tcPr>
                <w:p w:rsidR="00062886" w:rsidRPr="00D07A93" w:rsidRDefault="0062660D" w:rsidP="00F504EE">
                  <w:pPr>
                    <w:spacing w:after="0"/>
                    <w:rPr>
                      <w:b/>
                      <w:snapToGrid w:val="0"/>
                    </w:rPr>
                  </w:pPr>
                </w:p>
              </w:tc>
              <w:tc>
                <w:tcPr>
                  <w:tcW w:w="1807" w:type="dxa"/>
                </w:tcPr>
                <w:p w:rsidR="00062886" w:rsidRPr="00D07A93" w:rsidRDefault="0062660D" w:rsidP="00F504EE">
                  <w:pPr>
                    <w:spacing w:after="0"/>
                    <w:jc w:val="center"/>
                    <w:rPr>
                      <w:b/>
                      <w:snapToGrid w:val="0"/>
                    </w:rPr>
                  </w:pPr>
                </w:p>
              </w:tc>
            </w:tr>
            <w:tr w:rsidR="006A2C17" w:rsidTr="00062886">
              <w:tc>
                <w:tcPr>
                  <w:tcW w:w="1101" w:type="dxa"/>
                </w:tcPr>
                <w:p w:rsidR="00062886" w:rsidRPr="00D07A93" w:rsidRDefault="0062660D" w:rsidP="00F504EE">
                  <w:pPr>
                    <w:spacing w:after="0"/>
                    <w:rPr>
                      <w:b/>
                      <w:snapToGrid w:val="0"/>
                    </w:rPr>
                  </w:pPr>
                  <w:r w:rsidRPr="00D07A93">
                    <w:rPr>
                      <w:b/>
                      <w:snapToGrid w:val="0"/>
                    </w:rPr>
                    <w:t>B</w:t>
                  </w:r>
                </w:p>
              </w:tc>
              <w:tc>
                <w:tcPr>
                  <w:tcW w:w="6945" w:type="dxa"/>
                </w:tcPr>
                <w:p w:rsidR="00062886" w:rsidRPr="00D07A93" w:rsidRDefault="0062660D" w:rsidP="00F504EE">
                  <w:pPr>
                    <w:spacing w:after="0"/>
                    <w:rPr>
                      <w:b/>
                      <w:snapToGrid w:val="0"/>
                    </w:rPr>
                  </w:pPr>
                  <w:r w:rsidRPr="00D07A93">
                    <w:rPr>
                      <w:b/>
                      <w:snapToGrid w:val="0"/>
                    </w:rPr>
                    <w:t xml:space="preserve">Foreword by the Chair of the Pension Fund Committee </w:t>
                  </w:r>
                </w:p>
              </w:tc>
              <w:tc>
                <w:tcPr>
                  <w:tcW w:w="1807" w:type="dxa"/>
                </w:tcPr>
                <w:p w:rsidR="00062886" w:rsidRPr="00D07A93" w:rsidRDefault="0062660D" w:rsidP="00F504EE">
                  <w:pPr>
                    <w:spacing w:after="0"/>
                    <w:jc w:val="center"/>
                    <w:rPr>
                      <w:b/>
                      <w:snapToGrid w:val="0"/>
                    </w:rPr>
                  </w:pPr>
                  <w:r w:rsidRPr="00D07A93">
                    <w:rPr>
                      <w:b/>
                      <w:snapToGrid w:val="0"/>
                    </w:rPr>
                    <w:t>4</w:t>
                  </w:r>
                </w:p>
              </w:tc>
            </w:tr>
            <w:tr w:rsidR="006A2C17" w:rsidTr="00062886">
              <w:tc>
                <w:tcPr>
                  <w:tcW w:w="1101" w:type="dxa"/>
                </w:tcPr>
                <w:p w:rsidR="00062886" w:rsidRPr="00D07A93" w:rsidRDefault="0062660D" w:rsidP="00F504EE">
                  <w:pPr>
                    <w:spacing w:after="0"/>
                    <w:rPr>
                      <w:b/>
                      <w:snapToGrid w:val="0"/>
                    </w:rPr>
                  </w:pPr>
                </w:p>
              </w:tc>
              <w:tc>
                <w:tcPr>
                  <w:tcW w:w="6945" w:type="dxa"/>
                </w:tcPr>
                <w:p w:rsidR="00062886" w:rsidRPr="00D07A93" w:rsidRDefault="0062660D" w:rsidP="00F504EE">
                  <w:pPr>
                    <w:spacing w:after="0"/>
                    <w:rPr>
                      <w:b/>
                      <w:snapToGrid w:val="0"/>
                    </w:rPr>
                  </w:pPr>
                </w:p>
              </w:tc>
              <w:tc>
                <w:tcPr>
                  <w:tcW w:w="1807" w:type="dxa"/>
                </w:tcPr>
                <w:p w:rsidR="00062886" w:rsidRPr="00D07A93" w:rsidRDefault="0062660D" w:rsidP="00F504EE">
                  <w:pPr>
                    <w:spacing w:after="0"/>
                    <w:jc w:val="center"/>
                    <w:rPr>
                      <w:b/>
                      <w:snapToGrid w:val="0"/>
                    </w:rPr>
                  </w:pPr>
                </w:p>
              </w:tc>
            </w:tr>
            <w:tr w:rsidR="006A2C17" w:rsidTr="00062886">
              <w:tc>
                <w:tcPr>
                  <w:tcW w:w="1101" w:type="dxa"/>
                </w:tcPr>
                <w:p w:rsidR="00062886" w:rsidRPr="00D07A93" w:rsidRDefault="0062660D" w:rsidP="00F504EE">
                  <w:pPr>
                    <w:spacing w:after="0"/>
                    <w:rPr>
                      <w:b/>
                      <w:snapToGrid w:val="0"/>
                    </w:rPr>
                  </w:pPr>
                  <w:r w:rsidRPr="00D07A93">
                    <w:rPr>
                      <w:b/>
                      <w:snapToGrid w:val="0"/>
                    </w:rPr>
                    <w:t>C</w:t>
                  </w:r>
                </w:p>
              </w:tc>
              <w:tc>
                <w:tcPr>
                  <w:tcW w:w="6945" w:type="dxa"/>
                </w:tcPr>
                <w:p w:rsidR="00062886" w:rsidRPr="00D07A93" w:rsidRDefault="0062660D" w:rsidP="00F504EE">
                  <w:pPr>
                    <w:spacing w:after="0"/>
                    <w:rPr>
                      <w:b/>
                      <w:snapToGrid w:val="0"/>
                    </w:rPr>
                  </w:pPr>
                  <w:r w:rsidRPr="00D07A93">
                    <w:rPr>
                      <w:b/>
                      <w:snapToGrid w:val="0"/>
                    </w:rPr>
                    <w:t>Governance of the Fund</w:t>
                  </w:r>
                </w:p>
              </w:tc>
              <w:tc>
                <w:tcPr>
                  <w:tcW w:w="1807" w:type="dxa"/>
                </w:tcPr>
                <w:p w:rsidR="00062886" w:rsidRPr="00D07A93" w:rsidRDefault="0062660D" w:rsidP="00F504EE">
                  <w:pPr>
                    <w:spacing w:after="0"/>
                    <w:jc w:val="center"/>
                    <w:rPr>
                      <w:b/>
                      <w:snapToGrid w:val="0"/>
                    </w:rPr>
                  </w:pPr>
                  <w:r w:rsidRPr="00D07A93">
                    <w:rPr>
                      <w:b/>
                      <w:snapToGrid w:val="0"/>
                    </w:rPr>
                    <w:t>6</w:t>
                  </w:r>
                </w:p>
              </w:tc>
            </w:tr>
            <w:tr w:rsidR="006A2C17" w:rsidTr="00062886">
              <w:tc>
                <w:tcPr>
                  <w:tcW w:w="1101" w:type="dxa"/>
                </w:tcPr>
                <w:p w:rsidR="00062886" w:rsidRPr="00D07A93" w:rsidRDefault="0062660D" w:rsidP="00F504EE">
                  <w:pPr>
                    <w:spacing w:after="0"/>
                    <w:rPr>
                      <w:b/>
                      <w:snapToGrid w:val="0"/>
                    </w:rPr>
                  </w:pPr>
                </w:p>
              </w:tc>
              <w:tc>
                <w:tcPr>
                  <w:tcW w:w="6945" w:type="dxa"/>
                </w:tcPr>
                <w:p w:rsidR="00062886" w:rsidRPr="00D07A93" w:rsidRDefault="0062660D" w:rsidP="00F504EE">
                  <w:pPr>
                    <w:spacing w:after="0"/>
                    <w:rPr>
                      <w:b/>
                      <w:snapToGrid w:val="0"/>
                    </w:rPr>
                  </w:pPr>
                </w:p>
              </w:tc>
              <w:tc>
                <w:tcPr>
                  <w:tcW w:w="1807" w:type="dxa"/>
                </w:tcPr>
                <w:p w:rsidR="00062886" w:rsidRPr="00D07A93" w:rsidRDefault="0062660D" w:rsidP="00F504EE">
                  <w:pPr>
                    <w:spacing w:after="0"/>
                    <w:jc w:val="center"/>
                    <w:rPr>
                      <w:b/>
                      <w:snapToGrid w:val="0"/>
                    </w:rPr>
                  </w:pPr>
                </w:p>
              </w:tc>
            </w:tr>
            <w:tr w:rsidR="006A2C17" w:rsidTr="00062886">
              <w:tc>
                <w:tcPr>
                  <w:tcW w:w="1101" w:type="dxa"/>
                </w:tcPr>
                <w:p w:rsidR="00062886" w:rsidRPr="00D07A93" w:rsidRDefault="0062660D" w:rsidP="00F504EE">
                  <w:pPr>
                    <w:spacing w:after="0"/>
                    <w:rPr>
                      <w:b/>
                      <w:snapToGrid w:val="0"/>
                    </w:rPr>
                  </w:pPr>
                  <w:r w:rsidRPr="00D07A93">
                    <w:rPr>
                      <w:b/>
                      <w:snapToGrid w:val="0"/>
                    </w:rPr>
                    <w:t>D</w:t>
                  </w:r>
                </w:p>
              </w:tc>
              <w:tc>
                <w:tcPr>
                  <w:tcW w:w="6945" w:type="dxa"/>
                </w:tcPr>
                <w:p w:rsidR="00062886" w:rsidRPr="00D07A93" w:rsidRDefault="0062660D" w:rsidP="00F504EE">
                  <w:pPr>
                    <w:spacing w:after="0"/>
                    <w:rPr>
                      <w:b/>
                      <w:snapToGrid w:val="0"/>
                    </w:rPr>
                  </w:pPr>
                  <w:r w:rsidRPr="00D07A93">
                    <w:rPr>
                      <w:b/>
                      <w:snapToGrid w:val="0"/>
                    </w:rPr>
                    <w:t xml:space="preserve">Administration of the </w:t>
                  </w:r>
                  <w:r w:rsidRPr="00D07A93">
                    <w:rPr>
                      <w:b/>
                      <w:snapToGrid w:val="0"/>
                    </w:rPr>
                    <w:t>Fund</w:t>
                  </w:r>
                </w:p>
              </w:tc>
              <w:tc>
                <w:tcPr>
                  <w:tcW w:w="1807" w:type="dxa"/>
                </w:tcPr>
                <w:p w:rsidR="00062886" w:rsidRPr="00D07A93" w:rsidRDefault="0062660D" w:rsidP="00F504EE">
                  <w:pPr>
                    <w:spacing w:after="0"/>
                    <w:jc w:val="center"/>
                    <w:rPr>
                      <w:b/>
                      <w:snapToGrid w:val="0"/>
                    </w:rPr>
                  </w:pPr>
                  <w:r w:rsidRPr="00D07A93">
                    <w:rPr>
                      <w:b/>
                      <w:snapToGrid w:val="0"/>
                    </w:rPr>
                    <w:t>10</w:t>
                  </w:r>
                </w:p>
              </w:tc>
            </w:tr>
            <w:tr w:rsidR="006A2C17" w:rsidTr="00062886">
              <w:tc>
                <w:tcPr>
                  <w:tcW w:w="1101" w:type="dxa"/>
                </w:tcPr>
                <w:p w:rsidR="00062886" w:rsidRPr="00D07A93" w:rsidRDefault="0062660D" w:rsidP="00F504EE">
                  <w:pPr>
                    <w:spacing w:after="0"/>
                    <w:rPr>
                      <w:b/>
                      <w:snapToGrid w:val="0"/>
                    </w:rPr>
                  </w:pPr>
                </w:p>
              </w:tc>
              <w:tc>
                <w:tcPr>
                  <w:tcW w:w="6945" w:type="dxa"/>
                </w:tcPr>
                <w:p w:rsidR="00062886" w:rsidRPr="00D07A93" w:rsidRDefault="0062660D" w:rsidP="00F504EE">
                  <w:pPr>
                    <w:spacing w:after="0"/>
                    <w:rPr>
                      <w:b/>
                      <w:snapToGrid w:val="0"/>
                    </w:rPr>
                  </w:pPr>
                </w:p>
              </w:tc>
              <w:tc>
                <w:tcPr>
                  <w:tcW w:w="1807" w:type="dxa"/>
                </w:tcPr>
                <w:p w:rsidR="00062886" w:rsidRPr="00D07A93" w:rsidRDefault="0062660D" w:rsidP="00F504EE">
                  <w:pPr>
                    <w:spacing w:after="0"/>
                    <w:jc w:val="center"/>
                    <w:rPr>
                      <w:b/>
                      <w:snapToGrid w:val="0"/>
                    </w:rPr>
                  </w:pPr>
                </w:p>
              </w:tc>
            </w:tr>
            <w:tr w:rsidR="006A2C17" w:rsidTr="00062886">
              <w:tc>
                <w:tcPr>
                  <w:tcW w:w="1101" w:type="dxa"/>
                </w:tcPr>
                <w:p w:rsidR="00062886" w:rsidRPr="00D07A93" w:rsidRDefault="0062660D" w:rsidP="00F504EE">
                  <w:pPr>
                    <w:spacing w:after="0"/>
                    <w:rPr>
                      <w:b/>
                      <w:snapToGrid w:val="0"/>
                    </w:rPr>
                  </w:pPr>
                  <w:r w:rsidRPr="00D07A93">
                    <w:rPr>
                      <w:b/>
                      <w:snapToGrid w:val="0"/>
                    </w:rPr>
                    <w:t>E</w:t>
                  </w:r>
                </w:p>
              </w:tc>
              <w:tc>
                <w:tcPr>
                  <w:tcW w:w="6945" w:type="dxa"/>
                </w:tcPr>
                <w:p w:rsidR="00062886" w:rsidRPr="00D07A93" w:rsidRDefault="0062660D" w:rsidP="00F504EE">
                  <w:pPr>
                    <w:spacing w:after="0"/>
                    <w:rPr>
                      <w:b/>
                      <w:snapToGrid w:val="0"/>
                    </w:rPr>
                  </w:pPr>
                  <w:r w:rsidRPr="00D07A93">
                    <w:rPr>
                      <w:b/>
                      <w:snapToGrid w:val="0"/>
                    </w:rPr>
                    <w:t>Knowledge and Skills Framework</w:t>
                  </w:r>
                </w:p>
              </w:tc>
              <w:tc>
                <w:tcPr>
                  <w:tcW w:w="1807" w:type="dxa"/>
                </w:tcPr>
                <w:p w:rsidR="00062886" w:rsidRPr="00D07A93" w:rsidRDefault="0062660D" w:rsidP="00B05592">
                  <w:pPr>
                    <w:spacing w:after="0"/>
                    <w:jc w:val="center"/>
                    <w:rPr>
                      <w:b/>
                      <w:snapToGrid w:val="0"/>
                    </w:rPr>
                  </w:pPr>
                  <w:r w:rsidRPr="00D07A93">
                    <w:rPr>
                      <w:b/>
                      <w:snapToGrid w:val="0"/>
                    </w:rPr>
                    <w:t>1</w:t>
                  </w:r>
                  <w:r w:rsidRPr="00D07A93">
                    <w:rPr>
                      <w:b/>
                      <w:snapToGrid w:val="0"/>
                    </w:rPr>
                    <w:t>5</w:t>
                  </w:r>
                </w:p>
              </w:tc>
            </w:tr>
            <w:tr w:rsidR="006A2C17" w:rsidTr="00062886">
              <w:tc>
                <w:tcPr>
                  <w:tcW w:w="1101" w:type="dxa"/>
                </w:tcPr>
                <w:p w:rsidR="00062886" w:rsidRPr="00D07A93" w:rsidRDefault="0062660D" w:rsidP="00F504EE">
                  <w:pPr>
                    <w:spacing w:after="0"/>
                    <w:rPr>
                      <w:b/>
                      <w:snapToGrid w:val="0"/>
                    </w:rPr>
                  </w:pPr>
                </w:p>
              </w:tc>
              <w:tc>
                <w:tcPr>
                  <w:tcW w:w="6945" w:type="dxa"/>
                </w:tcPr>
                <w:p w:rsidR="00062886" w:rsidRPr="00D07A93" w:rsidRDefault="0062660D" w:rsidP="00F504EE">
                  <w:pPr>
                    <w:spacing w:after="0"/>
                    <w:rPr>
                      <w:b/>
                      <w:snapToGrid w:val="0"/>
                    </w:rPr>
                  </w:pPr>
                </w:p>
              </w:tc>
              <w:tc>
                <w:tcPr>
                  <w:tcW w:w="1807" w:type="dxa"/>
                </w:tcPr>
                <w:p w:rsidR="00062886" w:rsidRPr="00D07A93" w:rsidRDefault="0062660D" w:rsidP="00F504EE">
                  <w:pPr>
                    <w:spacing w:after="0"/>
                    <w:jc w:val="center"/>
                    <w:rPr>
                      <w:b/>
                      <w:snapToGrid w:val="0"/>
                    </w:rPr>
                  </w:pPr>
                </w:p>
              </w:tc>
            </w:tr>
            <w:tr w:rsidR="006A2C17" w:rsidTr="00062886">
              <w:tc>
                <w:tcPr>
                  <w:tcW w:w="1101" w:type="dxa"/>
                </w:tcPr>
                <w:p w:rsidR="00062886" w:rsidRPr="00D07A93" w:rsidRDefault="0062660D" w:rsidP="00F504EE">
                  <w:pPr>
                    <w:spacing w:after="0"/>
                    <w:rPr>
                      <w:b/>
                      <w:snapToGrid w:val="0"/>
                    </w:rPr>
                  </w:pPr>
                  <w:r w:rsidRPr="00D07A93">
                    <w:rPr>
                      <w:b/>
                      <w:snapToGrid w:val="0"/>
                    </w:rPr>
                    <w:t>F</w:t>
                  </w:r>
                </w:p>
              </w:tc>
              <w:tc>
                <w:tcPr>
                  <w:tcW w:w="6945" w:type="dxa"/>
                </w:tcPr>
                <w:p w:rsidR="00062886" w:rsidRPr="00D07A93" w:rsidRDefault="0062660D" w:rsidP="00F504EE">
                  <w:pPr>
                    <w:spacing w:after="0"/>
                    <w:rPr>
                      <w:b/>
                      <w:snapToGrid w:val="0"/>
                    </w:rPr>
                  </w:pPr>
                  <w:r w:rsidRPr="00D07A93">
                    <w:rPr>
                      <w:b/>
                      <w:snapToGrid w:val="0"/>
                    </w:rPr>
                    <w:t>Investment Policy and Performance</w:t>
                  </w:r>
                </w:p>
              </w:tc>
              <w:tc>
                <w:tcPr>
                  <w:tcW w:w="1807" w:type="dxa"/>
                </w:tcPr>
                <w:p w:rsidR="00062886" w:rsidRPr="00D07A93" w:rsidRDefault="0062660D" w:rsidP="00B05592">
                  <w:pPr>
                    <w:spacing w:after="0"/>
                    <w:jc w:val="center"/>
                    <w:rPr>
                      <w:b/>
                      <w:snapToGrid w:val="0"/>
                    </w:rPr>
                  </w:pPr>
                  <w:r w:rsidRPr="00D07A93">
                    <w:rPr>
                      <w:b/>
                      <w:snapToGrid w:val="0"/>
                    </w:rPr>
                    <w:t>1</w:t>
                  </w:r>
                  <w:r w:rsidRPr="00D07A93">
                    <w:rPr>
                      <w:b/>
                      <w:snapToGrid w:val="0"/>
                    </w:rPr>
                    <w:t>8</w:t>
                  </w:r>
                </w:p>
              </w:tc>
            </w:tr>
            <w:tr w:rsidR="006A2C17" w:rsidTr="00062886">
              <w:tc>
                <w:tcPr>
                  <w:tcW w:w="1101" w:type="dxa"/>
                </w:tcPr>
                <w:p w:rsidR="00062886" w:rsidRPr="00D07A93" w:rsidRDefault="0062660D" w:rsidP="00F504EE">
                  <w:pPr>
                    <w:spacing w:after="0"/>
                    <w:rPr>
                      <w:b/>
                      <w:snapToGrid w:val="0"/>
                    </w:rPr>
                  </w:pPr>
                </w:p>
              </w:tc>
              <w:tc>
                <w:tcPr>
                  <w:tcW w:w="6945" w:type="dxa"/>
                </w:tcPr>
                <w:p w:rsidR="00062886" w:rsidRPr="00D07A93" w:rsidRDefault="0062660D" w:rsidP="00F504EE">
                  <w:pPr>
                    <w:spacing w:after="0"/>
                    <w:rPr>
                      <w:b/>
                      <w:snapToGrid w:val="0"/>
                    </w:rPr>
                  </w:pPr>
                </w:p>
              </w:tc>
              <w:tc>
                <w:tcPr>
                  <w:tcW w:w="1807" w:type="dxa"/>
                </w:tcPr>
                <w:p w:rsidR="00062886" w:rsidRPr="00D07A93" w:rsidRDefault="0062660D" w:rsidP="00F504EE">
                  <w:pPr>
                    <w:spacing w:after="0"/>
                    <w:jc w:val="center"/>
                    <w:rPr>
                      <w:b/>
                      <w:snapToGrid w:val="0"/>
                    </w:rPr>
                  </w:pPr>
                </w:p>
              </w:tc>
            </w:tr>
            <w:tr w:rsidR="006A2C17" w:rsidTr="00062886">
              <w:tc>
                <w:tcPr>
                  <w:tcW w:w="1101" w:type="dxa"/>
                </w:tcPr>
                <w:p w:rsidR="00062886" w:rsidRPr="00D07A93" w:rsidRDefault="0062660D" w:rsidP="00F504EE">
                  <w:pPr>
                    <w:spacing w:after="0"/>
                    <w:rPr>
                      <w:b/>
                      <w:snapToGrid w:val="0"/>
                    </w:rPr>
                  </w:pPr>
                  <w:r w:rsidRPr="00D07A93">
                    <w:rPr>
                      <w:b/>
                      <w:snapToGrid w:val="0"/>
                    </w:rPr>
                    <w:t>G</w:t>
                  </w:r>
                </w:p>
              </w:tc>
              <w:tc>
                <w:tcPr>
                  <w:tcW w:w="6945" w:type="dxa"/>
                </w:tcPr>
                <w:p w:rsidR="00062886" w:rsidRPr="00D07A93" w:rsidRDefault="0062660D" w:rsidP="00F504EE">
                  <w:pPr>
                    <w:spacing w:after="0"/>
                    <w:rPr>
                      <w:b/>
                      <w:snapToGrid w:val="0"/>
                    </w:rPr>
                  </w:pPr>
                  <w:r w:rsidRPr="00D07A93">
                    <w:rPr>
                      <w:b/>
                      <w:snapToGrid w:val="0"/>
                    </w:rPr>
                    <w:t>Accounts of the Fund</w:t>
                  </w:r>
                </w:p>
              </w:tc>
              <w:tc>
                <w:tcPr>
                  <w:tcW w:w="1807" w:type="dxa"/>
                </w:tcPr>
                <w:p w:rsidR="00062886" w:rsidRPr="00D07A93" w:rsidRDefault="0062660D" w:rsidP="0055171A">
                  <w:pPr>
                    <w:spacing w:after="0"/>
                    <w:jc w:val="center"/>
                    <w:rPr>
                      <w:b/>
                      <w:snapToGrid w:val="0"/>
                    </w:rPr>
                  </w:pPr>
                  <w:r w:rsidRPr="00D07A93">
                    <w:rPr>
                      <w:b/>
                      <w:snapToGrid w:val="0"/>
                    </w:rPr>
                    <w:t>33</w:t>
                  </w:r>
                </w:p>
              </w:tc>
            </w:tr>
            <w:tr w:rsidR="006A2C17" w:rsidTr="00062886">
              <w:tc>
                <w:tcPr>
                  <w:tcW w:w="1101" w:type="dxa"/>
                </w:tcPr>
                <w:p w:rsidR="00062886" w:rsidRPr="00D07A93" w:rsidRDefault="0062660D" w:rsidP="00F504EE">
                  <w:pPr>
                    <w:spacing w:after="0"/>
                    <w:rPr>
                      <w:b/>
                      <w:snapToGrid w:val="0"/>
                    </w:rPr>
                  </w:pPr>
                </w:p>
              </w:tc>
              <w:tc>
                <w:tcPr>
                  <w:tcW w:w="6945" w:type="dxa"/>
                </w:tcPr>
                <w:p w:rsidR="00062886" w:rsidRPr="00D07A93" w:rsidRDefault="0062660D" w:rsidP="00F504EE">
                  <w:pPr>
                    <w:spacing w:after="0"/>
                    <w:rPr>
                      <w:b/>
                      <w:snapToGrid w:val="0"/>
                    </w:rPr>
                  </w:pPr>
                </w:p>
              </w:tc>
              <w:tc>
                <w:tcPr>
                  <w:tcW w:w="1807" w:type="dxa"/>
                </w:tcPr>
                <w:p w:rsidR="00062886" w:rsidRPr="00D07A93" w:rsidRDefault="0062660D" w:rsidP="00F504EE">
                  <w:pPr>
                    <w:spacing w:after="0"/>
                    <w:jc w:val="center"/>
                    <w:rPr>
                      <w:b/>
                      <w:snapToGrid w:val="0"/>
                    </w:rPr>
                  </w:pPr>
                </w:p>
              </w:tc>
            </w:tr>
            <w:tr w:rsidR="006A2C17" w:rsidTr="00062886">
              <w:tc>
                <w:tcPr>
                  <w:tcW w:w="1101" w:type="dxa"/>
                </w:tcPr>
                <w:p w:rsidR="00CC57F6" w:rsidRPr="00D07A93" w:rsidRDefault="0062660D" w:rsidP="00F504EE">
                  <w:pPr>
                    <w:spacing w:after="0"/>
                    <w:rPr>
                      <w:b/>
                      <w:snapToGrid w:val="0"/>
                    </w:rPr>
                  </w:pPr>
                  <w:r w:rsidRPr="00D07A93">
                    <w:rPr>
                      <w:b/>
                      <w:snapToGrid w:val="0"/>
                    </w:rPr>
                    <w:t>H</w:t>
                  </w:r>
                </w:p>
              </w:tc>
              <w:tc>
                <w:tcPr>
                  <w:tcW w:w="6945" w:type="dxa"/>
                </w:tcPr>
                <w:p w:rsidR="00CC57F6" w:rsidRPr="00D07A93" w:rsidRDefault="0062660D" w:rsidP="0046339F">
                  <w:pPr>
                    <w:spacing w:after="0"/>
                    <w:rPr>
                      <w:b/>
                      <w:snapToGrid w:val="0"/>
                    </w:rPr>
                  </w:pPr>
                  <w:r w:rsidRPr="00D07A93">
                    <w:rPr>
                      <w:b/>
                      <w:snapToGrid w:val="0"/>
                    </w:rPr>
                    <w:t xml:space="preserve">Lancashire Local Pension Board Annual Report </w:t>
                  </w:r>
                </w:p>
              </w:tc>
              <w:tc>
                <w:tcPr>
                  <w:tcW w:w="1807" w:type="dxa"/>
                </w:tcPr>
                <w:p w:rsidR="00CC57F6" w:rsidRPr="00D07A93" w:rsidRDefault="0062660D" w:rsidP="00F504EE">
                  <w:pPr>
                    <w:spacing w:after="0"/>
                    <w:jc w:val="center"/>
                    <w:rPr>
                      <w:b/>
                      <w:snapToGrid w:val="0"/>
                    </w:rPr>
                  </w:pPr>
                  <w:r w:rsidRPr="00D07A93">
                    <w:rPr>
                      <w:b/>
                      <w:snapToGrid w:val="0"/>
                    </w:rPr>
                    <w:t>83</w:t>
                  </w:r>
                </w:p>
              </w:tc>
            </w:tr>
            <w:tr w:rsidR="006A2C17" w:rsidTr="00062886">
              <w:tc>
                <w:tcPr>
                  <w:tcW w:w="1101" w:type="dxa"/>
                </w:tcPr>
                <w:p w:rsidR="00CC57F6" w:rsidRPr="00D07A93" w:rsidRDefault="0062660D" w:rsidP="00F504EE">
                  <w:pPr>
                    <w:spacing w:after="0"/>
                    <w:rPr>
                      <w:b/>
                      <w:snapToGrid w:val="0"/>
                    </w:rPr>
                  </w:pPr>
                </w:p>
              </w:tc>
              <w:tc>
                <w:tcPr>
                  <w:tcW w:w="6945" w:type="dxa"/>
                </w:tcPr>
                <w:p w:rsidR="00CC57F6" w:rsidRPr="00D07A93" w:rsidRDefault="0062660D" w:rsidP="00F504EE">
                  <w:pPr>
                    <w:spacing w:after="0"/>
                    <w:rPr>
                      <w:b/>
                      <w:snapToGrid w:val="0"/>
                    </w:rPr>
                  </w:pPr>
                </w:p>
              </w:tc>
              <w:tc>
                <w:tcPr>
                  <w:tcW w:w="1807" w:type="dxa"/>
                </w:tcPr>
                <w:p w:rsidR="00CC57F6" w:rsidRPr="00D07A93" w:rsidRDefault="0062660D" w:rsidP="00F504EE">
                  <w:pPr>
                    <w:spacing w:after="0"/>
                    <w:jc w:val="center"/>
                    <w:rPr>
                      <w:b/>
                      <w:snapToGrid w:val="0"/>
                    </w:rPr>
                  </w:pPr>
                </w:p>
              </w:tc>
            </w:tr>
            <w:tr w:rsidR="006A2C17" w:rsidTr="00062886">
              <w:tc>
                <w:tcPr>
                  <w:tcW w:w="1101" w:type="dxa"/>
                </w:tcPr>
                <w:p w:rsidR="00062886" w:rsidRPr="00D07A93" w:rsidRDefault="0062660D" w:rsidP="00F504EE">
                  <w:pPr>
                    <w:spacing w:after="0"/>
                    <w:rPr>
                      <w:b/>
                      <w:snapToGrid w:val="0"/>
                    </w:rPr>
                  </w:pPr>
                  <w:r w:rsidRPr="00D07A93">
                    <w:rPr>
                      <w:b/>
                      <w:snapToGrid w:val="0"/>
                    </w:rPr>
                    <w:t>I</w:t>
                  </w:r>
                </w:p>
              </w:tc>
              <w:tc>
                <w:tcPr>
                  <w:tcW w:w="6945" w:type="dxa"/>
                </w:tcPr>
                <w:p w:rsidR="00062886" w:rsidRPr="00D07A93" w:rsidRDefault="0062660D" w:rsidP="00F504EE">
                  <w:pPr>
                    <w:spacing w:after="0"/>
                    <w:rPr>
                      <w:b/>
                      <w:snapToGrid w:val="0"/>
                    </w:rPr>
                  </w:pPr>
                  <w:r w:rsidRPr="00D07A93">
                    <w:rPr>
                      <w:b/>
                      <w:snapToGrid w:val="0"/>
                    </w:rPr>
                    <w:t>Actuarial Valuation</w:t>
                  </w:r>
                </w:p>
              </w:tc>
              <w:tc>
                <w:tcPr>
                  <w:tcW w:w="1807" w:type="dxa"/>
                </w:tcPr>
                <w:p w:rsidR="00062886" w:rsidRPr="00D07A93" w:rsidRDefault="0062660D" w:rsidP="00F504EE">
                  <w:pPr>
                    <w:spacing w:after="0"/>
                    <w:jc w:val="center"/>
                    <w:rPr>
                      <w:b/>
                      <w:snapToGrid w:val="0"/>
                    </w:rPr>
                  </w:pPr>
                  <w:r w:rsidRPr="00D07A93">
                    <w:rPr>
                      <w:b/>
                      <w:snapToGrid w:val="0"/>
                    </w:rPr>
                    <w:t>86</w:t>
                  </w:r>
                </w:p>
                <w:p w:rsidR="00F504EE" w:rsidRPr="00D07A93" w:rsidRDefault="0062660D" w:rsidP="00F504EE">
                  <w:pPr>
                    <w:spacing w:after="0"/>
                    <w:jc w:val="center"/>
                    <w:rPr>
                      <w:b/>
                      <w:snapToGrid w:val="0"/>
                    </w:rPr>
                  </w:pPr>
                </w:p>
              </w:tc>
            </w:tr>
            <w:tr w:rsidR="006A2C17" w:rsidTr="00062886">
              <w:tc>
                <w:tcPr>
                  <w:tcW w:w="1101" w:type="dxa"/>
                </w:tcPr>
                <w:p w:rsidR="00062886" w:rsidRPr="00D07A93" w:rsidRDefault="0062660D" w:rsidP="00F504EE">
                  <w:pPr>
                    <w:spacing w:after="0"/>
                    <w:rPr>
                      <w:b/>
                      <w:snapToGrid w:val="0"/>
                    </w:rPr>
                  </w:pPr>
                  <w:r w:rsidRPr="00D07A93">
                    <w:rPr>
                      <w:b/>
                      <w:snapToGrid w:val="0"/>
                    </w:rPr>
                    <w:t>J</w:t>
                  </w:r>
                </w:p>
              </w:tc>
              <w:tc>
                <w:tcPr>
                  <w:tcW w:w="6945" w:type="dxa"/>
                </w:tcPr>
                <w:p w:rsidR="00062886" w:rsidRPr="00D07A93" w:rsidRDefault="0062660D" w:rsidP="00F504EE">
                  <w:pPr>
                    <w:spacing w:after="0"/>
                    <w:rPr>
                      <w:b/>
                      <w:snapToGrid w:val="0"/>
                    </w:rPr>
                  </w:pPr>
                  <w:r w:rsidRPr="00D07A93">
                    <w:rPr>
                      <w:b/>
                      <w:snapToGrid w:val="0"/>
                    </w:rPr>
                    <w:t>Contacts</w:t>
                  </w:r>
                </w:p>
              </w:tc>
              <w:tc>
                <w:tcPr>
                  <w:tcW w:w="1807" w:type="dxa"/>
                </w:tcPr>
                <w:p w:rsidR="00062886" w:rsidRPr="00D07A93" w:rsidRDefault="0062660D" w:rsidP="00F504EE">
                  <w:pPr>
                    <w:spacing w:after="0"/>
                    <w:jc w:val="center"/>
                    <w:rPr>
                      <w:b/>
                      <w:snapToGrid w:val="0"/>
                    </w:rPr>
                  </w:pPr>
                  <w:r w:rsidRPr="00D07A93">
                    <w:rPr>
                      <w:b/>
                      <w:snapToGrid w:val="0"/>
                    </w:rPr>
                    <w:t>105</w:t>
                  </w:r>
                </w:p>
                <w:p w:rsidR="00F504EE" w:rsidRPr="00D07A93" w:rsidRDefault="0062660D" w:rsidP="00F504EE">
                  <w:pPr>
                    <w:spacing w:after="0"/>
                    <w:jc w:val="center"/>
                    <w:rPr>
                      <w:b/>
                      <w:snapToGrid w:val="0"/>
                    </w:rPr>
                  </w:pPr>
                </w:p>
              </w:tc>
            </w:tr>
          </w:tbl>
          <w:p w:rsidR="00D104DA" w:rsidRPr="002F17B5" w:rsidRDefault="0062660D" w:rsidP="00F504EE">
            <w:pPr>
              <w:autoSpaceDE/>
              <w:autoSpaceDN/>
              <w:adjustRightInd/>
              <w:spacing w:after="0"/>
              <w:ind w:left="459"/>
              <w:jc w:val="left"/>
              <w:rPr>
                <w:rFonts w:eastAsia="Times New Roman" w:cs="Arial"/>
                <w:lang w:eastAsia="en-GB"/>
              </w:rPr>
            </w:pPr>
          </w:p>
        </w:tc>
        <w:tc>
          <w:tcPr>
            <w:tcW w:w="791" w:type="dxa"/>
            <w:tcBorders>
              <w:top w:val="nil"/>
              <w:left w:val="nil"/>
              <w:bottom w:val="nil"/>
              <w:right w:val="nil"/>
            </w:tcBorders>
            <w:shd w:val="clear" w:color="auto" w:fill="auto"/>
            <w:noWrap/>
            <w:vAlign w:val="center"/>
          </w:tcPr>
          <w:p w:rsidR="00D104DA" w:rsidRPr="00F477E0" w:rsidRDefault="0062660D" w:rsidP="00F504EE">
            <w:pPr>
              <w:autoSpaceDE/>
              <w:autoSpaceDN/>
              <w:adjustRightInd/>
              <w:spacing w:after="0"/>
              <w:jc w:val="center"/>
              <w:rPr>
                <w:rFonts w:eastAsia="Times New Roman" w:cs="Arial"/>
                <w:color w:val="auto"/>
                <w:lang w:eastAsia="en-GB"/>
              </w:rPr>
            </w:pPr>
          </w:p>
        </w:tc>
      </w:tr>
      <w:tr w:rsidR="006A2C17" w:rsidTr="00F504EE">
        <w:trPr>
          <w:trHeight w:val="3271"/>
        </w:trPr>
        <w:tc>
          <w:tcPr>
            <w:tcW w:w="10562" w:type="dxa"/>
            <w:tcBorders>
              <w:top w:val="nil"/>
              <w:left w:val="nil"/>
              <w:bottom w:val="nil"/>
              <w:right w:val="nil"/>
            </w:tcBorders>
            <w:shd w:val="clear" w:color="auto" w:fill="auto"/>
            <w:vAlign w:val="center"/>
          </w:tcPr>
          <w:tbl>
            <w:tblPr>
              <w:tblW w:w="0" w:type="auto"/>
              <w:tblLook w:val="04A0" w:firstRow="1" w:lastRow="0" w:firstColumn="1" w:lastColumn="0" w:noHBand="0" w:noVBand="1"/>
            </w:tblPr>
            <w:tblGrid>
              <w:gridCol w:w="1079"/>
              <w:gridCol w:w="6807"/>
              <w:gridCol w:w="1771"/>
            </w:tblGrid>
            <w:tr w:rsidR="006A2C17" w:rsidTr="00F504EE">
              <w:trPr>
                <w:trHeight w:val="1083"/>
              </w:trPr>
              <w:tc>
                <w:tcPr>
                  <w:tcW w:w="1079" w:type="dxa"/>
                </w:tcPr>
                <w:p w:rsidR="00044EE3" w:rsidRDefault="0062660D" w:rsidP="00F504EE">
                  <w:pPr>
                    <w:spacing w:after="0"/>
                    <w:rPr>
                      <w:b/>
                      <w:snapToGrid w:val="0"/>
                    </w:rPr>
                  </w:pPr>
                  <w:r>
                    <w:rPr>
                      <w:b/>
                      <w:snapToGrid w:val="0"/>
                    </w:rPr>
                    <w:t>K</w:t>
                  </w:r>
                </w:p>
                <w:p w:rsidR="00F504EE" w:rsidRDefault="0062660D" w:rsidP="00F504EE">
                  <w:pPr>
                    <w:spacing w:after="0"/>
                    <w:rPr>
                      <w:b/>
                      <w:snapToGrid w:val="0"/>
                    </w:rPr>
                  </w:pPr>
                </w:p>
                <w:p w:rsidR="00F504EE" w:rsidRPr="00FC2CFF" w:rsidRDefault="0062660D" w:rsidP="00F504EE">
                  <w:pPr>
                    <w:spacing w:after="0"/>
                    <w:rPr>
                      <w:b/>
                      <w:snapToGrid w:val="0"/>
                    </w:rPr>
                  </w:pPr>
                  <w:r>
                    <w:rPr>
                      <w:b/>
                      <w:snapToGrid w:val="0"/>
                    </w:rPr>
                    <w:t>L</w:t>
                  </w:r>
                </w:p>
              </w:tc>
              <w:tc>
                <w:tcPr>
                  <w:tcW w:w="6807" w:type="dxa"/>
                </w:tcPr>
                <w:p w:rsidR="00044EE3" w:rsidRDefault="0062660D" w:rsidP="00F504EE">
                  <w:pPr>
                    <w:spacing w:after="0"/>
                    <w:rPr>
                      <w:b/>
                      <w:snapToGrid w:val="0"/>
                    </w:rPr>
                  </w:pPr>
                  <w:r>
                    <w:rPr>
                      <w:b/>
                      <w:snapToGrid w:val="0"/>
                    </w:rPr>
                    <w:t>Glossary</w:t>
                  </w:r>
                </w:p>
                <w:p w:rsidR="00F504EE" w:rsidRDefault="0062660D" w:rsidP="00F504EE">
                  <w:pPr>
                    <w:spacing w:after="0"/>
                    <w:rPr>
                      <w:b/>
                      <w:snapToGrid w:val="0"/>
                    </w:rPr>
                  </w:pPr>
                </w:p>
                <w:p w:rsidR="00F504EE" w:rsidRPr="00FC2CFF" w:rsidRDefault="0062660D" w:rsidP="00F504EE">
                  <w:pPr>
                    <w:spacing w:after="0"/>
                    <w:rPr>
                      <w:b/>
                      <w:snapToGrid w:val="0"/>
                    </w:rPr>
                  </w:pPr>
                  <w:r>
                    <w:rPr>
                      <w:b/>
                      <w:snapToGrid w:val="0"/>
                    </w:rPr>
                    <w:t>Appendices</w:t>
                  </w:r>
                </w:p>
              </w:tc>
              <w:tc>
                <w:tcPr>
                  <w:tcW w:w="1771" w:type="dxa"/>
                </w:tcPr>
                <w:p w:rsidR="00044EE3" w:rsidRPr="0055171A" w:rsidRDefault="0062660D" w:rsidP="00F504EE">
                  <w:pPr>
                    <w:spacing w:after="0"/>
                    <w:jc w:val="center"/>
                    <w:rPr>
                      <w:b/>
                      <w:snapToGrid w:val="0"/>
                    </w:rPr>
                  </w:pPr>
                  <w:r w:rsidRPr="0055171A">
                    <w:rPr>
                      <w:b/>
                      <w:snapToGrid w:val="0"/>
                    </w:rPr>
                    <w:t xml:space="preserve">      </w:t>
                  </w:r>
                  <w:r w:rsidRPr="00D07A93">
                    <w:rPr>
                      <w:b/>
                      <w:snapToGrid w:val="0"/>
                    </w:rPr>
                    <w:t>10</w:t>
                  </w:r>
                  <w:r w:rsidRPr="00D07A93">
                    <w:rPr>
                      <w:b/>
                      <w:snapToGrid w:val="0"/>
                    </w:rPr>
                    <w:t>7</w:t>
                  </w:r>
                </w:p>
                <w:p w:rsidR="00F504EE" w:rsidRPr="00062886" w:rsidRDefault="0062660D" w:rsidP="00F504EE">
                  <w:pPr>
                    <w:spacing w:after="0"/>
                    <w:jc w:val="center"/>
                    <w:rPr>
                      <w:b/>
                      <w:snapToGrid w:val="0"/>
                      <w:highlight w:val="yellow"/>
                    </w:rPr>
                  </w:pPr>
                </w:p>
              </w:tc>
            </w:tr>
            <w:tr w:rsidR="006A2C17" w:rsidTr="00F504EE">
              <w:trPr>
                <w:trHeight w:val="2026"/>
              </w:trPr>
              <w:tc>
                <w:tcPr>
                  <w:tcW w:w="1079" w:type="dxa"/>
                </w:tcPr>
                <w:p w:rsidR="00B75E45" w:rsidRDefault="0062660D" w:rsidP="00F504EE">
                  <w:pPr>
                    <w:spacing w:after="0"/>
                    <w:rPr>
                      <w:b/>
                      <w:snapToGrid w:val="0"/>
                    </w:rPr>
                  </w:pPr>
                </w:p>
              </w:tc>
              <w:tc>
                <w:tcPr>
                  <w:tcW w:w="6807" w:type="dxa"/>
                </w:tcPr>
                <w:p w:rsidR="00B75E45" w:rsidRDefault="0062660D" w:rsidP="00CD7572">
                  <w:pPr>
                    <w:pStyle w:val="ListParagraph"/>
                    <w:numPr>
                      <w:ilvl w:val="0"/>
                      <w:numId w:val="31"/>
                    </w:numPr>
                    <w:spacing w:after="0"/>
                    <w:ind w:left="418"/>
                    <w:rPr>
                      <w:b/>
                      <w:snapToGrid w:val="0"/>
                    </w:rPr>
                  </w:pPr>
                  <w:r>
                    <w:rPr>
                      <w:b/>
                      <w:snapToGrid w:val="0"/>
                    </w:rPr>
                    <w:t>Governance policy statement</w:t>
                  </w:r>
                </w:p>
                <w:p w:rsidR="00F504EE" w:rsidRDefault="0062660D" w:rsidP="00CD7572">
                  <w:pPr>
                    <w:pStyle w:val="ListParagraph"/>
                    <w:numPr>
                      <w:ilvl w:val="0"/>
                      <w:numId w:val="31"/>
                    </w:numPr>
                    <w:spacing w:after="0"/>
                    <w:ind w:left="418"/>
                    <w:rPr>
                      <w:b/>
                      <w:snapToGrid w:val="0"/>
                    </w:rPr>
                  </w:pPr>
                  <w:r>
                    <w:rPr>
                      <w:b/>
                      <w:snapToGrid w:val="0"/>
                    </w:rPr>
                    <w:t>Administration report</w:t>
                  </w:r>
                </w:p>
                <w:p w:rsidR="00F504EE" w:rsidRDefault="0062660D" w:rsidP="00CD7572">
                  <w:pPr>
                    <w:pStyle w:val="ListParagraph"/>
                    <w:numPr>
                      <w:ilvl w:val="0"/>
                      <w:numId w:val="31"/>
                    </w:numPr>
                    <w:spacing w:after="0"/>
                    <w:ind w:left="418"/>
                    <w:rPr>
                      <w:b/>
                      <w:snapToGrid w:val="0"/>
                    </w:rPr>
                  </w:pPr>
                  <w:r>
                    <w:rPr>
                      <w:b/>
                      <w:snapToGrid w:val="0"/>
                    </w:rPr>
                    <w:t>Communication policy statement</w:t>
                  </w:r>
                </w:p>
                <w:p w:rsidR="00F504EE" w:rsidRDefault="0062660D" w:rsidP="00CD7572">
                  <w:pPr>
                    <w:pStyle w:val="ListParagraph"/>
                    <w:numPr>
                      <w:ilvl w:val="0"/>
                      <w:numId w:val="31"/>
                    </w:numPr>
                    <w:spacing w:after="0"/>
                    <w:ind w:left="418"/>
                    <w:rPr>
                      <w:b/>
                      <w:snapToGrid w:val="0"/>
                    </w:rPr>
                  </w:pPr>
                  <w:r>
                    <w:rPr>
                      <w:b/>
                      <w:snapToGrid w:val="0"/>
                    </w:rPr>
                    <w:t>Pensions administration strategy statement</w:t>
                  </w:r>
                </w:p>
                <w:p w:rsidR="00F504EE" w:rsidRDefault="0062660D" w:rsidP="00CD7572">
                  <w:pPr>
                    <w:pStyle w:val="ListParagraph"/>
                    <w:numPr>
                      <w:ilvl w:val="0"/>
                      <w:numId w:val="31"/>
                    </w:numPr>
                    <w:spacing w:after="0"/>
                    <w:ind w:left="418"/>
                    <w:rPr>
                      <w:b/>
                      <w:snapToGrid w:val="0"/>
                    </w:rPr>
                  </w:pPr>
                  <w:r>
                    <w:rPr>
                      <w:b/>
                      <w:snapToGrid w:val="0"/>
                    </w:rPr>
                    <w:t>Funding strategy statement (FSS)</w:t>
                  </w:r>
                </w:p>
                <w:p w:rsidR="00F504EE" w:rsidRDefault="0062660D" w:rsidP="00CD7572">
                  <w:pPr>
                    <w:pStyle w:val="ListParagraph"/>
                    <w:numPr>
                      <w:ilvl w:val="0"/>
                      <w:numId w:val="31"/>
                    </w:numPr>
                    <w:spacing w:after="0"/>
                    <w:ind w:left="418"/>
                    <w:rPr>
                      <w:b/>
                      <w:snapToGrid w:val="0"/>
                    </w:rPr>
                  </w:pPr>
                  <w:r>
                    <w:rPr>
                      <w:b/>
                      <w:snapToGrid w:val="0"/>
                    </w:rPr>
                    <w:t>Statement of investment principles (SIP)</w:t>
                  </w:r>
                </w:p>
                <w:p w:rsidR="00F504EE" w:rsidRDefault="0062660D" w:rsidP="00CD7572">
                  <w:pPr>
                    <w:pStyle w:val="ListParagraph"/>
                    <w:numPr>
                      <w:ilvl w:val="0"/>
                      <w:numId w:val="31"/>
                    </w:numPr>
                    <w:spacing w:after="0"/>
                    <w:ind w:left="418"/>
                    <w:rPr>
                      <w:b/>
                      <w:snapToGrid w:val="0"/>
                    </w:rPr>
                  </w:pPr>
                  <w:r>
                    <w:rPr>
                      <w:b/>
                      <w:snapToGrid w:val="0"/>
                    </w:rPr>
                    <w:t>Actuarial valuation</w:t>
                  </w:r>
                </w:p>
                <w:p w:rsidR="00F504EE" w:rsidRPr="00F504EE" w:rsidRDefault="0062660D" w:rsidP="00CD7572">
                  <w:pPr>
                    <w:pStyle w:val="ListParagraph"/>
                    <w:numPr>
                      <w:ilvl w:val="0"/>
                      <w:numId w:val="31"/>
                    </w:numPr>
                    <w:spacing w:after="0"/>
                    <w:ind w:left="418"/>
                    <w:rPr>
                      <w:b/>
                      <w:snapToGrid w:val="0"/>
                    </w:rPr>
                  </w:pPr>
                  <w:r>
                    <w:rPr>
                      <w:b/>
                      <w:snapToGrid w:val="0"/>
                    </w:rPr>
                    <w:t>List of member</w:t>
                  </w:r>
                  <w:r>
                    <w:rPr>
                      <w:b/>
                      <w:snapToGrid w:val="0"/>
                    </w:rPr>
                    <w:t xml:space="preserve"> organisations at 31 March 201</w:t>
                  </w:r>
                  <w:r>
                    <w:rPr>
                      <w:b/>
                      <w:snapToGrid w:val="0"/>
                    </w:rPr>
                    <w:t>6</w:t>
                  </w:r>
                </w:p>
              </w:tc>
              <w:tc>
                <w:tcPr>
                  <w:tcW w:w="1771" w:type="dxa"/>
                </w:tcPr>
                <w:p w:rsidR="00B75E45" w:rsidRDefault="0062660D" w:rsidP="00F504EE">
                  <w:pPr>
                    <w:spacing w:after="0"/>
                    <w:jc w:val="center"/>
                    <w:rPr>
                      <w:b/>
                      <w:snapToGrid w:val="0"/>
                      <w:highlight w:val="yellow"/>
                    </w:rPr>
                  </w:pPr>
                </w:p>
              </w:tc>
            </w:tr>
          </w:tbl>
          <w:p w:rsidR="00D104DA" w:rsidRPr="002F17B5" w:rsidRDefault="0062660D" w:rsidP="00F504EE">
            <w:pPr>
              <w:autoSpaceDE/>
              <w:autoSpaceDN/>
              <w:adjustRightInd/>
              <w:spacing w:after="0"/>
              <w:ind w:left="459"/>
              <w:jc w:val="left"/>
              <w:rPr>
                <w:rFonts w:eastAsia="Times New Roman" w:cs="Arial"/>
                <w:lang w:eastAsia="en-GB"/>
              </w:rPr>
            </w:pPr>
          </w:p>
        </w:tc>
        <w:tc>
          <w:tcPr>
            <w:tcW w:w="791" w:type="dxa"/>
            <w:tcBorders>
              <w:top w:val="nil"/>
              <w:left w:val="nil"/>
              <w:bottom w:val="nil"/>
              <w:right w:val="nil"/>
            </w:tcBorders>
            <w:shd w:val="clear" w:color="auto" w:fill="auto"/>
            <w:noWrap/>
            <w:vAlign w:val="center"/>
          </w:tcPr>
          <w:p w:rsidR="00D104DA" w:rsidRPr="00F477E0" w:rsidRDefault="0062660D" w:rsidP="00F504EE">
            <w:pPr>
              <w:autoSpaceDE/>
              <w:autoSpaceDN/>
              <w:adjustRightInd/>
              <w:spacing w:after="0"/>
              <w:jc w:val="center"/>
              <w:rPr>
                <w:rFonts w:eastAsia="Times New Roman" w:cs="Arial"/>
                <w:color w:val="auto"/>
                <w:lang w:eastAsia="en-GB"/>
              </w:rPr>
            </w:pPr>
          </w:p>
        </w:tc>
      </w:tr>
      <w:tr w:rsidR="006A2C17" w:rsidTr="00C105FB">
        <w:trPr>
          <w:trHeight w:val="454"/>
        </w:trPr>
        <w:tc>
          <w:tcPr>
            <w:tcW w:w="10562" w:type="dxa"/>
            <w:tcBorders>
              <w:top w:val="nil"/>
              <w:left w:val="nil"/>
              <w:bottom w:val="nil"/>
              <w:right w:val="nil"/>
            </w:tcBorders>
            <w:shd w:val="clear" w:color="auto" w:fill="auto"/>
            <w:vAlign w:val="center"/>
          </w:tcPr>
          <w:p w:rsidR="00D104DA" w:rsidRPr="002F17B5" w:rsidRDefault="0062660D" w:rsidP="00100442">
            <w:pPr>
              <w:autoSpaceDE/>
              <w:autoSpaceDN/>
              <w:adjustRightInd/>
              <w:spacing w:after="0"/>
              <w:ind w:left="459"/>
              <w:jc w:val="left"/>
              <w:rPr>
                <w:rFonts w:eastAsia="Times New Roman" w:cs="Arial"/>
                <w:lang w:eastAsia="en-GB"/>
              </w:rPr>
            </w:pPr>
          </w:p>
        </w:tc>
        <w:tc>
          <w:tcPr>
            <w:tcW w:w="791" w:type="dxa"/>
            <w:tcBorders>
              <w:top w:val="nil"/>
              <w:left w:val="nil"/>
              <w:bottom w:val="nil"/>
              <w:right w:val="nil"/>
            </w:tcBorders>
            <w:shd w:val="clear" w:color="auto" w:fill="auto"/>
            <w:noWrap/>
            <w:vAlign w:val="center"/>
          </w:tcPr>
          <w:p w:rsidR="00D104DA" w:rsidRPr="00F477E0" w:rsidRDefault="0062660D" w:rsidP="00100442">
            <w:pPr>
              <w:autoSpaceDE/>
              <w:autoSpaceDN/>
              <w:adjustRightInd/>
              <w:spacing w:after="0"/>
              <w:jc w:val="center"/>
              <w:rPr>
                <w:rFonts w:eastAsia="Times New Roman" w:cs="Arial"/>
                <w:color w:val="auto"/>
                <w:lang w:eastAsia="en-GB"/>
              </w:rPr>
            </w:pPr>
          </w:p>
        </w:tc>
      </w:tr>
      <w:tr w:rsidR="006A2C17" w:rsidTr="00C105FB">
        <w:trPr>
          <w:trHeight w:val="454"/>
        </w:trPr>
        <w:tc>
          <w:tcPr>
            <w:tcW w:w="10562" w:type="dxa"/>
            <w:tcBorders>
              <w:top w:val="nil"/>
              <w:left w:val="nil"/>
              <w:bottom w:val="nil"/>
              <w:right w:val="nil"/>
            </w:tcBorders>
            <w:shd w:val="clear" w:color="auto" w:fill="auto"/>
            <w:vAlign w:val="center"/>
          </w:tcPr>
          <w:p w:rsidR="00D104DA" w:rsidRPr="002F17B5" w:rsidRDefault="0062660D" w:rsidP="00100442">
            <w:pPr>
              <w:autoSpaceDE/>
              <w:autoSpaceDN/>
              <w:adjustRightInd/>
              <w:spacing w:after="0"/>
              <w:ind w:left="459"/>
              <w:jc w:val="left"/>
              <w:rPr>
                <w:rFonts w:eastAsia="Times New Roman" w:cs="Arial"/>
                <w:lang w:eastAsia="en-GB"/>
              </w:rPr>
            </w:pPr>
          </w:p>
        </w:tc>
        <w:tc>
          <w:tcPr>
            <w:tcW w:w="791" w:type="dxa"/>
            <w:tcBorders>
              <w:top w:val="nil"/>
              <w:left w:val="nil"/>
              <w:bottom w:val="nil"/>
              <w:right w:val="nil"/>
            </w:tcBorders>
            <w:shd w:val="clear" w:color="auto" w:fill="auto"/>
            <w:noWrap/>
            <w:vAlign w:val="center"/>
          </w:tcPr>
          <w:p w:rsidR="00D104DA" w:rsidRPr="00F477E0" w:rsidRDefault="0062660D" w:rsidP="00100442">
            <w:pPr>
              <w:autoSpaceDE/>
              <w:autoSpaceDN/>
              <w:adjustRightInd/>
              <w:spacing w:after="0"/>
              <w:jc w:val="center"/>
              <w:rPr>
                <w:rFonts w:eastAsia="Times New Roman" w:cs="Arial"/>
                <w:color w:val="auto"/>
                <w:lang w:eastAsia="en-GB"/>
              </w:rPr>
            </w:pPr>
          </w:p>
        </w:tc>
      </w:tr>
    </w:tbl>
    <w:p w:rsidR="002341AB" w:rsidRDefault="0062660D" w:rsidP="00F504EE">
      <w:pPr>
        <w:numPr>
          <w:ilvl w:val="0"/>
          <w:numId w:val="12"/>
        </w:numPr>
        <w:autoSpaceDE/>
        <w:autoSpaceDN/>
        <w:adjustRightInd/>
        <w:spacing w:after="0"/>
        <w:ind w:left="317" w:hanging="425"/>
        <w:jc w:val="left"/>
        <w:rPr>
          <w:b/>
          <w:snapToGrid w:val="0"/>
          <w:sz w:val="32"/>
          <w:szCs w:val="32"/>
        </w:rPr>
        <w:sectPr w:rsidR="002341AB" w:rsidSect="002341AB">
          <w:pgSz w:w="11900" w:h="16840" w:code="9"/>
          <w:pgMar w:top="720" w:right="720" w:bottom="720" w:left="720" w:header="283" w:footer="283" w:gutter="0"/>
          <w:pgNumType w:start="1"/>
          <w:cols w:space="292"/>
          <w:docGrid w:linePitch="326"/>
        </w:sectPr>
      </w:pPr>
    </w:p>
    <w:tbl>
      <w:tblPr>
        <w:tblW w:w="11389" w:type="dxa"/>
        <w:tblInd w:w="250" w:type="dxa"/>
        <w:tblLook w:val="04A0" w:firstRow="1" w:lastRow="0" w:firstColumn="1" w:lastColumn="0" w:noHBand="0" w:noVBand="1"/>
      </w:tblPr>
      <w:tblGrid>
        <w:gridCol w:w="10598"/>
        <w:gridCol w:w="791"/>
      </w:tblGrid>
      <w:tr w:rsidR="006A2C17" w:rsidTr="00572F03">
        <w:trPr>
          <w:trHeight w:val="454"/>
        </w:trPr>
        <w:tc>
          <w:tcPr>
            <w:tcW w:w="10598" w:type="dxa"/>
            <w:tcBorders>
              <w:top w:val="nil"/>
              <w:left w:val="nil"/>
              <w:bottom w:val="nil"/>
              <w:right w:val="nil"/>
            </w:tcBorders>
            <w:shd w:val="clear" w:color="auto" w:fill="auto"/>
            <w:vAlign w:val="center"/>
          </w:tcPr>
          <w:p w:rsidR="00062886" w:rsidRPr="000F3D4B" w:rsidRDefault="0062660D" w:rsidP="00F504EE">
            <w:pPr>
              <w:numPr>
                <w:ilvl w:val="0"/>
                <w:numId w:val="12"/>
              </w:numPr>
              <w:autoSpaceDE/>
              <w:autoSpaceDN/>
              <w:adjustRightInd/>
              <w:spacing w:after="0"/>
              <w:ind w:left="317" w:hanging="425"/>
              <w:jc w:val="left"/>
              <w:rPr>
                <w:b/>
                <w:snapToGrid w:val="0"/>
                <w:sz w:val="32"/>
                <w:szCs w:val="32"/>
              </w:rPr>
            </w:pPr>
            <w:r w:rsidRPr="000F3D4B">
              <w:rPr>
                <w:b/>
                <w:snapToGrid w:val="0"/>
                <w:sz w:val="32"/>
                <w:szCs w:val="32"/>
              </w:rPr>
              <w:t>Management Structure</w:t>
            </w:r>
          </w:p>
          <w:p w:rsidR="00062886" w:rsidRPr="00E21C30" w:rsidRDefault="0062660D" w:rsidP="00062886">
            <w:pPr>
              <w:ind w:firstLine="34"/>
              <w:rPr>
                <w:b/>
                <w:highlight w:val="yellow"/>
              </w:rPr>
            </w:pPr>
          </w:p>
          <w:tbl>
            <w:tblPr>
              <w:tblW w:w="10382" w:type="dxa"/>
              <w:tblLook w:val="04A0" w:firstRow="1" w:lastRow="0" w:firstColumn="1" w:lastColumn="0" w:noHBand="0" w:noVBand="1"/>
            </w:tblPr>
            <w:tblGrid>
              <w:gridCol w:w="3753"/>
              <w:gridCol w:w="2943"/>
              <w:gridCol w:w="3686"/>
            </w:tblGrid>
            <w:tr w:rsidR="006A2C17" w:rsidTr="00A25D2F">
              <w:trPr>
                <w:trHeight w:val="909"/>
              </w:trPr>
              <w:tc>
                <w:tcPr>
                  <w:tcW w:w="3753" w:type="dxa"/>
                </w:tcPr>
                <w:p w:rsidR="007C1C03" w:rsidRPr="000624DD" w:rsidRDefault="0062660D" w:rsidP="007C1C03">
                  <w:pPr>
                    <w:spacing w:after="0"/>
                    <w:rPr>
                      <w:b/>
                    </w:rPr>
                  </w:pPr>
                  <w:r>
                    <w:rPr>
                      <w:b/>
                    </w:rPr>
                    <w:t>Administering Authority</w:t>
                  </w:r>
                </w:p>
                <w:p w:rsidR="007C1C03" w:rsidRPr="000624DD" w:rsidRDefault="0062660D" w:rsidP="007C1C03">
                  <w:pPr>
                    <w:spacing w:after="0"/>
                  </w:pPr>
                  <w:r>
                    <w:t>Lancashire County Council</w:t>
                  </w:r>
                </w:p>
                <w:p w:rsidR="00062886" w:rsidRPr="00E21C30" w:rsidRDefault="0062660D" w:rsidP="007C1C03">
                  <w:pPr>
                    <w:spacing w:after="0"/>
                    <w:ind w:left="351" w:hanging="425"/>
                    <w:rPr>
                      <w:b/>
                      <w:highlight w:val="yellow"/>
                    </w:rPr>
                  </w:pPr>
                </w:p>
              </w:tc>
              <w:tc>
                <w:tcPr>
                  <w:tcW w:w="2943" w:type="dxa"/>
                </w:tcPr>
                <w:p w:rsidR="00062886" w:rsidRPr="00E21C30" w:rsidRDefault="0062660D" w:rsidP="007C1C03">
                  <w:pPr>
                    <w:spacing w:after="0"/>
                    <w:ind w:left="317"/>
                    <w:rPr>
                      <w:b/>
                      <w:highlight w:val="yellow"/>
                    </w:rPr>
                  </w:pPr>
                </w:p>
              </w:tc>
              <w:tc>
                <w:tcPr>
                  <w:tcW w:w="3686" w:type="dxa"/>
                </w:tcPr>
                <w:p w:rsidR="00062886" w:rsidRPr="00E21C30" w:rsidRDefault="0062660D" w:rsidP="00062886">
                  <w:pPr>
                    <w:spacing w:after="0"/>
                    <w:ind w:left="2339"/>
                    <w:rPr>
                      <w:b/>
                      <w:highlight w:val="yellow"/>
                    </w:rPr>
                  </w:pPr>
                </w:p>
              </w:tc>
            </w:tr>
            <w:tr w:rsidR="006A2C17" w:rsidTr="00F22A34">
              <w:trPr>
                <w:trHeight w:val="11860"/>
              </w:trPr>
              <w:tc>
                <w:tcPr>
                  <w:tcW w:w="3753" w:type="dxa"/>
                </w:tcPr>
                <w:p w:rsidR="00062886" w:rsidRPr="00FD21A2" w:rsidRDefault="0062660D" w:rsidP="00266F03">
                  <w:pPr>
                    <w:spacing w:after="0"/>
                    <w:ind w:left="-74"/>
                    <w:jc w:val="left"/>
                  </w:pPr>
                  <w:r w:rsidRPr="00FD21A2">
                    <w:rPr>
                      <w:b/>
                    </w:rPr>
                    <w:t xml:space="preserve">Lancashire County Council Pension Fund Committee </w:t>
                  </w:r>
                </w:p>
                <w:p w:rsidR="00062886" w:rsidRPr="00E245D6" w:rsidRDefault="0062660D" w:rsidP="00266F03">
                  <w:pPr>
                    <w:spacing w:after="0"/>
                    <w:ind w:left="-74"/>
                    <w:jc w:val="left"/>
                  </w:pPr>
                  <w:r w:rsidRPr="00E245D6">
                    <w:t>M Barron</w:t>
                  </w:r>
                </w:p>
                <w:p w:rsidR="00062886" w:rsidRPr="00E245D6" w:rsidRDefault="0062660D" w:rsidP="00266F03">
                  <w:pPr>
                    <w:spacing w:after="0"/>
                    <w:ind w:left="-74"/>
                    <w:jc w:val="left"/>
                  </w:pPr>
                  <w:r w:rsidRPr="00E245D6">
                    <w:t>L Beavers</w:t>
                  </w:r>
                </w:p>
                <w:p w:rsidR="00A25D2F" w:rsidRPr="00E245D6" w:rsidRDefault="0062660D" w:rsidP="00266F03">
                  <w:pPr>
                    <w:spacing w:after="0"/>
                    <w:ind w:left="-74"/>
                    <w:jc w:val="left"/>
                  </w:pPr>
                  <w:r w:rsidRPr="00E245D6">
                    <w:t>D Borrow</w:t>
                  </w:r>
                </w:p>
                <w:p w:rsidR="00062886" w:rsidRPr="00E245D6" w:rsidRDefault="0062660D" w:rsidP="00266F03">
                  <w:pPr>
                    <w:spacing w:after="0"/>
                    <w:ind w:left="-74"/>
                    <w:jc w:val="left"/>
                  </w:pPr>
                  <w:r w:rsidRPr="00E245D6">
                    <w:t>G Dowding</w:t>
                  </w:r>
                </w:p>
                <w:p w:rsidR="0068578F" w:rsidRPr="00E245D6" w:rsidRDefault="0062660D" w:rsidP="00266F03">
                  <w:pPr>
                    <w:spacing w:after="0"/>
                    <w:ind w:left="-74"/>
                    <w:jc w:val="left"/>
                  </w:pPr>
                  <w:r w:rsidRPr="00E245D6">
                    <w:t>K Ellard (</w:t>
                  </w:r>
                  <w:r w:rsidRPr="00E245D6">
                    <w:t>C</w:t>
                  </w:r>
                  <w:r w:rsidRPr="00E245D6">
                    <w:t>hair)</w:t>
                  </w:r>
                </w:p>
                <w:p w:rsidR="00062886" w:rsidRPr="00E245D6" w:rsidRDefault="0062660D" w:rsidP="00266F03">
                  <w:pPr>
                    <w:spacing w:after="0"/>
                    <w:ind w:left="-74"/>
                    <w:jc w:val="left"/>
                  </w:pPr>
                  <w:r w:rsidRPr="00E245D6">
                    <w:t>J Oakes</w:t>
                  </w:r>
                </w:p>
                <w:p w:rsidR="00A25D2F" w:rsidRPr="00E245D6" w:rsidRDefault="0062660D" w:rsidP="00266F03">
                  <w:pPr>
                    <w:spacing w:after="0"/>
                    <w:ind w:left="-74"/>
                    <w:jc w:val="left"/>
                  </w:pPr>
                  <w:r w:rsidRPr="00E245D6">
                    <w:t>M Otter</w:t>
                  </w:r>
                </w:p>
                <w:p w:rsidR="00062886" w:rsidRDefault="0062660D" w:rsidP="00266F03">
                  <w:pPr>
                    <w:spacing w:after="0"/>
                    <w:ind w:left="-74"/>
                    <w:jc w:val="left"/>
                  </w:pPr>
                  <w:r w:rsidRPr="00E245D6">
                    <w:t>M Parkinson (Deputy Chair)</w:t>
                  </w:r>
                </w:p>
                <w:p w:rsidR="00E245D6" w:rsidRPr="00E245D6" w:rsidRDefault="0062660D" w:rsidP="00266F03">
                  <w:pPr>
                    <w:spacing w:after="0"/>
                    <w:ind w:left="-74"/>
                    <w:jc w:val="left"/>
                  </w:pPr>
                  <w:r>
                    <w:t>C Pritchard</w:t>
                  </w:r>
                </w:p>
                <w:p w:rsidR="00062886" w:rsidRPr="00E245D6" w:rsidRDefault="0062660D" w:rsidP="00266F03">
                  <w:pPr>
                    <w:spacing w:after="0"/>
                    <w:ind w:left="-74"/>
                    <w:jc w:val="left"/>
                  </w:pPr>
                  <w:r w:rsidRPr="00E245D6">
                    <w:t>A Schofield</w:t>
                  </w:r>
                </w:p>
                <w:p w:rsidR="00062886" w:rsidRPr="00E245D6" w:rsidRDefault="0062660D" w:rsidP="00266F03">
                  <w:pPr>
                    <w:spacing w:after="0"/>
                    <w:ind w:left="-74"/>
                    <w:jc w:val="left"/>
                  </w:pPr>
                  <w:r w:rsidRPr="00E245D6">
                    <w:t>K Sedgewick</w:t>
                  </w:r>
                </w:p>
                <w:p w:rsidR="00FD21A2" w:rsidRPr="00E245D6" w:rsidRDefault="0062660D" w:rsidP="00266F03">
                  <w:pPr>
                    <w:spacing w:after="0"/>
                    <w:ind w:left="-74"/>
                    <w:jc w:val="left"/>
                  </w:pPr>
                  <w:r w:rsidRPr="00E245D6">
                    <w:t>D Westley</w:t>
                  </w:r>
                </w:p>
                <w:p w:rsidR="00E245D6" w:rsidRPr="00E245D6" w:rsidRDefault="0062660D" w:rsidP="00266F03">
                  <w:pPr>
                    <w:spacing w:after="0"/>
                    <w:ind w:left="-74"/>
                    <w:jc w:val="left"/>
                  </w:pPr>
                  <w:r w:rsidRPr="00E245D6">
                    <w:t>D Whipp</w:t>
                  </w:r>
                </w:p>
                <w:p w:rsidR="00062886" w:rsidRPr="00FD21A2" w:rsidRDefault="0062660D" w:rsidP="00266F03">
                  <w:pPr>
                    <w:spacing w:after="0"/>
                    <w:ind w:left="-74"/>
                    <w:jc w:val="left"/>
                  </w:pPr>
                  <w:r w:rsidRPr="00E245D6">
                    <w:t>B Yates</w:t>
                  </w:r>
                </w:p>
                <w:p w:rsidR="00062886" w:rsidRPr="00062886" w:rsidRDefault="0062660D" w:rsidP="00266F03">
                  <w:pPr>
                    <w:spacing w:after="0"/>
                    <w:ind w:left="-74"/>
                    <w:jc w:val="left"/>
                    <w:rPr>
                      <w:highlight w:val="yellow"/>
                    </w:rPr>
                  </w:pPr>
                </w:p>
                <w:p w:rsidR="00062886" w:rsidRPr="00711722" w:rsidRDefault="0062660D" w:rsidP="00266F03">
                  <w:pPr>
                    <w:spacing w:after="0"/>
                    <w:ind w:left="-74"/>
                    <w:jc w:val="left"/>
                    <w:rPr>
                      <w:b/>
                    </w:rPr>
                  </w:pPr>
                  <w:r w:rsidRPr="00711722">
                    <w:rPr>
                      <w:b/>
                    </w:rPr>
                    <w:t>Co-opted Blackburn with Darwen Borough Council</w:t>
                  </w:r>
                  <w:r>
                    <w:rPr>
                      <w:b/>
                    </w:rPr>
                    <w:t xml:space="preserve"> representative</w:t>
                  </w:r>
                </w:p>
                <w:p w:rsidR="00062886" w:rsidRPr="00711722" w:rsidRDefault="0062660D" w:rsidP="00266F03">
                  <w:pPr>
                    <w:spacing w:after="0"/>
                    <w:ind w:left="-74"/>
                    <w:jc w:val="left"/>
                  </w:pPr>
                  <w:r w:rsidRPr="00E245D6">
                    <w:t>R Whittle</w:t>
                  </w:r>
                </w:p>
                <w:p w:rsidR="00062886" w:rsidRPr="00062886" w:rsidRDefault="0062660D" w:rsidP="00266F03">
                  <w:pPr>
                    <w:spacing w:after="0"/>
                    <w:ind w:left="-74"/>
                    <w:jc w:val="left"/>
                    <w:rPr>
                      <w:highlight w:val="yellow"/>
                    </w:rPr>
                  </w:pPr>
                </w:p>
                <w:p w:rsidR="00062886" w:rsidRPr="00711722" w:rsidRDefault="0062660D" w:rsidP="00266F03">
                  <w:pPr>
                    <w:spacing w:after="0"/>
                    <w:ind w:left="-74"/>
                    <w:jc w:val="left"/>
                    <w:rPr>
                      <w:b/>
                    </w:rPr>
                  </w:pPr>
                  <w:r w:rsidRPr="00711722">
                    <w:rPr>
                      <w:b/>
                    </w:rPr>
                    <w:t>Co-opted Blackpool Council</w:t>
                  </w:r>
                  <w:r>
                    <w:rPr>
                      <w:b/>
                    </w:rPr>
                    <w:t xml:space="preserve"> representative</w:t>
                  </w:r>
                </w:p>
                <w:p w:rsidR="00062886" w:rsidRPr="00711722" w:rsidRDefault="0062660D" w:rsidP="00266F03">
                  <w:pPr>
                    <w:spacing w:after="0"/>
                    <w:ind w:left="-74"/>
                    <w:jc w:val="left"/>
                  </w:pPr>
                  <w:r>
                    <w:t>M Smith</w:t>
                  </w:r>
                </w:p>
                <w:p w:rsidR="00062886" w:rsidRPr="00062886" w:rsidRDefault="0062660D" w:rsidP="00266F03">
                  <w:pPr>
                    <w:spacing w:after="0"/>
                    <w:ind w:left="-74"/>
                    <w:jc w:val="left"/>
                    <w:rPr>
                      <w:highlight w:val="yellow"/>
                    </w:rPr>
                  </w:pPr>
                </w:p>
                <w:p w:rsidR="00062886" w:rsidRDefault="0062660D" w:rsidP="00E245D6">
                  <w:pPr>
                    <w:spacing w:after="0"/>
                    <w:ind w:left="-74" w:right="1026"/>
                    <w:jc w:val="left"/>
                    <w:rPr>
                      <w:b/>
                    </w:rPr>
                  </w:pPr>
                  <w:r w:rsidRPr="00711722">
                    <w:rPr>
                      <w:b/>
                    </w:rPr>
                    <w:t xml:space="preserve">Co-opted Lancashire </w:t>
                  </w:r>
                  <w:r w:rsidRPr="00711722">
                    <w:rPr>
                      <w:b/>
                    </w:rPr>
                    <w:t>Leaders' Group</w:t>
                  </w:r>
                  <w:r>
                    <w:rPr>
                      <w:b/>
                    </w:rPr>
                    <w:t xml:space="preserve"> </w:t>
                  </w:r>
                </w:p>
                <w:p w:rsidR="00E245D6" w:rsidRPr="00E245D6" w:rsidRDefault="0062660D" w:rsidP="00E245D6">
                  <w:pPr>
                    <w:spacing w:after="0"/>
                    <w:ind w:left="-74" w:right="1026"/>
                    <w:jc w:val="left"/>
                  </w:pPr>
                  <w:r w:rsidRPr="00E245D6">
                    <w:t>P Rankin</w:t>
                  </w:r>
                </w:p>
                <w:p w:rsidR="00062886" w:rsidRPr="00711722" w:rsidRDefault="0062660D" w:rsidP="00266F03">
                  <w:pPr>
                    <w:spacing w:after="0"/>
                    <w:ind w:left="-74"/>
                    <w:jc w:val="left"/>
                  </w:pPr>
                  <w:r w:rsidRPr="00E245D6">
                    <w:t>E Pope</w:t>
                  </w:r>
                </w:p>
                <w:p w:rsidR="00711722" w:rsidRPr="00062886" w:rsidRDefault="0062660D" w:rsidP="00266F03">
                  <w:pPr>
                    <w:spacing w:after="0"/>
                    <w:ind w:left="-74"/>
                    <w:jc w:val="left"/>
                    <w:rPr>
                      <w:highlight w:val="yellow"/>
                    </w:rPr>
                  </w:pPr>
                </w:p>
                <w:p w:rsidR="00062886" w:rsidRDefault="0062660D" w:rsidP="00266F03">
                  <w:pPr>
                    <w:spacing w:after="0"/>
                    <w:ind w:left="-74" w:right="1026"/>
                    <w:jc w:val="left"/>
                    <w:rPr>
                      <w:b/>
                    </w:rPr>
                  </w:pPr>
                  <w:r w:rsidRPr="00FD21A2">
                    <w:rPr>
                      <w:b/>
                    </w:rPr>
                    <w:t>Co-opted</w:t>
                  </w:r>
                  <w:r>
                    <w:rPr>
                      <w:b/>
                    </w:rPr>
                    <w:t xml:space="preserve"> Trade Union representative</w:t>
                  </w:r>
                </w:p>
                <w:p w:rsidR="00E245D6" w:rsidRPr="00E245D6" w:rsidRDefault="0062660D" w:rsidP="00266F03">
                  <w:pPr>
                    <w:spacing w:after="0"/>
                    <w:ind w:left="-74" w:right="1026"/>
                    <w:jc w:val="left"/>
                  </w:pPr>
                  <w:r w:rsidRPr="00E245D6">
                    <w:t>P Crewe</w:t>
                  </w:r>
                </w:p>
                <w:p w:rsidR="00062886" w:rsidRPr="00FD21A2" w:rsidRDefault="0062660D" w:rsidP="00266F03">
                  <w:pPr>
                    <w:spacing w:after="0"/>
                    <w:ind w:left="-74"/>
                    <w:jc w:val="left"/>
                  </w:pPr>
                  <w:r w:rsidRPr="00E245D6">
                    <w:t>J Tattersall</w:t>
                  </w:r>
                  <w:r w:rsidRPr="00E245D6">
                    <w:t xml:space="preserve"> </w:t>
                  </w:r>
                </w:p>
                <w:p w:rsidR="00062886" w:rsidRPr="00062886" w:rsidRDefault="0062660D" w:rsidP="00266F03">
                  <w:pPr>
                    <w:spacing w:after="0"/>
                    <w:ind w:left="-74"/>
                    <w:jc w:val="left"/>
                    <w:rPr>
                      <w:highlight w:val="yellow"/>
                    </w:rPr>
                  </w:pPr>
                </w:p>
                <w:p w:rsidR="00062886" w:rsidRPr="00711722" w:rsidRDefault="0062660D" w:rsidP="00266F03">
                  <w:pPr>
                    <w:spacing w:after="0"/>
                    <w:ind w:left="-74" w:right="1026"/>
                    <w:jc w:val="left"/>
                    <w:rPr>
                      <w:b/>
                    </w:rPr>
                  </w:pPr>
                  <w:r w:rsidRPr="00711722">
                    <w:rPr>
                      <w:b/>
                    </w:rPr>
                    <w:t>Co-opted</w:t>
                  </w:r>
                  <w:r w:rsidRPr="00711722">
                    <w:rPr>
                      <w:b/>
                    </w:rPr>
                    <w:t xml:space="preserve"> HE/FE sector</w:t>
                  </w:r>
                  <w:r>
                    <w:rPr>
                      <w:b/>
                    </w:rPr>
                    <w:t xml:space="preserve"> representative</w:t>
                  </w:r>
                </w:p>
                <w:p w:rsidR="00062886" w:rsidRDefault="0062660D" w:rsidP="00266F03">
                  <w:pPr>
                    <w:spacing w:after="0"/>
                    <w:ind w:left="-74"/>
                    <w:jc w:val="left"/>
                  </w:pPr>
                  <w:r w:rsidRPr="00E245D6">
                    <w:t>A Milloy</w:t>
                  </w:r>
                </w:p>
                <w:p w:rsidR="00B0052F" w:rsidRDefault="0062660D" w:rsidP="00266F03">
                  <w:pPr>
                    <w:spacing w:after="0"/>
                    <w:ind w:left="-74"/>
                    <w:jc w:val="left"/>
                  </w:pPr>
                </w:p>
                <w:p w:rsidR="00B0052F" w:rsidRDefault="0062660D" w:rsidP="00266F03">
                  <w:pPr>
                    <w:spacing w:after="0"/>
                    <w:ind w:left="-74"/>
                    <w:jc w:val="left"/>
                  </w:pPr>
                </w:p>
                <w:p w:rsidR="00B0052F" w:rsidRDefault="0062660D" w:rsidP="00266F03">
                  <w:pPr>
                    <w:spacing w:after="0"/>
                    <w:ind w:left="-74"/>
                    <w:jc w:val="left"/>
                  </w:pPr>
                </w:p>
                <w:p w:rsidR="002755B0" w:rsidRDefault="0062660D" w:rsidP="00266F03">
                  <w:pPr>
                    <w:spacing w:after="0"/>
                    <w:ind w:left="-74"/>
                    <w:jc w:val="left"/>
                  </w:pPr>
                </w:p>
                <w:p w:rsidR="00572F03" w:rsidRPr="00062886" w:rsidRDefault="0062660D" w:rsidP="00266F03">
                  <w:pPr>
                    <w:spacing w:after="0"/>
                    <w:ind w:right="-824" w:firstLine="34"/>
                    <w:jc w:val="left"/>
                    <w:rPr>
                      <w:b/>
                      <w:highlight w:val="yellow"/>
                    </w:rPr>
                  </w:pPr>
                </w:p>
              </w:tc>
              <w:tc>
                <w:tcPr>
                  <w:tcW w:w="2943" w:type="dxa"/>
                </w:tcPr>
                <w:p w:rsidR="00062886" w:rsidRPr="00662378" w:rsidRDefault="0062660D" w:rsidP="002341AB">
                  <w:pPr>
                    <w:spacing w:after="0"/>
                    <w:ind w:firstLine="34"/>
                    <w:jc w:val="left"/>
                    <w:rPr>
                      <w:b/>
                    </w:rPr>
                  </w:pPr>
                  <w:r w:rsidRPr="00662378">
                    <w:rPr>
                      <w:b/>
                    </w:rPr>
                    <w:t>Custodian</w:t>
                  </w:r>
                </w:p>
                <w:p w:rsidR="00062886" w:rsidRPr="00662378" w:rsidRDefault="0062660D" w:rsidP="002341AB">
                  <w:pPr>
                    <w:spacing w:after="0"/>
                    <w:ind w:firstLine="34"/>
                    <w:jc w:val="left"/>
                  </w:pPr>
                  <w:r w:rsidRPr="00662378">
                    <w:t>Northern Trust</w:t>
                  </w:r>
                </w:p>
                <w:p w:rsidR="00062886" w:rsidRPr="00062886" w:rsidRDefault="0062660D" w:rsidP="002341AB">
                  <w:pPr>
                    <w:spacing w:after="0"/>
                    <w:ind w:firstLine="34"/>
                    <w:jc w:val="left"/>
                    <w:rPr>
                      <w:highlight w:val="yellow"/>
                    </w:rPr>
                  </w:pPr>
                </w:p>
                <w:p w:rsidR="00062886" w:rsidRPr="00662378" w:rsidRDefault="0062660D" w:rsidP="002341AB">
                  <w:pPr>
                    <w:tabs>
                      <w:tab w:val="left" w:pos="2727"/>
                    </w:tabs>
                    <w:spacing w:after="0"/>
                    <w:ind w:right="601"/>
                    <w:jc w:val="left"/>
                    <w:rPr>
                      <w:b/>
                    </w:rPr>
                  </w:pPr>
                  <w:r w:rsidRPr="00662378">
                    <w:rPr>
                      <w:b/>
                    </w:rPr>
                    <w:t>Independent Investment Advisers</w:t>
                  </w:r>
                </w:p>
                <w:p w:rsidR="00062886" w:rsidRPr="00C23141" w:rsidRDefault="0062660D" w:rsidP="002341AB">
                  <w:pPr>
                    <w:spacing w:after="0"/>
                    <w:ind w:firstLine="34"/>
                    <w:jc w:val="left"/>
                  </w:pPr>
                  <w:r w:rsidRPr="00C23141">
                    <w:t>E Lambert</w:t>
                  </w:r>
                </w:p>
                <w:p w:rsidR="0068578F" w:rsidRDefault="0062660D" w:rsidP="0068578F">
                  <w:pPr>
                    <w:spacing w:after="0"/>
                    <w:ind w:firstLine="34"/>
                    <w:jc w:val="left"/>
                  </w:pPr>
                  <w:r w:rsidRPr="00C23141">
                    <w:t>A Devitt</w:t>
                  </w:r>
                </w:p>
                <w:p w:rsidR="0068578F" w:rsidRDefault="0062660D" w:rsidP="0068578F">
                  <w:pPr>
                    <w:spacing w:after="0"/>
                    <w:ind w:firstLine="34"/>
                    <w:jc w:val="left"/>
                  </w:pPr>
                </w:p>
                <w:p w:rsidR="0068578F" w:rsidRDefault="0062660D" w:rsidP="0068578F">
                  <w:pPr>
                    <w:spacing w:after="0"/>
                    <w:ind w:firstLine="34"/>
                    <w:jc w:val="left"/>
                    <w:rPr>
                      <w:b/>
                    </w:rPr>
                  </w:pPr>
                  <w:r w:rsidRPr="00EA0921">
                    <w:rPr>
                      <w:b/>
                    </w:rPr>
                    <w:t xml:space="preserve">Director </w:t>
                  </w:r>
                  <w:r w:rsidRPr="00EA0921">
                    <w:rPr>
                      <w:b/>
                    </w:rPr>
                    <w:t xml:space="preserve">of </w:t>
                  </w:r>
                  <w:r w:rsidRPr="00EA0921">
                    <w:rPr>
                      <w:b/>
                    </w:rPr>
                    <w:t xml:space="preserve">Lancashire </w:t>
                  </w:r>
                  <w:r w:rsidRPr="00EA0921">
                    <w:rPr>
                      <w:b/>
                    </w:rPr>
                    <w:t xml:space="preserve">County </w:t>
                  </w:r>
                  <w:r w:rsidRPr="00EA0921">
                    <w:rPr>
                      <w:b/>
                    </w:rPr>
                    <w:t>Pension Fund</w:t>
                  </w:r>
                  <w:r w:rsidRPr="00EA0921">
                    <w:rPr>
                      <w:b/>
                    </w:rPr>
                    <w:t xml:space="preserve"> </w:t>
                  </w:r>
                  <w:r w:rsidRPr="00EA0921">
                    <w:t xml:space="preserve">(to </w:t>
                  </w:r>
                  <w:r w:rsidRPr="00EA0921">
                    <w:t>31/3</w:t>
                  </w:r>
                  <w:r w:rsidRPr="00EA0921">
                    <w:t>/16)</w:t>
                  </w:r>
                </w:p>
                <w:p w:rsidR="0068578F" w:rsidRDefault="0062660D" w:rsidP="0068578F">
                  <w:pPr>
                    <w:spacing w:after="0"/>
                    <w:ind w:firstLine="34"/>
                    <w:jc w:val="left"/>
                    <w:rPr>
                      <w:b/>
                    </w:rPr>
                  </w:pPr>
                  <w:r w:rsidRPr="00C23141">
                    <w:t>G Graham</w:t>
                  </w:r>
                  <w:r>
                    <w:t xml:space="preserve"> </w:t>
                  </w:r>
                  <w:r>
                    <w:rPr>
                      <w:b/>
                    </w:rPr>
                    <w:t xml:space="preserve"> </w:t>
                  </w:r>
                </w:p>
                <w:p w:rsidR="00F22A34" w:rsidRDefault="0062660D" w:rsidP="0068578F">
                  <w:pPr>
                    <w:spacing w:after="0"/>
                    <w:ind w:firstLine="34"/>
                    <w:jc w:val="left"/>
                    <w:rPr>
                      <w:b/>
                    </w:rPr>
                  </w:pPr>
                </w:p>
                <w:p w:rsidR="00F22A34" w:rsidRDefault="0062660D" w:rsidP="00F22A34">
                  <w:pPr>
                    <w:spacing w:after="0"/>
                    <w:ind w:firstLine="34"/>
                    <w:jc w:val="left"/>
                    <w:rPr>
                      <w:b/>
                    </w:rPr>
                  </w:pPr>
                  <w:r w:rsidRPr="00F22A34">
                    <w:rPr>
                      <w:b/>
                    </w:rPr>
                    <w:t>Head of Pension Fund</w:t>
                  </w:r>
                </w:p>
                <w:p w:rsidR="00F22A34" w:rsidRPr="0068578F" w:rsidRDefault="0062660D" w:rsidP="00F22A34">
                  <w:pPr>
                    <w:spacing w:after="0"/>
                    <w:ind w:firstLine="34"/>
                    <w:jc w:val="left"/>
                    <w:rPr>
                      <w:b/>
                    </w:rPr>
                  </w:pPr>
                  <w:r w:rsidRPr="00F22A34">
                    <w:t>Abigail Leech</w:t>
                  </w:r>
                </w:p>
                <w:p w:rsidR="00062886" w:rsidRPr="00062886" w:rsidRDefault="0062660D" w:rsidP="002341AB">
                  <w:pPr>
                    <w:spacing w:after="0"/>
                    <w:ind w:firstLine="34"/>
                    <w:jc w:val="left"/>
                    <w:rPr>
                      <w:highlight w:val="yellow"/>
                    </w:rPr>
                  </w:pPr>
                </w:p>
                <w:p w:rsidR="00062886" w:rsidRPr="0083710C" w:rsidRDefault="0062660D" w:rsidP="002341AB">
                  <w:pPr>
                    <w:tabs>
                      <w:tab w:val="left" w:pos="2018"/>
                    </w:tabs>
                    <w:spacing w:after="0"/>
                    <w:ind w:right="1168"/>
                    <w:jc w:val="left"/>
                    <w:rPr>
                      <w:b/>
                    </w:rPr>
                  </w:pPr>
                  <w:r w:rsidRPr="0083710C">
                    <w:rPr>
                      <w:b/>
                    </w:rPr>
                    <w:t xml:space="preserve">Director of Financial Resources </w:t>
                  </w:r>
                </w:p>
                <w:p w:rsidR="00062886" w:rsidRDefault="0062660D" w:rsidP="002341AB">
                  <w:pPr>
                    <w:spacing w:after="0"/>
                    <w:ind w:firstLine="34"/>
                    <w:jc w:val="left"/>
                  </w:pPr>
                  <w:r w:rsidRPr="00C23141">
                    <w:t>N Kissock CPFA</w:t>
                  </w:r>
                </w:p>
                <w:p w:rsidR="00F22A34" w:rsidRDefault="0062660D" w:rsidP="002341AB">
                  <w:pPr>
                    <w:spacing w:after="0"/>
                    <w:ind w:firstLine="34"/>
                    <w:jc w:val="left"/>
                  </w:pPr>
                </w:p>
                <w:p w:rsidR="00062886" w:rsidRPr="00662378" w:rsidRDefault="0062660D" w:rsidP="002341AB">
                  <w:pPr>
                    <w:spacing w:after="0"/>
                    <w:ind w:firstLine="34"/>
                    <w:jc w:val="left"/>
                    <w:rPr>
                      <w:b/>
                    </w:rPr>
                  </w:pPr>
                  <w:r w:rsidRPr="00662378">
                    <w:rPr>
                      <w:b/>
                    </w:rPr>
                    <w:t>Actuary</w:t>
                  </w:r>
                </w:p>
                <w:p w:rsidR="00062886" w:rsidRPr="00662378" w:rsidRDefault="0062660D" w:rsidP="002341AB">
                  <w:pPr>
                    <w:spacing w:after="0"/>
                    <w:ind w:firstLine="34"/>
                    <w:jc w:val="left"/>
                  </w:pPr>
                  <w:r w:rsidRPr="00662378">
                    <w:t xml:space="preserve">Mercer </w:t>
                  </w:r>
                </w:p>
                <w:p w:rsidR="00062886" w:rsidRPr="00662378" w:rsidRDefault="0062660D" w:rsidP="002341AB">
                  <w:pPr>
                    <w:spacing w:after="0"/>
                    <w:ind w:firstLine="34"/>
                    <w:jc w:val="left"/>
                  </w:pPr>
                </w:p>
                <w:p w:rsidR="00062886" w:rsidRPr="00662378" w:rsidRDefault="0062660D" w:rsidP="002341AB">
                  <w:pPr>
                    <w:spacing w:after="0"/>
                    <w:ind w:firstLine="34"/>
                    <w:jc w:val="left"/>
                    <w:rPr>
                      <w:b/>
                    </w:rPr>
                  </w:pPr>
                  <w:r w:rsidRPr="00662378">
                    <w:rPr>
                      <w:b/>
                    </w:rPr>
                    <w:t>Auditor</w:t>
                  </w:r>
                </w:p>
                <w:p w:rsidR="00062886" w:rsidRPr="00662378" w:rsidRDefault="0062660D" w:rsidP="002341AB">
                  <w:pPr>
                    <w:spacing w:after="0"/>
                    <w:ind w:firstLine="34"/>
                    <w:jc w:val="left"/>
                  </w:pPr>
                  <w:r w:rsidRPr="00662378">
                    <w:t>Grant Thornton</w:t>
                  </w:r>
                </w:p>
                <w:p w:rsidR="00062886" w:rsidRDefault="0062660D" w:rsidP="002341AB">
                  <w:pPr>
                    <w:spacing w:after="0"/>
                    <w:ind w:firstLine="34"/>
                    <w:jc w:val="left"/>
                    <w:rPr>
                      <w:b/>
                      <w:highlight w:val="yellow"/>
                    </w:rPr>
                  </w:pPr>
                </w:p>
                <w:p w:rsidR="00B0052F" w:rsidRDefault="0062660D" w:rsidP="002341AB">
                  <w:pPr>
                    <w:spacing w:after="0"/>
                    <w:ind w:firstLine="34"/>
                    <w:jc w:val="left"/>
                    <w:rPr>
                      <w:b/>
                      <w:highlight w:val="yellow"/>
                    </w:rPr>
                  </w:pPr>
                </w:p>
                <w:p w:rsidR="00B0052F" w:rsidRPr="00662378" w:rsidRDefault="0062660D" w:rsidP="002341AB">
                  <w:pPr>
                    <w:spacing w:after="0"/>
                    <w:ind w:firstLine="34"/>
                    <w:jc w:val="left"/>
                    <w:rPr>
                      <w:b/>
                    </w:rPr>
                  </w:pPr>
                  <w:r w:rsidRPr="00662378">
                    <w:rPr>
                      <w:b/>
                    </w:rPr>
                    <w:t>Property Solicitors</w:t>
                  </w:r>
                </w:p>
                <w:p w:rsidR="00B0052F" w:rsidRPr="00662378" w:rsidRDefault="0062660D" w:rsidP="002341AB">
                  <w:pPr>
                    <w:spacing w:after="0"/>
                    <w:ind w:firstLine="34"/>
                    <w:jc w:val="left"/>
                  </w:pPr>
                  <w:r w:rsidRPr="00662378">
                    <w:t xml:space="preserve">Pinsent Masons </w:t>
                  </w:r>
                </w:p>
                <w:p w:rsidR="00B0052F" w:rsidRPr="00062886" w:rsidRDefault="0062660D" w:rsidP="002341AB">
                  <w:pPr>
                    <w:spacing w:after="0"/>
                    <w:ind w:firstLine="34"/>
                    <w:jc w:val="left"/>
                    <w:rPr>
                      <w:highlight w:val="yellow"/>
                    </w:rPr>
                  </w:pPr>
                  <w:r w:rsidRPr="00662378">
                    <w:t>DWF</w:t>
                  </w:r>
                </w:p>
                <w:p w:rsidR="00B0052F" w:rsidRPr="00062886" w:rsidRDefault="0062660D" w:rsidP="002341AB">
                  <w:pPr>
                    <w:spacing w:after="0"/>
                    <w:ind w:firstLine="34"/>
                    <w:jc w:val="left"/>
                    <w:rPr>
                      <w:highlight w:val="yellow"/>
                    </w:rPr>
                  </w:pPr>
                </w:p>
                <w:p w:rsidR="00B0052F" w:rsidRPr="00662378" w:rsidRDefault="0062660D" w:rsidP="00FC59A1">
                  <w:pPr>
                    <w:tabs>
                      <w:tab w:val="left" w:pos="2436"/>
                    </w:tabs>
                    <w:spacing w:after="0"/>
                    <w:ind w:firstLine="34"/>
                    <w:jc w:val="left"/>
                    <w:rPr>
                      <w:b/>
                    </w:rPr>
                  </w:pPr>
                  <w:r w:rsidRPr="00662378">
                    <w:rPr>
                      <w:b/>
                    </w:rPr>
                    <w:t>Independent Property Valuer</w:t>
                  </w:r>
                </w:p>
                <w:p w:rsidR="00B0052F" w:rsidRPr="00662378" w:rsidRDefault="0062660D" w:rsidP="00FC59A1">
                  <w:pPr>
                    <w:tabs>
                      <w:tab w:val="left" w:pos="2436"/>
                    </w:tabs>
                    <w:spacing w:after="0"/>
                    <w:jc w:val="left"/>
                  </w:pPr>
                  <w:r w:rsidRPr="00662378">
                    <w:t>Cushman &amp; Wakefield</w:t>
                  </w:r>
                </w:p>
                <w:p w:rsidR="00B0052F" w:rsidRPr="00062886" w:rsidRDefault="0062660D" w:rsidP="002341AB">
                  <w:pPr>
                    <w:spacing w:after="0"/>
                    <w:ind w:firstLine="34"/>
                    <w:jc w:val="left"/>
                    <w:rPr>
                      <w:b/>
                      <w:highlight w:val="yellow"/>
                    </w:rPr>
                  </w:pPr>
                </w:p>
              </w:tc>
              <w:tc>
                <w:tcPr>
                  <w:tcW w:w="3686" w:type="dxa"/>
                </w:tcPr>
                <w:p w:rsidR="00062886" w:rsidRPr="00662378" w:rsidRDefault="0062660D" w:rsidP="00266F03">
                  <w:pPr>
                    <w:spacing w:after="0"/>
                    <w:ind w:firstLine="34"/>
                    <w:jc w:val="left"/>
                    <w:rPr>
                      <w:b/>
                    </w:rPr>
                  </w:pPr>
                  <w:r w:rsidRPr="00662378">
                    <w:rPr>
                      <w:b/>
                    </w:rPr>
                    <w:t>Corporate Governance Adviser</w:t>
                  </w:r>
                </w:p>
                <w:p w:rsidR="00062886" w:rsidRPr="00062886" w:rsidRDefault="0062660D" w:rsidP="00266F03">
                  <w:pPr>
                    <w:spacing w:after="0"/>
                    <w:ind w:firstLine="34"/>
                    <w:jc w:val="left"/>
                    <w:rPr>
                      <w:highlight w:val="yellow"/>
                    </w:rPr>
                  </w:pPr>
                  <w:r w:rsidRPr="00662378">
                    <w:t>PIRC</w:t>
                  </w:r>
                </w:p>
                <w:p w:rsidR="00062886" w:rsidRPr="00062886" w:rsidRDefault="0062660D" w:rsidP="00266F03">
                  <w:pPr>
                    <w:spacing w:after="0"/>
                    <w:ind w:firstLine="34"/>
                    <w:jc w:val="left"/>
                    <w:rPr>
                      <w:highlight w:val="yellow"/>
                    </w:rPr>
                  </w:pPr>
                </w:p>
                <w:p w:rsidR="00062886" w:rsidRPr="00662378" w:rsidRDefault="0062660D" w:rsidP="00266F03">
                  <w:pPr>
                    <w:spacing w:after="0"/>
                    <w:ind w:firstLine="34"/>
                    <w:jc w:val="left"/>
                    <w:rPr>
                      <w:b/>
                    </w:rPr>
                  </w:pPr>
                  <w:r w:rsidRPr="00662378">
                    <w:rPr>
                      <w:b/>
                    </w:rPr>
                    <w:t>Performance Measurement</w:t>
                  </w:r>
                </w:p>
                <w:p w:rsidR="00062886" w:rsidRPr="00662378" w:rsidRDefault="0062660D" w:rsidP="00266F03">
                  <w:pPr>
                    <w:spacing w:after="0"/>
                    <w:ind w:firstLine="34"/>
                    <w:jc w:val="left"/>
                  </w:pPr>
                  <w:r w:rsidRPr="00662378">
                    <w:t>Northern Trust</w:t>
                  </w:r>
                </w:p>
                <w:p w:rsidR="00062886" w:rsidRPr="00062886" w:rsidRDefault="0062660D" w:rsidP="00266F03">
                  <w:pPr>
                    <w:spacing w:after="0"/>
                    <w:ind w:firstLine="34"/>
                    <w:jc w:val="left"/>
                    <w:rPr>
                      <w:highlight w:val="yellow"/>
                    </w:rPr>
                  </w:pPr>
                </w:p>
                <w:p w:rsidR="00062886" w:rsidRPr="00B739A8" w:rsidRDefault="0062660D" w:rsidP="00266F03">
                  <w:pPr>
                    <w:spacing w:after="0"/>
                    <w:ind w:firstLine="34"/>
                    <w:jc w:val="left"/>
                    <w:rPr>
                      <w:b/>
                    </w:rPr>
                  </w:pPr>
                  <w:r w:rsidRPr="00B739A8">
                    <w:rPr>
                      <w:b/>
                    </w:rPr>
                    <w:t>AVC Providers</w:t>
                  </w:r>
                </w:p>
                <w:p w:rsidR="00062886" w:rsidRPr="00B739A8" w:rsidRDefault="0062660D" w:rsidP="00266F03">
                  <w:pPr>
                    <w:spacing w:after="0"/>
                    <w:ind w:firstLine="34"/>
                    <w:jc w:val="left"/>
                  </w:pPr>
                  <w:r w:rsidRPr="00B739A8">
                    <w:t>Prudential</w:t>
                  </w:r>
                </w:p>
                <w:p w:rsidR="00062886" w:rsidRPr="00B739A8" w:rsidRDefault="0062660D" w:rsidP="00266F03">
                  <w:pPr>
                    <w:spacing w:after="0"/>
                    <w:ind w:firstLine="34"/>
                    <w:jc w:val="left"/>
                  </w:pPr>
                  <w:r w:rsidRPr="00B739A8">
                    <w:t>Equitable Life</w:t>
                  </w:r>
                </w:p>
                <w:p w:rsidR="00062886" w:rsidRPr="00062886" w:rsidRDefault="0062660D" w:rsidP="00266F03">
                  <w:pPr>
                    <w:spacing w:after="0"/>
                    <w:ind w:firstLine="34"/>
                    <w:jc w:val="left"/>
                    <w:rPr>
                      <w:highlight w:val="yellow"/>
                    </w:rPr>
                  </w:pPr>
                </w:p>
                <w:p w:rsidR="00062886" w:rsidRPr="00C93902" w:rsidRDefault="0062660D" w:rsidP="00266F03">
                  <w:pPr>
                    <w:spacing w:after="0"/>
                    <w:ind w:firstLine="33"/>
                    <w:jc w:val="left"/>
                    <w:rPr>
                      <w:b/>
                    </w:rPr>
                  </w:pPr>
                  <w:r w:rsidRPr="00C93902">
                    <w:rPr>
                      <w:b/>
                    </w:rPr>
                    <w:t>Legal Advisors (other than property)</w:t>
                  </w:r>
                </w:p>
                <w:p w:rsidR="00062886" w:rsidRPr="00C93902" w:rsidRDefault="0062660D" w:rsidP="000269BC">
                  <w:pPr>
                    <w:spacing w:after="0"/>
                    <w:ind w:firstLine="34"/>
                    <w:jc w:val="left"/>
                  </w:pPr>
                  <w:r w:rsidRPr="00C93902">
                    <w:t>In-House</w:t>
                  </w:r>
                </w:p>
                <w:p w:rsidR="00062886" w:rsidRPr="00C93902" w:rsidRDefault="0062660D" w:rsidP="000269BC">
                  <w:pPr>
                    <w:spacing w:after="0"/>
                    <w:ind w:firstLine="34"/>
                    <w:jc w:val="left"/>
                  </w:pPr>
                  <w:proofErr w:type="spellStart"/>
                  <w:r w:rsidRPr="00C93902">
                    <w:t>MacFarlanes</w:t>
                  </w:r>
                  <w:proofErr w:type="spellEnd"/>
                </w:p>
                <w:p w:rsidR="00062886" w:rsidRPr="00C93902" w:rsidRDefault="0062660D" w:rsidP="000269BC">
                  <w:pPr>
                    <w:spacing w:after="0"/>
                    <w:ind w:firstLine="34"/>
                    <w:jc w:val="left"/>
                  </w:pPr>
                  <w:r w:rsidRPr="00C93902">
                    <w:t>Eversheds</w:t>
                  </w:r>
                </w:p>
                <w:p w:rsidR="00062886" w:rsidRPr="00C93902" w:rsidRDefault="0062660D" w:rsidP="000269BC">
                  <w:pPr>
                    <w:spacing w:after="0"/>
                    <w:ind w:firstLine="34"/>
                    <w:jc w:val="left"/>
                  </w:pPr>
                  <w:r w:rsidRPr="00C93902">
                    <w:t>Clifford Chance</w:t>
                  </w:r>
                </w:p>
                <w:p w:rsidR="00062886" w:rsidRPr="00C93902" w:rsidRDefault="0062660D" w:rsidP="000269BC">
                  <w:pPr>
                    <w:spacing w:after="0"/>
                    <w:ind w:firstLine="34"/>
                    <w:jc w:val="left"/>
                  </w:pPr>
                  <w:r w:rsidRPr="00C93902">
                    <w:t xml:space="preserve">Allen and </w:t>
                  </w:r>
                  <w:proofErr w:type="spellStart"/>
                  <w:r w:rsidRPr="00C93902">
                    <w:t>Overy</w:t>
                  </w:r>
                  <w:proofErr w:type="spellEnd"/>
                </w:p>
                <w:p w:rsidR="00062886" w:rsidRPr="00C93902" w:rsidRDefault="0062660D" w:rsidP="000269BC">
                  <w:pPr>
                    <w:spacing w:after="0"/>
                    <w:ind w:firstLine="34"/>
                    <w:jc w:val="left"/>
                  </w:pPr>
                  <w:r w:rsidRPr="00C93902">
                    <w:t xml:space="preserve">Taylor </w:t>
                  </w:r>
                  <w:proofErr w:type="spellStart"/>
                  <w:r w:rsidRPr="00C93902">
                    <w:t>Wessing</w:t>
                  </w:r>
                  <w:proofErr w:type="spellEnd"/>
                </w:p>
                <w:p w:rsidR="00062886" w:rsidRDefault="0062660D" w:rsidP="000269BC">
                  <w:pPr>
                    <w:spacing w:after="0"/>
                    <w:ind w:firstLine="34"/>
                    <w:jc w:val="left"/>
                  </w:pPr>
                  <w:proofErr w:type="spellStart"/>
                  <w:r w:rsidRPr="00C93902">
                    <w:t>Addleshaw</w:t>
                  </w:r>
                  <w:proofErr w:type="spellEnd"/>
                  <w:r>
                    <w:t xml:space="preserve"> </w:t>
                  </w:r>
                  <w:r w:rsidRPr="00C93902">
                    <w:t>Goddard</w:t>
                  </w:r>
                </w:p>
                <w:p w:rsidR="000269BC" w:rsidRDefault="0062660D" w:rsidP="00266F03">
                  <w:pPr>
                    <w:spacing w:after="0"/>
                    <w:ind w:firstLine="34"/>
                    <w:jc w:val="left"/>
                  </w:pPr>
                </w:p>
                <w:p w:rsidR="000269BC" w:rsidRDefault="0062660D" w:rsidP="000269BC">
                  <w:pPr>
                    <w:spacing w:after="0"/>
                    <w:ind w:firstLine="33"/>
                    <w:jc w:val="left"/>
                    <w:rPr>
                      <w:b/>
                    </w:rPr>
                  </w:pPr>
                  <w:r w:rsidRPr="000269BC">
                    <w:rPr>
                      <w:b/>
                    </w:rPr>
                    <w:t xml:space="preserve">Tax </w:t>
                  </w:r>
                  <w:r w:rsidRPr="000269BC">
                    <w:rPr>
                      <w:b/>
                    </w:rPr>
                    <w:t>Advisors</w:t>
                  </w:r>
                </w:p>
                <w:p w:rsidR="000269BC" w:rsidRPr="000269BC" w:rsidRDefault="0062660D" w:rsidP="000269BC">
                  <w:pPr>
                    <w:spacing w:after="0"/>
                    <w:ind w:firstLine="33"/>
                    <w:jc w:val="left"/>
                  </w:pPr>
                  <w:r w:rsidRPr="000269BC">
                    <w:t>KPMG</w:t>
                  </w:r>
                </w:p>
                <w:p w:rsidR="00062886" w:rsidRPr="00062886" w:rsidRDefault="0062660D" w:rsidP="00266F03">
                  <w:pPr>
                    <w:spacing w:after="0"/>
                    <w:ind w:firstLine="34"/>
                    <w:jc w:val="left"/>
                    <w:rPr>
                      <w:highlight w:val="yellow"/>
                    </w:rPr>
                  </w:pPr>
                </w:p>
                <w:p w:rsidR="00062886" w:rsidRPr="00662378" w:rsidRDefault="0062660D" w:rsidP="00266F03">
                  <w:pPr>
                    <w:spacing w:after="0"/>
                    <w:ind w:firstLine="34"/>
                    <w:jc w:val="left"/>
                    <w:rPr>
                      <w:b/>
                    </w:rPr>
                  </w:pPr>
                  <w:r w:rsidRPr="00662378">
                    <w:rPr>
                      <w:b/>
                    </w:rPr>
                    <w:t>Bankers</w:t>
                  </w:r>
                </w:p>
                <w:p w:rsidR="00062886" w:rsidRDefault="0062660D" w:rsidP="00266F03">
                  <w:pPr>
                    <w:spacing w:after="0"/>
                    <w:ind w:firstLine="34"/>
                    <w:jc w:val="left"/>
                  </w:pPr>
                  <w:r w:rsidRPr="00662378">
                    <w:t>National Westminster</w:t>
                  </w:r>
                </w:p>
                <w:p w:rsidR="00B0052F" w:rsidRDefault="0062660D" w:rsidP="00062886">
                  <w:pPr>
                    <w:spacing w:after="0"/>
                    <w:ind w:firstLine="34"/>
                  </w:pPr>
                </w:p>
                <w:p w:rsidR="00B0052F" w:rsidRDefault="0062660D" w:rsidP="00062886">
                  <w:pPr>
                    <w:spacing w:after="0"/>
                    <w:ind w:firstLine="34"/>
                  </w:pPr>
                </w:p>
                <w:p w:rsidR="00B0052F" w:rsidRDefault="0062660D" w:rsidP="00062886">
                  <w:pPr>
                    <w:spacing w:after="0"/>
                    <w:ind w:firstLine="34"/>
                  </w:pPr>
                </w:p>
                <w:p w:rsidR="00B0052F" w:rsidRDefault="0062660D" w:rsidP="00062886">
                  <w:pPr>
                    <w:spacing w:after="0"/>
                    <w:ind w:firstLine="34"/>
                  </w:pPr>
                </w:p>
                <w:p w:rsidR="00B0052F" w:rsidRPr="00062886" w:rsidRDefault="0062660D" w:rsidP="00B0052F">
                  <w:pPr>
                    <w:spacing w:after="0"/>
                    <w:ind w:left="-1146" w:hanging="6328"/>
                    <w:rPr>
                      <w:b/>
                      <w:highlight w:val="yellow"/>
                    </w:rPr>
                  </w:pPr>
                </w:p>
              </w:tc>
            </w:tr>
          </w:tbl>
          <w:p w:rsidR="00D104DA" w:rsidRPr="002F17B5" w:rsidRDefault="0062660D" w:rsidP="00100442">
            <w:pPr>
              <w:autoSpaceDE/>
              <w:autoSpaceDN/>
              <w:adjustRightInd/>
              <w:spacing w:after="0"/>
              <w:ind w:left="459"/>
              <w:jc w:val="left"/>
              <w:rPr>
                <w:rFonts w:eastAsia="Times New Roman" w:cs="Arial"/>
                <w:lang w:eastAsia="en-GB"/>
              </w:rPr>
            </w:pPr>
          </w:p>
        </w:tc>
        <w:tc>
          <w:tcPr>
            <w:tcW w:w="791" w:type="dxa"/>
            <w:tcBorders>
              <w:top w:val="nil"/>
              <w:left w:val="nil"/>
              <w:bottom w:val="nil"/>
              <w:right w:val="nil"/>
            </w:tcBorders>
            <w:shd w:val="clear" w:color="auto" w:fill="auto"/>
            <w:noWrap/>
            <w:vAlign w:val="center"/>
          </w:tcPr>
          <w:p w:rsidR="00D104DA" w:rsidRPr="00F477E0" w:rsidRDefault="0062660D" w:rsidP="00100442">
            <w:pPr>
              <w:autoSpaceDE/>
              <w:autoSpaceDN/>
              <w:adjustRightInd/>
              <w:spacing w:after="0"/>
              <w:jc w:val="center"/>
              <w:rPr>
                <w:rFonts w:eastAsia="Times New Roman" w:cs="Arial"/>
                <w:color w:val="auto"/>
                <w:lang w:eastAsia="en-GB"/>
              </w:rPr>
            </w:pPr>
          </w:p>
        </w:tc>
      </w:tr>
    </w:tbl>
    <w:p w:rsidR="00572F03" w:rsidRDefault="0062660D" w:rsidP="00572F0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103"/>
      </w:tblGrid>
      <w:tr w:rsidR="006A2C17" w:rsidTr="00A22A1B">
        <w:tc>
          <w:tcPr>
            <w:tcW w:w="4786" w:type="dxa"/>
          </w:tcPr>
          <w:p w:rsidR="00702958" w:rsidRPr="00572F03" w:rsidRDefault="0062660D">
            <w:pPr>
              <w:autoSpaceDE/>
              <w:autoSpaceDN/>
              <w:adjustRightInd/>
              <w:spacing w:after="0"/>
              <w:jc w:val="left"/>
              <w:rPr>
                <w:b/>
              </w:rPr>
            </w:pPr>
            <w:r w:rsidRPr="00572F03">
              <w:rPr>
                <w:b/>
              </w:rPr>
              <w:t>Fund Managers</w:t>
            </w:r>
          </w:p>
        </w:tc>
        <w:tc>
          <w:tcPr>
            <w:tcW w:w="5103" w:type="dxa"/>
          </w:tcPr>
          <w:p w:rsidR="00702958" w:rsidRDefault="0062660D">
            <w:pPr>
              <w:autoSpaceDE/>
              <w:autoSpaceDN/>
              <w:adjustRightInd/>
              <w:spacing w:after="0"/>
              <w:jc w:val="left"/>
            </w:pPr>
          </w:p>
        </w:tc>
      </w:tr>
      <w:tr w:rsidR="006A2C17" w:rsidTr="00A22A1B">
        <w:tc>
          <w:tcPr>
            <w:tcW w:w="4786" w:type="dxa"/>
          </w:tcPr>
          <w:p w:rsidR="00702958" w:rsidRDefault="0062660D" w:rsidP="00702958">
            <w:pPr>
              <w:autoSpaceDE/>
              <w:autoSpaceDN/>
              <w:adjustRightInd/>
              <w:spacing w:after="0"/>
              <w:jc w:val="left"/>
            </w:pPr>
          </w:p>
        </w:tc>
        <w:tc>
          <w:tcPr>
            <w:tcW w:w="5103" w:type="dxa"/>
          </w:tcPr>
          <w:p w:rsidR="00702958" w:rsidRDefault="0062660D" w:rsidP="00702958">
            <w:pPr>
              <w:autoSpaceDE/>
              <w:autoSpaceDN/>
              <w:adjustRightInd/>
              <w:spacing w:after="0"/>
              <w:jc w:val="left"/>
            </w:pPr>
          </w:p>
        </w:tc>
      </w:tr>
      <w:tr w:rsidR="006A2C17" w:rsidTr="00A22A1B">
        <w:tc>
          <w:tcPr>
            <w:tcW w:w="4786" w:type="dxa"/>
          </w:tcPr>
          <w:p w:rsidR="00A22A1B" w:rsidRPr="00DE5095" w:rsidRDefault="0062660D" w:rsidP="00702958">
            <w:pPr>
              <w:autoSpaceDE/>
              <w:autoSpaceDN/>
              <w:adjustRightInd/>
              <w:spacing w:after="0"/>
              <w:jc w:val="left"/>
            </w:pPr>
            <w:r w:rsidRPr="00DE5095">
              <w:t>AGF Investments</w:t>
            </w:r>
          </w:p>
        </w:tc>
        <w:tc>
          <w:tcPr>
            <w:tcW w:w="5103" w:type="dxa"/>
          </w:tcPr>
          <w:p w:rsidR="00A22A1B" w:rsidRPr="00F775B3" w:rsidRDefault="0062660D" w:rsidP="00A22A1B">
            <w:pPr>
              <w:autoSpaceDE/>
              <w:autoSpaceDN/>
              <w:adjustRightInd/>
              <w:spacing w:after="0"/>
              <w:jc w:val="left"/>
              <w:rPr>
                <w:highlight w:val="yellow"/>
              </w:rPr>
            </w:pPr>
            <w:proofErr w:type="spellStart"/>
            <w:r>
              <w:t>M</w:t>
            </w:r>
            <w:r w:rsidRPr="00A22A1B">
              <w:t>adrileña</w:t>
            </w:r>
            <w:proofErr w:type="spellEnd"/>
            <w:r w:rsidRPr="00A22A1B">
              <w:t xml:space="preserve"> </w:t>
            </w:r>
            <w:r>
              <w:t>R</w:t>
            </w:r>
            <w:r w:rsidRPr="00A22A1B">
              <w:t xml:space="preserve">ed de </w:t>
            </w:r>
            <w:r>
              <w:t>G</w:t>
            </w:r>
            <w:r w:rsidRPr="00A22A1B">
              <w:t>as</w:t>
            </w:r>
          </w:p>
        </w:tc>
      </w:tr>
      <w:tr w:rsidR="006A2C17" w:rsidTr="00A22A1B">
        <w:tc>
          <w:tcPr>
            <w:tcW w:w="4786" w:type="dxa"/>
          </w:tcPr>
          <w:p w:rsidR="00A22A1B" w:rsidRPr="00DE5095" w:rsidRDefault="0062660D" w:rsidP="00702958">
            <w:pPr>
              <w:autoSpaceDE/>
              <w:autoSpaceDN/>
              <w:adjustRightInd/>
              <w:spacing w:after="0"/>
              <w:jc w:val="left"/>
            </w:pPr>
            <w:r w:rsidRPr="00DE5095">
              <w:t>Arclight Capital Partners</w:t>
            </w:r>
          </w:p>
        </w:tc>
        <w:tc>
          <w:tcPr>
            <w:tcW w:w="5103" w:type="dxa"/>
          </w:tcPr>
          <w:p w:rsidR="00A22A1B" w:rsidRPr="004B087A" w:rsidRDefault="0062660D" w:rsidP="00702958">
            <w:pPr>
              <w:autoSpaceDE/>
              <w:autoSpaceDN/>
              <w:adjustRightInd/>
              <w:spacing w:after="0"/>
              <w:jc w:val="left"/>
            </w:pPr>
            <w:r w:rsidRPr="004B087A">
              <w:t>M&amp;G Investments</w:t>
            </w:r>
          </w:p>
        </w:tc>
      </w:tr>
      <w:tr w:rsidR="006A2C17" w:rsidTr="00A22A1B">
        <w:tc>
          <w:tcPr>
            <w:tcW w:w="4786" w:type="dxa"/>
          </w:tcPr>
          <w:p w:rsidR="00A22A1B" w:rsidRPr="00DE5095" w:rsidRDefault="0062660D" w:rsidP="00702958">
            <w:pPr>
              <w:autoSpaceDE/>
              <w:autoSpaceDN/>
              <w:adjustRightInd/>
              <w:spacing w:after="0"/>
              <w:jc w:val="left"/>
            </w:pPr>
            <w:r w:rsidRPr="00DE5095">
              <w:t>Ares Management</w:t>
            </w:r>
          </w:p>
        </w:tc>
        <w:tc>
          <w:tcPr>
            <w:tcW w:w="5103" w:type="dxa"/>
          </w:tcPr>
          <w:p w:rsidR="00A22A1B" w:rsidRPr="004B087A" w:rsidRDefault="0062660D" w:rsidP="00702958">
            <w:pPr>
              <w:autoSpaceDE/>
              <w:autoSpaceDN/>
              <w:adjustRightInd/>
              <w:spacing w:after="0"/>
              <w:jc w:val="left"/>
            </w:pPr>
            <w:r w:rsidRPr="004B087A">
              <w:t>MFG Investments</w:t>
            </w:r>
          </w:p>
        </w:tc>
      </w:tr>
      <w:tr w:rsidR="006A2C17" w:rsidTr="00A22A1B">
        <w:tc>
          <w:tcPr>
            <w:tcW w:w="4786" w:type="dxa"/>
          </w:tcPr>
          <w:p w:rsidR="00A22A1B" w:rsidRPr="00DE5095" w:rsidRDefault="0062660D" w:rsidP="00702958">
            <w:pPr>
              <w:autoSpaceDE/>
              <w:autoSpaceDN/>
              <w:adjustRightInd/>
              <w:spacing w:after="0"/>
              <w:jc w:val="left"/>
            </w:pPr>
          </w:p>
        </w:tc>
        <w:tc>
          <w:tcPr>
            <w:tcW w:w="5103" w:type="dxa"/>
          </w:tcPr>
          <w:p w:rsidR="00A22A1B" w:rsidRPr="004B087A" w:rsidRDefault="0062660D" w:rsidP="00702958">
            <w:pPr>
              <w:autoSpaceDE/>
              <w:autoSpaceDN/>
              <w:adjustRightInd/>
              <w:spacing w:after="0"/>
              <w:jc w:val="left"/>
            </w:pPr>
            <w:r w:rsidRPr="004B087A">
              <w:t>MFS Investment Management</w:t>
            </w:r>
          </w:p>
        </w:tc>
      </w:tr>
      <w:tr w:rsidR="006A2C17" w:rsidTr="00A22A1B">
        <w:tc>
          <w:tcPr>
            <w:tcW w:w="4786" w:type="dxa"/>
          </w:tcPr>
          <w:p w:rsidR="00A22A1B" w:rsidRPr="00DE5095" w:rsidRDefault="0062660D" w:rsidP="00702958">
            <w:pPr>
              <w:autoSpaceDE/>
              <w:autoSpaceDN/>
              <w:adjustRightInd/>
              <w:spacing w:after="0"/>
              <w:jc w:val="left"/>
            </w:pPr>
            <w:r w:rsidRPr="00DE5095">
              <w:t>Babson Capital Management</w:t>
            </w:r>
          </w:p>
        </w:tc>
        <w:tc>
          <w:tcPr>
            <w:tcW w:w="5103" w:type="dxa"/>
          </w:tcPr>
          <w:p w:rsidR="00A22A1B" w:rsidRPr="004B087A" w:rsidRDefault="0062660D" w:rsidP="00702958">
            <w:pPr>
              <w:autoSpaceDE/>
              <w:autoSpaceDN/>
              <w:adjustRightInd/>
              <w:spacing w:after="0"/>
              <w:jc w:val="left"/>
            </w:pPr>
            <w:r w:rsidRPr="004B087A">
              <w:t xml:space="preserve">Monarch </w:t>
            </w:r>
            <w:r w:rsidRPr="004B087A">
              <w:t>Alternative Capital</w:t>
            </w:r>
          </w:p>
        </w:tc>
      </w:tr>
      <w:tr w:rsidR="006A2C17" w:rsidTr="00A22A1B">
        <w:tc>
          <w:tcPr>
            <w:tcW w:w="4786" w:type="dxa"/>
          </w:tcPr>
          <w:p w:rsidR="00A22A1B" w:rsidRPr="00DE5095" w:rsidRDefault="0062660D" w:rsidP="00702958">
            <w:pPr>
              <w:autoSpaceDE/>
              <w:autoSpaceDN/>
              <w:adjustRightInd/>
              <w:spacing w:after="0"/>
              <w:jc w:val="left"/>
            </w:pPr>
            <w:r w:rsidRPr="00DE5095">
              <w:t>Baillie Gifford</w:t>
            </w:r>
          </w:p>
        </w:tc>
        <w:tc>
          <w:tcPr>
            <w:tcW w:w="5103" w:type="dxa"/>
          </w:tcPr>
          <w:p w:rsidR="00A22A1B" w:rsidRPr="004B087A" w:rsidRDefault="0062660D" w:rsidP="00702958">
            <w:pPr>
              <w:autoSpaceDE/>
              <w:autoSpaceDN/>
              <w:adjustRightInd/>
              <w:spacing w:after="0"/>
              <w:jc w:val="left"/>
            </w:pPr>
            <w:r w:rsidRPr="004B087A">
              <w:t>Morgan Stanley Investment Management</w:t>
            </w:r>
          </w:p>
        </w:tc>
      </w:tr>
      <w:tr w:rsidR="006A2C17" w:rsidTr="00A22A1B">
        <w:tc>
          <w:tcPr>
            <w:tcW w:w="4786" w:type="dxa"/>
          </w:tcPr>
          <w:p w:rsidR="00A22A1B" w:rsidRPr="00DE5095" w:rsidRDefault="0062660D" w:rsidP="00702958">
            <w:pPr>
              <w:autoSpaceDE/>
              <w:autoSpaceDN/>
              <w:adjustRightInd/>
              <w:spacing w:after="0"/>
              <w:jc w:val="left"/>
            </w:pPr>
            <w:proofErr w:type="spellStart"/>
            <w:r w:rsidRPr="00DE5095">
              <w:t>Bluebay</w:t>
            </w:r>
            <w:proofErr w:type="spellEnd"/>
            <w:r w:rsidRPr="00DE5095">
              <w:t xml:space="preserve"> Asset Management</w:t>
            </w:r>
          </w:p>
        </w:tc>
        <w:tc>
          <w:tcPr>
            <w:tcW w:w="5103" w:type="dxa"/>
          </w:tcPr>
          <w:p w:rsidR="00A22A1B" w:rsidRPr="00F775B3" w:rsidRDefault="0062660D" w:rsidP="00702958">
            <w:pPr>
              <w:autoSpaceDE/>
              <w:autoSpaceDN/>
              <w:adjustRightInd/>
              <w:spacing w:after="0"/>
              <w:jc w:val="left"/>
              <w:rPr>
                <w:highlight w:val="yellow"/>
              </w:rPr>
            </w:pPr>
            <w:r w:rsidRPr="004B087A">
              <w:t>Muzinich &amp; Co</w:t>
            </w:r>
          </w:p>
        </w:tc>
      </w:tr>
      <w:tr w:rsidR="006A2C17" w:rsidTr="00A22A1B">
        <w:tc>
          <w:tcPr>
            <w:tcW w:w="4786" w:type="dxa"/>
          </w:tcPr>
          <w:p w:rsidR="00A22A1B" w:rsidRPr="00DE5095" w:rsidRDefault="0062660D" w:rsidP="00702958">
            <w:pPr>
              <w:autoSpaceDE/>
              <w:autoSpaceDN/>
              <w:adjustRightInd/>
              <w:spacing w:after="0"/>
              <w:jc w:val="left"/>
            </w:pPr>
          </w:p>
        </w:tc>
        <w:tc>
          <w:tcPr>
            <w:tcW w:w="5103" w:type="dxa"/>
          </w:tcPr>
          <w:p w:rsidR="00A22A1B" w:rsidRPr="00F775B3" w:rsidRDefault="0062660D" w:rsidP="00702958">
            <w:pPr>
              <w:autoSpaceDE/>
              <w:autoSpaceDN/>
              <w:adjustRightInd/>
              <w:spacing w:after="0"/>
              <w:jc w:val="left"/>
              <w:rPr>
                <w:highlight w:val="yellow"/>
              </w:rPr>
            </w:pPr>
          </w:p>
        </w:tc>
      </w:tr>
      <w:tr w:rsidR="006A2C17" w:rsidTr="00A22A1B">
        <w:tc>
          <w:tcPr>
            <w:tcW w:w="4786" w:type="dxa"/>
          </w:tcPr>
          <w:p w:rsidR="00A22A1B" w:rsidRPr="00DE5095" w:rsidRDefault="0062660D" w:rsidP="00702958">
            <w:pPr>
              <w:autoSpaceDE/>
              <w:autoSpaceDN/>
              <w:adjustRightInd/>
              <w:spacing w:after="0"/>
              <w:jc w:val="left"/>
            </w:pPr>
            <w:r w:rsidRPr="00DE5095">
              <w:t>Capital Dynamics</w:t>
            </w:r>
          </w:p>
        </w:tc>
        <w:tc>
          <w:tcPr>
            <w:tcW w:w="5103" w:type="dxa"/>
          </w:tcPr>
          <w:p w:rsidR="00A22A1B" w:rsidRPr="004B087A" w:rsidRDefault="0062660D" w:rsidP="00702958">
            <w:pPr>
              <w:autoSpaceDE/>
              <w:autoSpaceDN/>
              <w:adjustRightInd/>
              <w:spacing w:after="0"/>
              <w:jc w:val="left"/>
            </w:pPr>
            <w:r w:rsidRPr="004B087A">
              <w:t>Natixis Global Asset Management</w:t>
            </w:r>
          </w:p>
        </w:tc>
      </w:tr>
      <w:tr w:rsidR="006A2C17" w:rsidTr="00A22A1B">
        <w:tc>
          <w:tcPr>
            <w:tcW w:w="4786" w:type="dxa"/>
          </w:tcPr>
          <w:p w:rsidR="00A22A1B" w:rsidRPr="00DE5095" w:rsidRDefault="0062660D" w:rsidP="00702958">
            <w:pPr>
              <w:autoSpaceDE/>
              <w:autoSpaceDN/>
              <w:adjustRightInd/>
              <w:spacing w:after="0"/>
              <w:jc w:val="left"/>
            </w:pPr>
            <w:proofErr w:type="spellStart"/>
            <w:r w:rsidRPr="00DE5095">
              <w:t>Christofferson</w:t>
            </w:r>
            <w:proofErr w:type="spellEnd"/>
            <w:r w:rsidRPr="00DE5095">
              <w:t>, Robb &amp; Company</w:t>
            </w:r>
          </w:p>
        </w:tc>
        <w:tc>
          <w:tcPr>
            <w:tcW w:w="5103" w:type="dxa"/>
          </w:tcPr>
          <w:p w:rsidR="00A22A1B" w:rsidRPr="004B087A" w:rsidRDefault="0062660D" w:rsidP="00702958">
            <w:pPr>
              <w:autoSpaceDE/>
              <w:autoSpaceDN/>
              <w:adjustRightInd/>
              <w:spacing w:after="0"/>
              <w:jc w:val="left"/>
            </w:pPr>
            <w:r w:rsidRPr="004B087A">
              <w:t>Neuberger Berman</w:t>
            </w:r>
          </w:p>
        </w:tc>
      </w:tr>
      <w:tr w:rsidR="006A2C17" w:rsidTr="00A22A1B">
        <w:tc>
          <w:tcPr>
            <w:tcW w:w="4786" w:type="dxa"/>
          </w:tcPr>
          <w:p w:rsidR="00A22A1B" w:rsidRPr="00DE5095" w:rsidRDefault="0062660D" w:rsidP="00702958">
            <w:pPr>
              <w:autoSpaceDE/>
              <w:autoSpaceDN/>
              <w:adjustRightInd/>
              <w:spacing w:after="0"/>
              <w:jc w:val="left"/>
            </w:pPr>
          </w:p>
        </w:tc>
        <w:tc>
          <w:tcPr>
            <w:tcW w:w="5103" w:type="dxa"/>
          </w:tcPr>
          <w:p w:rsidR="00A22A1B" w:rsidRPr="00F775B3" w:rsidRDefault="0062660D" w:rsidP="00702958">
            <w:pPr>
              <w:autoSpaceDE/>
              <w:autoSpaceDN/>
              <w:adjustRightInd/>
              <w:spacing w:after="0"/>
              <w:jc w:val="left"/>
              <w:rPr>
                <w:highlight w:val="yellow"/>
              </w:rPr>
            </w:pPr>
          </w:p>
        </w:tc>
      </w:tr>
      <w:tr w:rsidR="006A2C17" w:rsidTr="00A22A1B">
        <w:tc>
          <w:tcPr>
            <w:tcW w:w="4786" w:type="dxa"/>
          </w:tcPr>
          <w:p w:rsidR="00A22A1B" w:rsidRPr="00DE5095" w:rsidRDefault="0062660D" w:rsidP="00702958">
            <w:pPr>
              <w:autoSpaceDE/>
              <w:autoSpaceDN/>
              <w:adjustRightInd/>
              <w:spacing w:after="0"/>
              <w:jc w:val="left"/>
            </w:pPr>
            <w:r w:rsidRPr="00DE5095">
              <w:t>EQT</w:t>
            </w:r>
          </w:p>
          <w:p w:rsidR="00A22A1B" w:rsidRPr="00DE5095" w:rsidRDefault="0062660D" w:rsidP="00702958">
            <w:pPr>
              <w:autoSpaceDE/>
              <w:autoSpaceDN/>
              <w:adjustRightInd/>
              <w:spacing w:after="0"/>
              <w:jc w:val="left"/>
            </w:pPr>
          </w:p>
          <w:p w:rsidR="00A22A1B" w:rsidRDefault="0062660D" w:rsidP="00702958">
            <w:pPr>
              <w:autoSpaceDE/>
              <w:autoSpaceDN/>
              <w:adjustRightInd/>
              <w:spacing w:after="0"/>
              <w:jc w:val="left"/>
            </w:pPr>
            <w:r w:rsidRPr="00DE5095">
              <w:t>Guild Investments Ltd</w:t>
            </w:r>
          </w:p>
          <w:p w:rsidR="00A22A1B" w:rsidRDefault="0062660D" w:rsidP="00702958">
            <w:pPr>
              <w:autoSpaceDE/>
              <w:autoSpaceDN/>
              <w:adjustRightInd/>
              <w:spacing w:after="0"/>
              <w:jc w:val="left"/>
            </w:pPr>
            <w:r>
              <w:t xml:space="preserve">Gatefold </w:t>
            </w:r>
            <w:r>
              <w:t>Hayes LP</w:t>
            </w:r>
          </w:p>
          <w:p w:rsidR="00A22A1B" w:rsidRPr="00DE5095" w:rsidRDefault="0062660D" w:rsidP="00DE5095">
            <w:pPr>
              <w:autoSpaceDE/>
              <w:autoSpaceDN/>
              <w:adjustRightInd/>
              <w:spacing w:after="0"/>
              <w:jc w:val="left"/>
            </w:pPr>
            <w:r>
              <w:t xml:space="preserve">Global Infrastructure Partners </w:t>
            </w:r>
          </w:p>
        </w:tc>
        <w:tc>
          <w:tcPr>
            <w:tcW w:w="5103" w:type="dxa"/>
          </w:tcPr>
          <w:p w:rsidR="004B087A" w:rsidRPr="004B087A" w:rsidRDefault="0062660D" w:rsidP="00702958">
            <w:pPr>
              <w:autoSpaceDE/>
              <w:autoSpaceDN/>
              <w:adjustRightInd/>
              <w:spacing w:after="0"/>
              <w:jc w:val="left"/>
            </w:pPr>
            <w:r w:rsidRPr="004B087A">
              <w:t>Pacific Investment Management Company</w:t>
            </w:r>
          </w:p>
          <w:p w:rsidR="004B087A" w:rsidRPr="004B087A" w:rsidRDefault="0062660D" w:rsidP="00702958">
            <w:pPr>
              <w:autoSpaceDE/>
              <w:autoSpaceDN/>
              <w:adjustRightInd/>
              <w:spacing w:after="0"/>
              <w:jc w:val="left"/>
            </w:pPr>
            <w:r w:rsidRPr="004B087A">
              <w:t>Permira Debt Managers</w:t>
            </w:r>
          </w:p>
          <w:p w:rsidR="004B087A" w:rsidRPr="004B087A" w:rsidRDefault="0062660D" w:rsidP="00D4016F">
            <w:pPr>
              <w:autoSpaceDE/>
              <w:autoSpaceDN/>
              <w:adjustRightInd/>
              <w:spacing w:after="0"/>
              <w:jc w:val="left"/>
            </w:pPr>
            <w:proofErr w:type="spellStart"/>
            <w:r w:rsidRPr="004B087A">
              <w:t>Picte</w:t>
            </w:r>
            <w:r>
              <w:t>t</w:t>
            </w:r>
            <w:proofErr w:type="spellEnd"/>
            <w:r w:rsidRPr="004B087A">
              <w:t xml:space="preserve"> Asset Management</w:t>
            </w:r>
          </w:p>
        </w:tc>
      </w:tr>
      <w:tr w:rsidR="006A2C17" w:rsidTr="00A22A1B">
        <w:tc>
          <w:tcPr>
            <w:tcW w:w="4786" w:type="dxa"/>
          </w:tcPr>
          <w:p w:rsidR="00A22A1B" w:rsidRPr="00F775B3" w:rsidRDefault="0062660D" w:rsidP="00702958">
            <w:pPr>
              <w:autoSpaceDE/>
              <w:autoSpaceDN/>
              <w:adjustRightInd/>
              <w:spacing w:after="0"/>
              <w:jc w:val="left"/>
              <w:rPr>
                <w:highlight w:val="yellow"/>
              </w:rPr>
            </w:pPr>
          </w:p>
        </w:tc>
        <w:tc>
          <w:tcPr>
            <w:tcW w:w="5103" w:type="dxa"/>
          </w:tcPr>
          <w:p w:rsidR="00A22A1B" w:rsidRPr="004B087A" w:rsidRDefault="0062660D" w:rsidP="00702958">
            <w:pPr>
              <w:autoSpaceDE/>
              <w:autoSpaceDN/>
              <w:adjustRightInd/>
              <w:spacing w:after="0"/>
              <w:jc w:val="left"/>
            </w:pPr>
            <w:r w:rsidRPr="004B087A">
              <w:t>Prima Capital Advisors</w:t>
            </w:r>
          </w:p>
        </w:tc>
      </w:tr>
      <w:tr w:rsidR="006A2C17" w:rsidTr="00A22A1B">
        <w:tc>
          <w:tcPr>
            <w:tcW w:w="4786" w:type="dxa"/>
          </w:tcPr>
          <w:p w:rsidR="00A22A1B" w:rsidRDefault="0062660D" w:rsidP="00702958">
            <w:pPr>
              <w:autoSpaceDE/>
              <w:autoSpaceDN/>
              <w:adjustRightInd/>
              <w:spacing w:after="0"/>
              <w:jc w:val="left"/>
            </w:pPr>
            <w:proofErr w:type="spellStart"/>
            <w:r w:rsidRPr="00DE5095">
              <w:t>Hayfin</w:t>
            </w:r>
            <w:proofErr w:type="spellEnd"/>
            <w:r w:rsidRPr="00DE5095">
              <w:t xml:space="preserve"> Capital Management</w:t>
            </w:r>
          </w:p>
          <w:p w:rsidR="00A22A1B" w:rsidRPr="00F775B3" w:rsidRDefault="0062660D" w:rsidP="00702958">
            <w:pPr>
              <w:autoSpaceDE/>
              <w:autoSpaceDN/>
              <w:adjustRightInd/>
              <w:spacing w:after="0"/>
              <w:jc w:val="left"/>
              <w:rPr>
                <w:highlight w:val="yellow"/>
              </w:rPr>
            </w:pPr>
            <w:r>
              <w:t>Heylo Housing Trust</w:t>
            </w:r>
          </w:p>
        </w:tc>
        <w:tc>
          <w:tcPr>
            <w:tcW w:w="5103" w:type="dxa"/>
          </w:tcPr>
          <w:p w:rsidR="00A22A1B" w:rsidRPr="004B087A" w:rsidRDefault="0062660D" w:rsidP="00702958">
            <w:pPr>
              <w:autoSpaceDE/>
              <w:autoSpaceDN/>
              <w:adjustRightInd/>
              <w:spacing w:after="0"/>
              <w:jc w:val="left"/>
            </w:pPr>
            <w:proofErr w:type="spellStart"/>
            <w:r w:rsidRPr="004B087A">
              <w:t>Robeco</w:t>
            </w:r>
            <w:proofErr w:type="spellEnd"/>
            <w:r w:rsidRPr="004B087A">
              <w:t xml:space="preserve"> Asset Management</w:t>
            </w:r>
          </w:p>
        </w:tc>
      </w:tr>
      <w:tr w:rsidR="006A2C17" w:rsidTr="00A22A1B">
        <w:tc>
          <w:tcPr>
            <w:tcW w:w="4786" w:type="dxa"/>
          </w:tcPr>
          <w:p w:rsidR="00A22A1B" w:rsidRDefault="0062660D" w:rsidP="00702958">
            <w:pPr>
              <w:autoSpaceDE/>
              <w:autoSpaceDN/>
              <w:adjustRightInd/>
              <w:spacing w:after="0"/>
              <w:jc w:val="left"/>
            </w:pPr>
            <w:r w:rsidRPr="00DE5095">
              <w:t>Highbridge Capital Management</w:t>
            </w:r>
          </w:p>
          <w:p w:rsidR="00A22A1B" w:rsidRPr="00F775B3" w:rsidRDefault="0062660D" w:rsidP="00702958">
            <w:pPr>
              <w:autoSpaceDE/>
              <w:autoSpaceDN/>
              <w:adjustRightInd/>
              <w:spacing w:after="0"/>
              <w:jc w:val="left"/>
              <w:rPr>
                <w:highlight w:val="yellow"/>
              </w:rPr>
            </w:pPr>
            <w:r>
              <w:t>Highstar Capital</w:t>
            </w:r>
          </w:p>
        </w:tc>
        <w:tc>
          <w:tcPr>
            <w:tcW w:w="5103" w:type="dxa"/>
          </w:tcPr>
          <w:p w:rsidR="00A22A1B" w:rsidRDefault="0062660D" w:rsidP="00702958">
            <w:pPr>
              <w:autoSpaceDE/>
              <w:autoSpaceDN/>
              <w:adjustRightInd/>
              <w:spacing w:after="0"/>
              <w:jc w:val="left"/>
            </w:pPr>
            <w:r w:rsidRPr="004B087A">
              <w:t>SL Capital Partners LLP</w:t>
            </w:r>
          </w:p>
          <w:p w:rsidR="004B087A" w:rsidRDefault="0062660D" w:rsidP="00702958">
            <w:pPr>
              <w:autoSpaceDE/>
              <w:autoSpaceDN/>
              <w:adjustRightInd/>
              <w:spacing w:after="0"/>
              <w:jc w:val="left"/>
            </w:pPr>
            <w:r>
              <w:t>Stonepeak Infrastructure Partners</w:t>
            </w:r>
          </w:p>
          <w:p w:rsidR="004B087A" w:rsidRPr="004B087A" w:rsidRDefault="0062660D" w:rsidP="00702958">
            <w:pPr>
              <w:autoSpaceDE/>
              <w:autoSpaceDN/>
              <w:adjustRightInd/>
              <w:spacing w:after="0"/>
              <w:jc w:val="left"/>
            </w:pPr>
          </w:p>
        </w:tc>
      </w:tr>
      <w:tr w:rsidR="006A2C17" w:rsidTr="00A22A1B">
        <w:tc>
          <w:tcPr>
            <w:tcW w:w="4786" w:type="dxa"/>
          </w:tcPr>
          <w:p w:rsidR="00A22A1B" w:rsidRPr="00F775B3" w:rsidRDefault="0062660D" w:rsidP="00702958">
            <w:pPr>
              <w:autoSpaceDE/>
              <w:autoSpaceDN/>
              <w:adjustRightInd/>
              <w:spacing w:after="0"/>
              <w:jc w:val="left"/>
              <w:rPr>
                <w:highlight w:val="yellow"/>
              </w:rPr>
            </w:pPr>
            <w:r w:rsidRPr="00DE5095">
              <w:t>HSBC Global Asset Management</w:t>
            </w:r>
          </w:p>
        </w:tc>
        <w:tc>
          <w:tcPr>
            <w:tcW w:w="5103" w:type="dxa"/>
          </w:tcPr>
          <w:p w:rsidR="004B087A" w:rsidRPr="004B087A" w:rsidRDefault="0062660D" w:rsidP="00702958">
            <w:pPr>
              <w:autoSpaceDE/>
              <w:autoSpaceDN/>
              <w:adjustRightInd/>
              <w:spacing w:after="0"/>
              <w:jc w:val="left"/>
            </w:pPr>
            <w:r w:rsidRPr="004B087A">
              <w:t>THL Credit</w:t>
            </w:r>
          </w:p>
        </w:tc>
      </w:tr>
      <w:tr w:rsidR="006A2C17" w:rsidTr="00A22A1B">
        <w:tc>
          <w:tcPr>
            <w:tcW w:w="4786" w:type="dxa"/>
          </w:tcPr>
          <w:p w:rsidR="00A22A1B" w:rsidRPr="00F775B3" w:rsidRDefault="0062660D" w:rsidP="00702958">
            <w:pPr>
              <w:autoSpaceDE/>
              <w:autoSpaceDN/>
              <w:adjustRightInd/>
              <w:spacing w:after="0"/>
              <w:jc w:val="left"/>
              <w:rPr>
                <w:highlight w:val="yellow"/>
              </w:rPr>
            </w:pPr>
          </w:p>
        </w:tc>
        <w:tc>
          <w:tcPr>
            <w:tcW w:w="5103" w:type="dxa"/>
          </w:tcPr>
          <w:p w:rsidR="00A22A1B" w:rsidRPr="00F775B3" w:rsidRDefault="0062660D" w:rsidP="00702958">
            <w:pPr>
              <w:autoSpaceDE/>
              <w:autoSpaceDN/>
              <w:adjustRightInd/>
              <w:spacing w:after="0"/>
              <w:jc w:val="left"/>
              <w:rPr>
                <w:highlight w:val="yellow"/>
              </w:rPr>
            </w:pPr>
          </w:p>
        </w:tc>
      </w:tr>
      <w:tr w:rsidR="006A2C17" w:rsidTr="00A22A1B">
        <w:trPr>
          <w:trHeight w:val="508"/>
        </w:trPr>
        <w:tc>
          <w:tcPr>
            <w:tcW w:w="4786" w:type="dxa"/>
          </w:tcPr>
          <w:p w:rsidR="00A22A1B" w:rsidRPr="00DE5095" w:rsidRDefault="0062660D" w:rsidP="00702958">
            <w:pPr>
              <w:autoSpaceDE/>
              <w:autoSpaceDN/>
              <w:adjustRightInd/>
              <w:spacing w:after="0"/>
              <w:jc w:val="left"/>
            </w:pPr>
            <w:r w:rsidRPr="00DE5095">
              <w:t>I Squared Capital</w:t>
            </w:r>
          </w:p>
          <w:p w:rsidR="00A22A1B" w:rsidRPr="00DE5095" w:rsidRDefault="0062660D" w:rsidP="00532782">
            <w:pPr>
              <w:autoSpaceDE/>
              <w:autoSpaceDN/>
              <w:adjustRightInd/>
              <w:spacing w:after="0"/>
              <w:jc w:val="left"/>
            </w:pPr>
            <w:r w:rsidRPr="00DE5095">
              <w:t>Icon Investments</w:t>
            </w:r>
          </w:p>
        </w:tc>
        <w:tc>
          <w:tcPr>
            <w:tcW w:w="5103" w:type="dxa"/>
          </w:tcPr>
          <w:p w:rsidR="00A22A1B" w:rsidRPr="00D4016F" w:rsidRDefault="0062660D" w:rsidP="00532782">
            <w:pPr>
              <w:autoSpaceDE/>
              <w:autoSpaceDN/>
              <w:adjustRightInd/>
              <w:spacing w:after="0"/>
              <w:jc w:val="left"/>
            </w:pPr>
            <w:r w:rsidRPr="00D4016F">
              <w:t>Venn Partners</w:t>
            </w:r>
          </w:p>
        </w:tc>
      </w:tr>
      <w:tr w:rsidR="006A2C17" w:rsidTr="00A22A1B">
        <w:tc>
          <w:tcPr>
            <w:tcW w:w="4786" w:type="dxa"/>
          </w:tcPr>
          <w:p w:rsidR="00A22A1B" w:rsidRPr="00DE5095" w:rsidRDefault="0062660D" w:rsidP="00DE5095">
            <w:pPr>
              <w:autoSpaceDE/>
              <w:autoSpaceDN/>
              <w:adjustRightInd/>
              <w:spacing w:after="0"/>
              <w:jc w:val="left"/>
            </w:pPr>
            <w:r w:rsidRPr="00DE5095">
              <w:t>Investec Asset Management</w:t>
            </w:r>
          </w:p>
        </w:tc>
        <w:tc>
          <w:tcPr>
            <w:tcW w:w="5103" w:type="dxa"/>
          </w:tcPr>
          <w:p w:rsidR="00A22A1B" w:rsidRPr="00D4016F" w:rsidRDefault="0062660D" w:rsidP="00702958">
            <w:pPr>
              <w:autoSpaceDE/>
              <w:autoSpaceDN/>
              <w:adjustRightInd/>
              <w:spacing w:after="0"/>
              <w:jc w:val="left"/>
            </w:pPr>
            <w:proofErr w:type="spellStart"/>
            <w:r w:rsidRPr="00D4016F">
              <w:t>Westmill</w:t>
            </w:r>
            <w:proofErr w:type="spellEnd"/>
            <w:r w:rsidRPr="00D4016F">
              <w:t xml:space="preserve"> Solar Co-operative</w:t>
            </w:r>
          </w:p>
        </w:tc>
      </w:tr>
      <w:tr w:rsidR="006A2C17" w:rsidTr="00A22A1B">
        <w:tc>
          <w:tcPr>
            <w:tcW w:w="4786" w:type="dxa"/>
          </w:tcPr>
          <w:p w:rsidR="00A22A1B" w:rsidRPr="00F775B3" w:rsidRDefault="0062660D" w:rsidP="00732275">
            <w:pPr>
              <w:autoSpaceDE/>
              <w:autoSpaceDN/>
              <w:adjustRightInd/>
              <w:spacing w:after="0"/>
              <w:jc w:val="left"/>
              <w:rPr>
                <w:highlight w:val="yellow"/>
              </w:rPr>
            </w:pPr>
          </w:p>
        </w:tc>
        <w:tc>
          <w:tcPr>
            <w:tcW w:w="5103" w:type="dxa"/>
          </w:tcPr>
          <w:p w:rsidR="00A22A1B" w:rsidRPr="00D4016F" w:rsidRDefault="0062660D" w:rsidP="00702958">
            <w:pPr>
              <w:autoSpaceDE/>
              <w:autoSpaceDN/>
              <w:adjustRightInd/>
              <w:spacing w:after="0"/>
              <w:jc w:val="left"/>
            </w:pPr>
            <w:r w:rsidRPr="00D4016F">
              <w:t>White Oak Global Advisors</w:t>
            </w:r>
          </w:p>
        </w:tc>
      </w:tr>
      <w:tr w:rsidR="006A2C17" w:rsidTr="00A22A1B">
        <w:tc>
          <w:tcPr>
            <w:tcW w:w="478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tblGrid>
            <w:tr w:rsidR="006A2C17" w:rsidTr="00487E47">
              <w:tc>
                <w:tcPr>
                  <w:tcW w:w="5103" w:type="dxa"/>
                </w:tcPr>
                <w:p w:rsidR="00A22A1B" w:rsidRPr="00F775B3" w:rsidRDefault="0062660D" w:rsidP="00A22A1B">
                  <w:pPr>
                    <w:autoSpaceDE/>
                    <w:autoSpaceDN/>
                    <w:adjustRightInd/>
                    <w:spacing w:after="0"/>
                    <w:ind w:left="-74"/>
                    <w:jc w:val="left"/>
                    <w:rPr>
                      <w:highlight w:val="yellow"/>
                    </w:rPr>
                  </w:pPr>
                  <w:r w:rsidRPr="00A22A1B">
                    <w:t>Kames Capital</w:t>
                  </w:r>
                </w:p>
              </w:tc>
            </w:tr>
            <w:tr w:rsidR="006A2C17" w:rsidTr="00487E47">
              <w:tc>
                <w:tcPr>
                  <w:tcW w:w="5103" w:type="dxa"/>
                </w:tcPr>
                <w:p w:rsidR="00A22A1B" w:rsidRPr="00A22A1B" w:rsidRDefault="0062660D" w:rsidP="00A22A1B">
                  <w:pPr>
                    <w:autoSpaceDE/>
                    <w:autoSpaceDN/>
                    <w:adjustRightInd/>
                    <w:spacing w:after="0"/>
                    <w:ind w:left="-74"/>
                    <w:jc w:val="left"/>
                  </w:pPr>
                  <w:r w:rsidRPr="00A22A1B">
                    <w:t>King Street Capital Management</w:t>
                  </w:r>
                </w:p>
              </w:tc>
            </w:tr>
            <w:tr w:rsidR="006A2C17" w:rsidTr="00487E47">
              <w:tc>
                <w:tcPr>
                  <w:tcW w:w="5103" w:type="dxa"/>
                </w:tcPr>
                <w:p w:rsidR="00A22A1B" w:rsidRPr="00A22A1B" w:rsidRDefault="0062660D" w:rsidP="00A22A1B">
                  <w:pPr>
                    <w:autoSpaceDE/>
                    <w:autoSpaceDN/>
                    <w:adjustRightInd/>
                    <w:spacing w:after="0"/>
                    <w:ind w:left="-74"/>
                    <w:jc w:val="left"/>
                  </w:pPr>
                  <w:r>
                    <w:t>Knight Frank Investors</w:t>
                  </w:r>
                </w:p>
              </w:tc>
            </w:tr>
            <w:tr w:rsidR="006A2C17" w:rsidTr="00487E47">
              <w:tc>
                <w:tcPr>
                  <w:tcW w:w="5103" w:type="dxa"/>
                </w:tcPr>
                <w:p w:rsidR="00A22A1B" w:rsidRPr="00F775B3" w:rsidRDefault="0062660D" w:rsidP="00A22A1B">
                  <w:pPr>
                    <w:autoSpaceDE/>
                    <w:autoSpaceDN/>
                    <w:adjustRightInd/>
                    <w:spacing w:after="0"/>
                    <w:ind w:left="-74"/>
                    <w:jc w:val="left"/>
                    <w:rPr>
                      <w:highlight w:val="yellow"/>
                    </w:rPr>
                  </w:pPr>
                  <w:r w:rsidRPr="00A22A1B">
                    <w:t>Kreos Capital</w:t>
                  </w:r>
                </w:p>
              </w:tc>
            </w:tr>
          </w:tbl>
          <w:p w:rsidR="00A22A1B" w:rsidRPr="00F775B3" w:rsidRDefault="0062660D" w:rsidP="00FC59A1">
            <w:pPr>
              <w:autoSpaceDE/>
              <w:autoSpaceDN/>
              <w:adjustRightInd/>
              <w:spacing w:after="0"/>
              <w:jc w:val="left"/>
              <w:rPr>
                <w:highlight w:val="yellow"/>
              </w:rPr>
            </w:pPr>
          </w:p>
        </w:tc>
        <w:tc>
          <w:tcPr>
            <w:tcW w:w="5103" w:type="dxa"/>
          </w:tcPr>
          <w:p w:rsidR="00A22A1B" w:rsidRPr="00F775B3" w:rsidRDefault="0062660D" w:rsidP="00702958">
            <w:pPr>
              <w:autoSpaceDE/>
              <w:autoSpaceDN/>
              <w:adjustRightInd/>
              <w:spacing w:after="0"/>
              <w:jc w:val="left"/>
              <w:rPr>
                <w:highlight w:val="yellow"/>
              </w:rPr>
            </w:pPr>
          </w:p>
        </w:tc>
      </w:tr>
      <w:tr w:rsidR="006A2C17" w:rsidTr="00A22A1B">
        <w:tc>
          <w:tcPr>
            <w:tcW w:w="4786" w:type="dxa"/>
          </w:tcPr>
          <w:p w:rsidR="00A22A1B" w:rsidRDefault="0062660D" w:rsidP="00702958">
            <w:pPr>
              <w:autoSpaceDE/>
              <w:autoSpaceDN/>
              <w:adjustRightInd/>
              <w:spacing w:after="0"/>
              <w:jc w:val="left"/>
            </w:pPr>
          </w:p>
        </w:tc>
        <w:tc>
          <w:tcPr>
            <w:tcW w:w="5103" w:type="dxa"/>
          </w:tcPr>
          <w:p w:rsidR="00A22A1B" w:rsidRDefault="0062660D" w:rsidP="00702958">
            <w:pPr>
              <w:autoSpaceDE/>
              <w:autoSpaceDN/>
              <w:adjustRightInd/>
              <w:spacing w:after="0"/>
              <w:jc w:val="left"/>
            </w:pPr>
          </w:p>
        </w:tc>
      </w:tr>
      <w:tr w:rsidR="006A2C17" w:rsidTr="00A22A1B">
        <w:tc>
          <w:tcPr>
            <w:tcW w:w="4786" w:type="dxa"/>
          </w:tcPr>
          <w:p w:rsidR="00A22A1B" w:rsidRDefault="0062660D" w:rsidP="00702958">
            <w:pPr>
              <w:autoSpaceDE/>
              <w:autoSpaceDN/>
              <w:adjustRightInd/>
              <w:spacing w:after="0"/>
              <w:jc w:val="left"/>
            </w:pPr>
          </w:p>
        </w:tc>
        <w:tc>
          <w:tcPr>
            <w:tcW w:w="5103" w:type="dxa"/>
          </w:tcPr>
          <w:p w:rsidR="00A22A1B" w:rsidRDefault="0062660D" w:rsidP="00702958">
            <w:pPr>
              <w:autoSpaceDE/>
              <w:autoSpaceDN/>
              <w:adjustRightInd/>
              <w:spacing w:after="0"/>
              <w:jc w:val="left"/>
            </w:pPr>
          </w:p>
        </w:tc>
      </w:tr>
      <w:tr w:rsidR="006A2C17" w:rsidTr="00A22A1B">
        <w:tc>
          <w:tcPr>
            <w:tcW w:w="4786" w:type="dxa"/>
          </w:tcPr>
          <w:p w:rsidR="00A22A1B" w:rsidRDefault="0062660D" w:rsidP="00702958">
            <w:pPr>
              <w:autoSpaceDE/>
              <w:autoSpaceDN/>
              <w:adjustRightInd/>
              <w:spacing w:after="0"/>
              <w:jc w:val="left"/>
            </w:pPr>
          </w:p>
        </w:tc>
        <w:tc>
          <w:tcPr>
            <w:tcW w:w="5103" w:type="dxa"/>
          </w:tcPr>
          <w:p w:rsidR="00A22A1B" w:rsidRDefault="0062660D" w:rsidP="00702958">
            <w:pPr>
              <w:autoSpaceDE/>
              <w:autoSpaceDN/>
              <w:adjustRightInd/>
              <w:spacing w:after="0"/>
              <w:jc w:val="left"/>
            </w:pPr>
          </w:p>
        </w:tc>
      </w:tr>
      <w:tr w:rsidR="006A2C17" w:rsidTr="00A22A1B">
        <w:tc>
          <w:tcPr>
            <w:tcW w:w="4786" w:type="dxa"/>
          </w:tcPr>
          <w:p w:rsidR="00A22A1B" w:rsidRDefault="0062660D" w:rsidP="00702958">
            <w:pPr>
              <w:autoSpaceDE/>
              <w:autoSpaceDN/>
              <w:adjustRightInd/>
              <w:spacing w:after="0"/>
              <w:jc w:val="left"/>
            </w:pPr>
          </w:p>
        </w:tc>
        <w:tc>
          <w:tcPr>
            <w:tcW w:w="5103" w:type="dxa"/>
          </w:tcPr>
          <w:p w:rsidR="00A22A1B" w:rsidRDefault="0062660D" w:rsidP="00702958">
            <w:pPr>
              <w:autoSpaceDE/>
              <w:autoSpaceDN/>
              <w:adjustRightInd/>
              <w:spacing w:after="0"/>
              <w:jc w:val="left"/>
            </w:pPr>
          </w:p>
        </w:tc>
      </w:tr>
      <w:tr w:rsidR="006A2C17" w:rsidTr="00A22A1B">
        <w:tc>
          <w:tcPr>
            <w:tcW w:w="4786" w:type="dxa"/>
          </w:tcPr>
          <w:p w:rsidR="00A22A1B" w:rsidRDefault="0062660D" w:rsidP="00702958">
            <w:pPr>
              <w:autoSpaceDE/>
              <w:autoSpaceDN/>
              <w:adjustRightInd/>
              <w:spacing w:after="0"/>
              <w:jc w:val="left"/>
            </w:pPr>
          </w:p>
        </w:tc>
        <w:tc>
          <w:tcPr>
            <w:tcW w:w="5103" w:type="dxa"/>
          </w:tcPr>
          <w:p w:rsidR="00A22A1B" w:rsidRDefault="0062660D" w:rsidP="00702958">
            <w:pPr>
              <w:autoSpaceDE/>
              <w:autoSpaceDN/>
              <w:adjustRightInd/>
              <w:spacing w:after="0"/>
              <w:jc w:val="left"/>
            </w:pPr>
          </w:p>
        </w:tc>
      </w:tr>
      <w:tr w:rsidR="006A2C17" w:rsidTr="00A22A1B">
        <w:tc>
          <w:tcPr>
            <w:tcW w:w="4786" w:type="dxa"/>
          </w:tcPr>
          <w:p w:rsidR="00A22A1B" w:rsidRDefault="0062660D" w:rsidP="00702958">
            <w:pPr>
              <w:autoSpaceDE/>
              <w:autoSpaceDN/>
              <w:adjustRightInd/>
              <w:spacing w:after="0"/>
              <w:jc w:val="left"/>
            </w:pPr>
          </w:p>
        </w:tc>
        <w:tc>
          <w:tcPr>
            <w:tcW w:w="5103" w:type="dxa"/>
          </w:tcPr>
          <w:p w:rsidR="00A22A1B" w:rsidRDefault="0062660D" w:rsidP="00702958">
            <w:pPr>
              <w:autoSpaceDE/>
              <w:autoSpaceDN/>
              <w:adjustRightInd/>
              <w:spacing w:after="0"/>
              <w:jc w:val="left"/>
            </w:pPr>
          </w:p>
        </w:tc>
      </w:tr>
      <w:tr w:rsidR="006A2C17" w:rsidTr="00A22A1B">
        <w:tc>
          <w:tcPr>
            <w:tcW w:w="4786" w:type="dxa"/>
          </w:tcPr>
          <w:p w:rsidR="00A22A1B" w:rsidRDefault="0062660D" w:rsidP="00702958">
            <w:pPr>
              <w:autoSpaceDE/>
              <w:autoSpaceDN/>
              <w:adjustRightInd/>
              <w:spacing w:after="0"/>
              <w:jc w:val="left"/>
            </w:pPr>
          </w:p>
        </w:tc>
        <w:tc>
          <w:tcPr>
            <w:tcW w:w="5103" w:type="dxa"/>
          </w:tcPr>
          <w:p w:rsidR="00A22A1B" w:rsidRDefault="0062660D" w:rsidP="00702958">
            <w:pPr>
              <w:autoSpaceDE/>
              <w:autoSpaceDN/>
              <w:adjustRightInd/>
              <w:spacing w:after="0"/>
              <w:jc w:val="left"/>
            </w:pPr>
          </w:p>
        </w:tc>
      </w:tr>
      <w:tr w:rsidR="006A2C17" w:rsidTr="00A22A1B">
        <w:tc>
          <w:tcPr>
            <w:tcW w:w="4786" w:type="dxa"/>
          </w:tcPr>
          <w:p w:rsidR="00A22A1B" w:rsidRDefault="0062660D" w:rsidP="00702958">
            <w:pPr>
              <w:autoSpaceDE/>
              <w:autoSpaceDN/>
              <w:adjustRightInd/>
              <w:spacing w:after="0"/>
              <w:jc w:val="left"/>
            </w:pPr>
          </w:p>
        </w:tc>
        <w:tc>
          <w:tcPr>
            <w:tcW w:w="5103" w:type="dxa"/>
          </w:tcPr>
          <w:p w:rsidR="00A22A1B" w:rsidRDefault="0062660D" w:rsidP="00702958">
            <w:pPr>
              <w:autoSpaceDE/>
              <w:autoSpaceDN/>
              <w:adjustRightInd/>
              <w:spacing w:after="0"/>
              <w:jc w:val="left"/>
            </w:pPr>
          </w:p>
        </w:tc>
      </w:tr>
      <w:tr w:rsidR="006A2C17" w:rsidTr="00A22A1B">
        <w:tc>
          <w:tcPr>
            <w:tcW w:w="4786" w:type="dxa"/>
          </w:tcPr>
          <w:p w:rsidR="00A22A1B" w:rsidRDefault="0062660D" w:rsidP="00702958">
            <w:pPr>
              <w:autoSpaceDE/>
              <w:autoSpaceDN/>
              <w:adjustRightInd/>
              <w:spacing w:after="0"/>
              <w:jc w:val="left"/>
            </w:pPr>
          </w:p>
        </w:tc>
        <w:tc>
          <w:tcPr>
            <w:tcW w:w="5103" w:type="dxa"/>
          </w:tcPr>
          <w:p w:rsidR="00A22A1B" w:rsidRDefault="0062660D" w:rsidP="00702958">
            <w:pPr>
              <w:autoSpaceDE/>
              <w:autoSpaceDN/>
              <w:adjustRightInd/>
              <w:spacing w:after="0"/>
              <w:jc w:val="left"/>
            </w:pPr>
          </w:p>
        </w:tc>
      </w:tr>
      <w:tr w:rsidR="006A2C17" w:rsidTr="00A22A1B">
        <w:tc>
          <w:tcPr>
            <w:tcW w:w="4786" w:type="dxa"/>
          </w:tcPr>
          <w:p w:rsidR="00A22A1B" w:rsidRDefault="0062660D" w:rsidP="00702958">
            <w:pPr>
              <w:autoSpaceDE/>
              <w:autoSpaceDN/>
              <w:adjustRightInd/>
              <w:spacing w:after="0"/>
              <w:jc w:val="left"/>
            </w:pPr>
          </w:p>
        </w:tc>
        <w:tc>
          <w:tcPr>
            <w:tcW w:w="5103" w:type="dxa"/>
          </w:tcPr>
          <w:p w:rsidR="00A22A1B" w:rsidRDefault="0062660D" w:rsidP="00702958">
            <w:pPr>
              <w:autoSpaceDE/>
              <w:autoSpaceDN/>
              <w:adjustRightInd/>
              <w:spacing w:after="0"/>
              <w:jc w:val="left"/>
            </w:pPr>
          </w:p>
        </w:tc>
      </w:tr>
      <w:tr w:rsidR="006A2C17" w:rsidTr="00A22A1B">
        <w:tc>
          <w:tcPr>
            <w:tcW w:w="4786" w:type="dxa"/>
          </w:tcPr>
          <w:p w:rsidR="00A22A1B" w:rsidRDefault="0062660D" w:rsidP="00702958">
            <w:pPr>
              <w:autoSpaceDE/>
              <w:autoSpaceDN/>
              <w:adjustRightInd/>
              <w:spacing w:after="0"/>
              <w:jc w:val="left"/>
            </w:pPr>
          </w:p>
        </w:tc>
        <w:tc>
          <w:tcPr>
            <w:tcW w:w="5103" w:type="dxa"/>
          </w:tcPr>
          <w:p w:rsidR="00A22A1B" w:rsidRDefault="0062660D" w:rsidP="00702958">
            <w:pPr>
              <w:autoSpaceDE/>
              <w:autoSpaceDN/>
              <w:adjustRightInd/>
              <w:spacing w:after="0"/>
              <w:jc w:val="left"/>
            </w:pPr>
          </w:p>
        </w:tc>
      </w:tr>
      <w:tr w:rsidR="006A2C17" w:rsidTr="00A22A1B">
        <w:tc>
          <w:tcPr>
            <w:tcW w:w="4786" w:type="dxa"/>
          </w:tcPr>
          <w:p w:rsidR="00A22A1B" w:rsidRDefault="0062660D" w:rsidP="00702958">
            <w:pPr>
              <w:autoSpaceDE/>
              <w:autoSpaceDN/>
              <w:adjustRightInd/>
              <w:spacing w:after="0"/>
              <w:jc w:val="left"/>
            </w:pPr>
          </w:p>
        </w:tc>
        <w:tc>
          <w:tcPr>
            <w:tcW w:w="5103" w:type="dxa"/>
          </w:tcPr>
          <w:p w:rsidR="00A22A1B" w:rsidRDefault="0062660D" w:rsidP="00702958">
            <w:pPr>
              <w:autoSpaceDE/>
              <w:autoSpaceDN/>
              <w:adjustRightInd/>
              <w:spacing w:after="0"/>
              <w:jc w:val="left"/>
            </w:pPr>
          </w:p>
        </w:tc>
      </w:tr>
    </w:tbl>
    <w:p w:rsidR="00572F03" w:rsidRDefault="0062660D">
      <w:pPr>
        <w:autoSpaceDE/>
        <w:autoSpaceDN/>
        <w:adjustRightInd/>
        <w:spacing w:after="0"/>
        <w:jc w:val="left"/>
      </w:pPr>
    </w:p>
    <w:p w:rsidR="00572F03" w:rsidRDefault="0062660D">
      <w:pPr>
        <w:autoSpaceDE/>
        <w:autoSpaceDN/>
        <w:adjustRightInd/>
        <w:spacing w:after="0"/>
        <w:jc w:val="left"/>
      </w:pPr>
    </w:p>
    <w:p w:rsidR="00572F03" w:rsidRDefault="0062660D">
      <w:pPr>
        <w:autoSpaceDE/>
        <w:autoSpaceDN/>
        <w:adjustRightInd/>
        <w:spacing w:after="0"/>
        <w:jc w:val="left"/>
      </w:pPr>
    </w:p>
    <w:p w:rsidR="00572F03" w:rsidRDefault="0062660D">
      <w:pPr>
        <w:autoSpaceDE/>
        <w:autoSpaceDN/>
        <w:adjustRightInd/>
        <w:spacing w:after="0"/>
        <w:jc w:val="left"/>
      </w:pPr>
    </w:p>
    <w:p w:rsidR="00572F03" w:rsidRDefault="0062660D">
      <w:pPr>
        <w:autoSpaceDE/>
        <w:autoSpaceDN/>
        <w:adjustRightInd/>
        <w:spacing w:after="0"/>
        <w:jc w:val="left"/>
      </w:pPr>
    </w:p>
    <w:p w:rsidR="00572F03" w:rsidRDefault="0062660D">
      <w:pPr>
        <w:autoSpaceDE/>
        <w:autoSpaceDN/>
        <w:adjustRightInd/>
        <w:spacing w:after="0"/>
        <w:jc w:val="left"/>
      </w:pPr>
    </w:p>
    <w:p w:rsidR="00572F03" w:rsidRDefault="0062660D">
      <w:pPr>
        <w:autoSpaceDE/>
        <w:autoSpaceDN/>
        <w:adjustRightInd/>
        <w:spacing w:after="0"/>
        <w:jc w:val="left"/>
      </w:pPr>
    </w:p>
    <w:p w:rsidR="00572F03" w:rsidRDefault="0062660D">
      <w:pPr>
        <w:autoSpaceDE/>
        <w:autoSpaceDN/>
        <w:adjustRightInd/>
        <w:spacing w:after="0"/>
        <w:jc w:val="left"/>
      </w:pPr>
    </w:p>
    <w:p w:rsidR="00572F03" w:rsidRDefault="0062660D">
      <w:pPr>
        <w:autoSpaceDE/>
        <w:autoSpaceDN/>
        <w:adjustRightInd/>
        <w:spacing w:after="0"/>
        <w:jc w:val="left"/>
      </w:pPr>
    </w:p>
    <w:tbl>
      <w:tblPr>
        <w:tblW w:w="11389" w:type="dxa"/>
        <w:tblInd w:w="250" w:type="dxa"/>
        <w:tblLook w:val="04A0" w:firstRow="1" w:lastRow="0" w:firstColumn="1" w:lastColumn="0" w:noHBand="0" w:noVBand="1"/>
      </w:tblPr>
      <w:tblGrid>
        <w:gridCol w:w="10598"/>
        <w:gridCol w:w="791"/>
      </w:tblGrid>
      <w:tr w:rsidR="006A2C17" w:rsidTr="00572F03">
        <w:trPr>
          <w:trHeight w:val="454"/>
        </w:trPr>
        <w:tc>
          <w:tcPr>
            <w:tcW w:w="10598" w:type="dxa"/>
            <w:tcBorders>
              <w:top w:val="nil"/>
              <w:left w:val="nil"/>
              <w:bottom w:val="nil"/>
              <w:right w:val="nil"/>
            </w:tcBorders>
            <w:shd w:val="clear" w:color="auto" w:fill="auto"/>
            <w:vAlign w:val="center"/>
          </w:tcPr>
          <w:p w:rsidR="00662378" w:rsidRPr="00662378" w:rsidRDefault="0062660D" w:rsidP="00F504EE">
            <w:pPr>
              <w:numPr>
                <w:ilvl w:val="0"/>
                <w:numId w:val="12"/>
              </w:numPr>
              <w:autoSpaceDE/>
              <w:autoSpaceDN/>
              <w:adjustRightInd/>
              <w:spacing w:after="0"/>
              <w:ind w:hanging="468"/>
              <w:jc w:val="left"/>
              <w:rPr>
                <w:rFonts w:eastAsia="Times New Roman" w:cs="Times New Roman"/>
                <w:b/>
                <w:snapToGrid w:val="0"/>
                <w:color w:val="auto"/>
                <w:sz w:val="32"/>
                <w:szCs w:val="32"/>
              </w:rPr>
            </w:pPr>
            <w:r w:rsidRPr="00662378">
              <w:rPr>
                <w:rFonts w:eastAsia="Times New Roman" w:cs="Times New Roman"/>
                <w:b/>
                <w:snapToGrid w:val="0"/>
                <w:color w:val="auto"/>
                <w:sz w:val="32"/>
                <w:szCs w:val="32"/>
              </w:rPr>
              <w:t>Foreword by County Councillor Kevin Ellard, Chair of the Pension Fund Committee</w:t>
            </w:r>
          </w:p>
          <w:p w:rsidR="00662378" w:rsidRPr="00662378" w:rsidRDefault="0062660D" w:rsidP="00662378">
            <w:pPr>
              <w:autoSpaceDE/>
              <w:autoSpaceDN/>
              <w:adjustRightInd/>
              <w:spacing w:after="0"/>
              <w:ind w:left="360"/>
              <w:jc w:val="left"/>
              <w:rPr>
                <w:rFonts w:eastAsia="Times New Roman" w:cs="Times New Roman"/>
                <w:b/>
                <w:snapToGrid w:val="0"/>
                <w:color w:val="auto"/>
                <w:sz w:val="28"/>
                <w:szCs w:val="28"/>
              </w:rPr>
            </w:pPr>
          </w:p>
          <w:p w:rsidR="00F775B3" w:rsidRPr="00F775B3" w:rsidRDefault="0062660D" w:rsidP="00F775B3">
            <w:pPr>
              <w:pStyle w:val="Body"/>
              <w:rPr>
                <w:rFonts w:ascii="Arial" w:hAnsi="Arial" w:cs="Arial"/>
                <w:sz w:val="24"/>
                <w:szCs w:val="24"/>
              </w:rPr>
            </w:pPr>
            <w:r w:rsidRPr="00F775B3">
              <w:rPr>
                <w:rFonts w:ascii="Arial" w:hAnsi="Arial" w:cs="Arial"/>
                <w:sz w:val="24"/>
                <w:szCs w:val="24"/>
              </w:rPr>
              <w:t xml:space="preserve">As ever it has been a very busy year for </w:t>
            </w:r>
            <w:r w:rsidRPr="00F775B3">
              <w:rPr>
                <w:rFonts w:ascii="Arial" w:hAnsi="Arial" w:cs="Arial"/>
                <w:sz w:val="24"/>
                <w:szCs w:val="24"/>
              </w:rPr>
              <w:t>Lancashire County Pension Fund. The world in which we operate does not stand still, and consequently neither can we.</w:t>
            </w:r>
          </w:p>
          <w:p w:rsidR="00F775B3" w:rsidRPr="00F775B3" w:rsidRDefault="0062660D" w:rsidP="00F775B3">
            <w:pPr>
              <w:pStyle w:val="Body"/>
              <w:rPr>
                <w:rFonts w:ascii="Arial" w:hAnsi="Arial" w:cs="Arial"/>
                <w:sz w:val="24"/>
                <w:szCs w:val="24"/>
              </w:rPr>
            </w:pPr>
          </w:p>
          <w:p w:rsidR="00F775B3" w:rsidRPr="00F775B3" w:rsidRDefault="0062660D" w:rsidP="00F775B3">
            <w:pPr>
              <w:pStyle w:val="Body"/>
              <w:rPr>
                <w:rFonts w:ascii="Arial" w:hAnsi="Arial" w:cs="Arial"/>
                <w:sz w:val="24"/>
                <w:szCs w:val="24"/>
              </w:rPr>
            </w:pPr>
            <w:r w:rsidRPr="00F775B3">
              <w:rPr>
                <w:rFonts w:ascii="Arial" w:hAnsi="Arial" w:cs="Arial"/>
                <w:sz w:val="24"/>
                <w:szCs w:val="24"/>
              </w:rPr>
              <w:t>Over the last 12 months the Fund has concluded the first pooling arrangement within the Local Government Pension Scheme in the Local Pensi</w:t>
            </w:r>
            <w:r w:rsidRPr="00F775B3">
              <w:rPr>
                <w:rFonts w:ascii="Arial" w:hAnsi="Arial" w:cs="Arial"/>
                <w:sz w:val="24"/>
                <w:szCs w:val="24"/>
              </w:rPr>
              <w:t>ons Partnership. However, our approach to pooling has always been about the holistic management of the Fund rather than just creating a bigger pot of investment assets and shortly after the end of the financial year all the staff who carry out the investme</w:t>
            </w:r>
            <w:r w:rsidRPr="00F775B3">
              <w:rPr>
                <w:rFonts w:ascii="Arial" w:hAnsi="Arial" w:cs="Arial"/>
                <w:sz w:val="24"/>
                <w:szCs w:val="24"/>
              </w:rPr>
              <w:t>nt and administration functions of the fund transferred to the new Partnership. They continue to be based in Preston and continue to focus on making sure that the Lancashire County Pension Fund and the other funds that they are now dealing with are the bes</w:t>
            </w:r>
            <w:r w:rsidRPr="00F775B3">
              <w:rPr>
                <w:rFonts w:ascii="Arial" w:hAnsi="Arial" w:cs="Arial"/>
                <w:sz w:val="24"/>
                <w:szCs w:val="24"/>
              </w:rPr>
              <w:t>t run within the Local Government Pension Scheme.  As a result of these changes we have a new working arrangements with some of the key staff within the Fund including George Graham the Director of the Fund and Mike Jensen the Chief Investment Officer.  Bo</w:t>
            </w:r>
            <w:r w:rsidRPr="00F775B3">
              <w:rPr>
                <w:rFonts w:ascii="Arial" w:hAnsi="Arial" w:cs="Arial"/>
                <w:sz w:val="24"/>
                <w:szCs w:val="24"/>
              </w:rPr>
              <w:t xml:space="preserve">th these individuals have played a key part within the fund and will continue to do so in the partnership arrangements. </w:t>
            </w:r>
          </w:p>
          <w:p w:rsidR="00F775B3" w:rsidRPr="00F775B3" w:rsidRDefault="0062660D" w:rsidP="00F775B3">
            <w:pPr>
              <w:pStyle w:val="Body"/>
              <w:rPr>
                <w:rFonts w:ascii="Arial" w:hAnsi="Arial" w:cs="Arial"/>
                <w:sz w:val="24"/>
                <w:szCs w:val="24"/>
              </w:rPr>
            </w:pPr>
          </w:p>
          <w:p w:rsidR="00F775B3" w:rsidRPr="00F775B3" w:rsidRDefault="0062660D" w:rsidP="00F775B3">
            <w:pPr>
              <w:pStyle w:val="Body"/>
              <w:rPr>
                <w:rFonts w:ascii="Arial" w:hAnsi="Arial" w:cs="Arial"/>
                <w:sz w:val="24"/>
                <w:szCs w:val="24"/>
              </w:rPr>
            </w:pPr>
            <w:r w:rsidRPr="00F775B3">
              <w:rPr>
                <w:rFonts w:ascii="Arial" w:hAnsi="Arial" w:cs="Arial"/>
                <w:sz w:val="24"/>
                <w:szCs w:val="24"/>
              </w:rPr>
              <w:t xml:space="preserve">While the creation of the partnership with the London Pension Fund Authority has been the largest single issue facing the Fund in the </w:t>
            </w:r>
            <w:r w:rsidRPr="00F775B3">
              <w:rPr>
                <w:rFonts w:ascii="Arial" w:hAnsi="Arial" w:cs="Arial"/>
                <w:sz w:val="24"/>
                <w:szCs w:val="24"/>
              </w:rPr>
              <w:t xml:space="preserve">last 12 months we have also made sure that we have kept a clear focus on the business of investing the fund and ensuring that pensions are paid accurately and on time. </w:t>
            </w:r>
          </w:p>
          <w:p w:rsidR="00F775B3" w:rsidRPr="00F775B3" w:rsidRDefault="0062660D" w:rsidP="00F775B3">
            <w:pPr>
              <w:pStyle w:val="Body"/>
              <w:rPr>
                <w:rFonts w:ascii="Arial" w:hAnsi="Arial" w:cs="Arial"/>
                <w:sz w:val="24"/>
                <w:szCs w:val="24"/>
              </w:rPr>
            </w:pPr>
          </w:p>
          <w:p w:rsidR="00F775B3" w:rsidRPr="00F775B3" w:rsidRDefault="0062660D" w:rsidP="00F775B3">
            <w:pPr>
              <w:pStyle w:val="Body"/>
              <w:rPr>
                <w:rFonts w:ascii="Arial" w:hAnsi="Arial" w:cs="Arial"/>
                <w:sz w:val="24"/>
                <w:szCs w:val="24"/>
              </w:rPr>
            </w:pPr>
            <w:r w:rsidRPr="00F775B3">
              <w:rPr>
                <w:rFonts w:ascii="Arial" w:hAnsi="Arial" w:cs="Arial"/>
                <w:sz w:val="24"/>
                <w:szCs w:val="24"/>
              </w:rPr>
              <w:t xml:space="preserve">In terms of investment the markets have seen a </w:t>
            </w:r>
            <w:proofErr w:type="spellStart"/>
            <w:r w:rsidRPr="00F775B3">
              <w:rPr>
                <w:rFonts w:ascii="Arial" w:hAnsi="Arial" w:cs="Arial"/>
                <w:sz w:val="24"/>
                <w:szCs w:val="24"/>
              </w:rPr>
              <w:t>topsy</w:t>
            </w:r>
            <w:proofErr w:type="spellEnd"/>
            <w:r w:rsidRPr="00F775B3">
              <w:rPr>
                <w:rFonts w:ascii="Arial" w:hAnsi="Arial" w:cs="Arial"/>
                <w:sz w:val="24"/>
                <w:szCs w:val="24"/>
              </w:rPr>
              <w:t xml:space="preserve"> </w:t>
            </w:r>
            <w:proofErr w:type="spellStart"/>
            <w:r w:rsidRPr="00F775B3">
              <w:rPr>
                <w:rFonts w:ascii="Arial" w:hAnsi="Arial" w:cs="Arial"/>
                <w:sz w:val="24"/>
                <w:szCs w:val="24"/>
              </w:rPr>
              <w:t>turvy</w:t>
            </w:r>
            <w:proofErr w:type="spellEnd"/>
            <w:r w:rsidRPr="00F775B3">
              <w:rPr>
                <w:rFonts w:ascii="Arial" w:hAnsi="Arial" w:cs="Arial"/>
                <w:sz w:val="24"/>
                <w:szCs w:val="24"/>
              </w:rPr>
              <w:t xml:space="preserve"> year, however the Fund's in</w:t>
            </w:r>
            <w:r w:rsidRPr="00F775B3">
              <w:rPr>
                <w:rFonts w:ascii="Arial" w:hAnsi="Arial" w:cs="Arial"/>
                <w:sz w:val="24"/>
                <w:szCs w:val="24"/>
              </w:rPr>
              <w:t xml:space="preserve">vestment strategy is designed to </w:t>
            </w:r>
            <w:proofErr w:type="spellStart"/>
            <w:r w:rsidRPr="00F775B3">
              <w:rPr>
                <w:rFonts w:ascii="Arial" w:hAnsi="Arial" w:cs="Arial"/>
                <w:sz w:val="24"/>
                <w:szCs w:val="24"/>
              </w:rPr>
              <w:t>minimise</w:t>
            </w:r>
            <w:proofErr w:type="spellEnd"/>
            <w:r w:rsidRPr="00F775B3">
              <w:rPr>
                <w:rFonts w:ascii="Arial" w:hAnsi="Arial" w:cs="Arial"/>
                <w:sz w:val="24"/>
                <w:szCs w:val="24"/>
              </w:rPr>
              <w:t xml:space="preserve"> the impact on value of the large swings that can be caused by market movements. This year that strategy has paid off and the fund's performance was according to independent experts State Street the best in the Loca</w:t>
            </w:r>
            <w:r w:rsidRPr="00F775B3">
              <w:rPr>
                <w:rFonts w:ascii="Arial" w:hAnsi="Arial" w:cs="Arial"/>
                <w:sz w:val="24"/>
                <w:szCs w:val="24"/>
              </w:rPr>
              <w:t xml:space="preserve">l Government Pension Scheme. We also completed two major infrastructure investments during the year, one acquiring 50% of EDF's Portuguese wind energy business and the other acquiring 12.5% of the Madrid Gas Distribution Network where we are partners with </w:t>
            </w:r>
            <w:r w:rsidRPr="00F775B3">
              <w:rPr>
                <w:rFonts w:ascii="Arial" w:hAnsi="Arial" w:cs="Arial"/>
                <w:sz w:val="24"/>
                <w:szCs w:val="24"/>
              </w:rPr>
              <w:t>EDF, PGGM one of the largest Dutch pension funds and a Chinese sovereign wealth fund. These assets increase the Fund's infrastructure investment to 9.4% of the fund and provide a long term stable income generating investment ideally suited to help the Fund</w:t>
            </w:r>
            <w:r w:rsidRPr="00F775B3">
              <w:rPr>
                <w:rFonts w:ascii="Arial" w:hAnsi="Arial" w:cs="Arial"/>
                <w:sz w:val="24"/>
                <w:szCs w:val="24"/>
              </w:rPr>
              <w:t xml:space="preserve"> meet its liabilities going forward. The success of this strategy has again been recognised with a number of awards which are detailed elsewhere in this annual report.</w:t>
            </w:r>
          </w:p>
          <w:p w:rsidR="00F775B3" w:rsidRPr="00F775B3" w:rsidRDefault="0062660D" w:rsidP="00F775B3">
            <w:pPr>
              <w:pStyle w:val="Body"/>
              <w:rPr>
                <w:rFonts w:ascii="Arial" w:hAnsi="Arial" w:cs="Arial"/>
                <w:sz w:val="24"/>
                <w:szCs w:val="24"/>
              </w:rPr>
            </w:pPr>
          </w:p>
          <w:p w:rsidR="00F775B3" w:rsidRPr="00F775B3" w:rsidRDefault="0062660D" w:rsidP="00F775B3">
            <w:pPr>
              <w:pStyle w:val="Body"/>
              <w:rPr>
                <w:rFonts w:ascii="Arial" w:hAnsi="Arial" w:cs="Arial"/>
                <w:sz w:val="24"/>
                <w:szCs w:val="24"/>
              </w:rPr>
            </w:pPr>
            <w:r w:rsidRPr="00F775B3">
              <w:rPr>
                <w:rFonts w:ascii="Arial" w:hAnsi="Arial" w:cs="Arial"/>
                <w:sz w:val="24"/>
                <w:szCs w:val="24"/>
              </w:rPr>
              <w:t xml:space="preserve">The Fund has also continued to expand its local property holdings in Lancashire and I </w:t>
            </w:r>
            <w:r w:rsidRPr="00F775B3">
              <w:rPr>
                <w:rFonts w:ascii="Arial" w:hAnsi="Arial" w:cs="Arial"/>
                <w:sz w:val="24"/>
                <w:szCs w:val="24"/>
              </w:rPr>
              <w:t>am particularly pleased with the announcement shortly after the end of the financial year that the Fund will redevelop the Park Hotel building in Preston as a hotel. Where we can, as in this case, achieve the appropriate return from a local investment then</w:t>
            </w:r>
            <w:r w:rsidRPr="00F775B3">
              <w:rPr>
                <w:rFonts w:ascii="Arial" w:hAnsi="Arial" w:cs="Arial"/>
                <w:sz w:val="24"/>
                <w:szCs w:val="24"/>
              </w:rPr>
              <w:t xml:space="preserve"> there is no reason why we should not pursue it and help achieve the wider social benefits for our area that such investment will bring.</w:t>
            </w:r>
          </w:p>
          <w:p w:rsidR="00F775B3" w:rsidRPr="00F775B3" w:rsidRDefault="0062660D" w:rsidP="00F775B3">
            <w:pPr>
              <w:pStyle w:val="Body"/>
              <w:rPr>
                <w:rFonts w:ascii="Arial" w:hAnsi="Arial" w:cs="Arial"/>
                <w:sz w:val="24"/>
                <w:szCs w:val="24"/>
              </w:rPr>
            </w:pPr>
          </w:p>
          <w:p w:rsidR="00F775B3" w:rsidRPr="00F775B3" w:rsidRDefault="0062660D" w:rsidP="00F775B3">
            <w:pPr>
              <w:pStyle w:val="Body"/>
              <w:rPr>
                <w:rFonts w:ascii="Arial" w:hAnsi="Arial" w:cs="Arial"/>
                <w:sz w:val="24"/>
                <w:szCs w:val="24"/>
              </w:rPr>
            </w:pPr>
            <w:r w:rsidRPr="00F775B3">
              <w:rPr>
                <w:rFonts w:ascii="Arial" w:hAnsi="Arial" w:cs="Arial"/>
                <w:sz w:val="24"/>
                <w:szCs w:val="24"/>
              </w:rPr>
              <w:t>We have continued to work through our approach to responsible investment looking to be a good owner of good assets. Th</w:t>
            </w:r>
            <w:r w:rsidRPr="00F775B3">
              <w:rPr>
                <w:rFonts w:ascii="Arial" w:hAnsi="Arial" w:cs="Arial"/>
                <w:sz w:val="24"/>
                <w:szCs w:val="24"/>
              </w:rPr>
              <w:t xml:space="preserve">is is an area where participating in the Partnership will allow us to devote more resource to this important area. Reassuringly the various campaigns against poor corporate </w:t>
            </w:r>
            <w:proofErr w:type="spellStart"/>
            <w:r w:rsidRPr="00F775B3">
              <w:rPr>
                <w:rFonts w:ascii="Arial" w:hAnsi="Arial" w:cs="Arial"/>
                <w:sz w:val="24"/>
                <w:szCs w:val="24"/>
              </w:rPr>
              <w:t>behaviour</w:t>
            </w:r>
            <w:proofErr w:type="spellEnd"/>
            <w:r w:rsidRPr="00F775B3">
              <w:rPr>
                <w:rFonts w:ascii="Arial" w:hAnsi="Arial" w:cs="Arial"/>
                <w:sz w:val="24"/>
                <w:szCs w:val="24"/>
              </w:rPr>
              <w:t xml:space="preserve"> which have been raised with us over the last year have all been in relati</w:t>
            </w:r>
            <w:r w:rsidRPr="00F775B3">
              <w:rPr>
                <w:rFonts w:ascii="Arial" w:hAnsi="Arial" w:cs="Arial"/>
                <w:sz w:val="24"/>
                <w:szCs w:val="24"/>
              </w:rPr>
              <w:t xml:space="preserve">on to companies in which the Fund has no investment, or are in relation to broader issues where we are already working with other LGPS funds to influence corporate </w:t>
            </w:r>
            <w:proofErr w:type="spellStart"/>
            <w:r w:rsidRPr="00F775B3">
              <w:rPr>
                <w:rFonts w:ascii="Arial" w:hAnsi="Arial" w:cs="Arial"/>
                <w:sz w:val="24"/>
                <w:szCs w:val="24"/>
              </w:rPr>
              <w:t>behaviour</w:t>
            </w:r>
            <w:proofErr w:type="spellEnd"/>
            <w:r w:rsidRPr="00F775B3">
              <w:rPr>
                <w:rFonts w:ascii="Arial" w:hAnsi="Arial" w:cs="Arial"/>
                <w:sz w:val="24"/>
                <w:szCs w:val="24"/>
              </w:rPr>
              <w:t>. We have also completed the investment programme to put solar panels on the Fund's</w:t>
            </w:r>
            <w:r w:rsidRPr="00F775B3">
              <w:rPr>
                <w:rFonts w:ascii="Arial" w:hAnsi="Arial" w:cs="Arial"/>
                <w:sz w:val="24"/>
                <w:szCs w:val="24"/>
              </w:rPr>
              <w:t xml:space="preserve"> various properties, thus reducing the environmental impact of the portfolio and providing added benefits to our tenants.</w:t>
            </w:r>
          </w:p>
          <w:p w:rsidR="00F775B3" w:rsidRPr="00F775B3" w:rsidRDefault="0062660D" w:rsidP="00F775B3">
            <w:pPr>
              <w:pStyle w:val="Body"/>
              <w:rPr>
                <w:rFonts w:ascii="Arial" w:hAnsi="Arial" w:cs="Arial"/>
                <w:sz w:val="24"/>
                <w:szCs w:val="24"/>
              </w:rPr>
            </w:pPr>
          </w:p>
          <w:p w:rsidR="00F775B3" w:rsidRPr="00F775B3" w:rsidRDefault="0062660D" w:rsidP="00F775B3">
            <w:pPr>
              <w:pStyle w:val="Body"/>
              <w:tabs>
                <w:tab w:val="left" w:pos="2551"/>
              </w:tabs>
              <w:rPr>
                <w:rFonts w:ascii="Arial" w:hAnsi="Arial" w:cs="Arial"/>
                <w:sz w:val="24"/>
                <w:szCs w:val="24"/>
              </w:rPr>
            </w:pPr>
            <w:r w:rsidRPr="00F775B3">
              <w:rPr>
                <w:rFonts w:ascii="Arial" w:hAnsi="Arial" w:cs="Arial"/>
                <w:sz w:val="24"/>
                <w:szCs w:val="24"/>
              </w:rPr>
              <w:t>On the administration side the team has continued to deal with the ever increasing number of both members and employers and record le</w:t>
            </w:r>
            <w:r w:rsidRPr="00F775B3">
              <w:rPr>
                <w:rFonts w:ascii="Arial" w:hAnsi="Arial" w:cs="Arial"/>
                <w:sz w:val="24"/>
                <w:szCs w:val="24"/>
              </w:rPr>
              <w:t>vels of retirements while maintaining very high levels of performance. Of particular note is the fact that because of the high level of co-operation between employers and the Fund in relation to managing and providing data we were able to issue 99% of acti</w:t>
            </w:r>
            <w:r w:rsidRPr="00F775B3">
              <w:rPr>
                <w:rFonts w:ascii="Arial" w:hAnsi="Arial" w:cs="Arial"/>
                <w:sz w:val="24"/>
                <w:szCs w:val="24"/>
              </w:rPr>
              <w:t xml:space="preserve">ve members' annual benefit statements on time. This was unusual in the Local Government Pension Scheme and reflects well on the effective planning undertaken for the introduction of LGPS 2014 and the strong relationship between the Fund and its employers. </w:t>
            </w:r>
            <w:r w:rsidRPr="00F775B3">
              <w:rPr>
                <w:rFonts w:ascii="Arial" w:hAnsi="Arial" w:cs="Arial"/>
                <w:sz w:val="24"/>
                <w:szCs w:val="24"/>
              </w:rPr>
              <w:t xml:space="preserve">A considerable amount of work reviewing various fund policies has also been necessary following the introduction of LGPS 2014 and in the run up to the valuation and this has kept the Pension Fund Committee as well as the team busy. </w:t>
            </w:r>
          </w:p>
          <w:p w:rsidR="00F775B3" w:rsidRPr="00F775B3" w:rsidRDefault="0062660D" w:rsidP="00F775B3">
            <w:pPr>
              <w:pStyle w:val="Body"/>
              <w:tabs>
                <w:tab w:val="left" w:pos="2551"/>
              </w:tabs>
              <w:rPr>
                <w:rFonts w:ascii="Arial" w:hAnsi="Arial" w:cs="Arial"/>
                <w:sz w:val="24"/>
                <w:szCs w:val="24"/>
              </w:rPr>
            </w:pPr>
          </w:p>
          <w:p w:rsidR="00F775B3" w:rsidRPr="00F775B3" w:rsidRDefault="0062660D" w:rsidP="00F775B3">
            <w:pPr>
              <w:pStyle w:val="Body"/>
              <w:tabs>
                <w:tab w:val="left" w:pos="2551"/>
              </w:tabs>
              <w:rPr>
                <w:rFonts w:ascii="Arial" w:hAnsi="Arial" w:cs="Arial"/>
                <w:sz w:val="24"/>
                <w:szCs w:val="24"/>
              </w:rPr>
            </w:pPr>
            <w:r w:rsidRPr="00F775B3">
              <w:rPr>
                <w:rFonts w:ascii="Arial" w:hAnsi="Arial" w:cs="Arial"/>
                <w:sz w:val="24"/>
                <w:szCs w:val="24"/>
              </w:rPr>
              <w:t>2016 is valuation year</w:t>
            </w:r>
            <w:r w:rsidRPr="00F775B3">
              <w:rPr>
                <w:rFonts w:ascii="Arial" w:hAnsi="Arial" w:cs="Arial"/>
                <w:sz w:val="24"/>
                <w:szCs w:val="24"/>
              </w:rPr>
              <w:t xml:space="preserve"> and all expectations are that this valuation will be as challenging as the last one in terms of the ability to balance the various objectives and interests within the process. No doubt this will form a key part of next year's foreword. </w:t>
            </w:r>
          </w:p>
          <w:p w:rsidR="00662378" w:rsidRPr="00F775B3" w:rsidRDefault="0062660D" w:rsidP="00263429">
            <w:pPr>
              <w:autoSpaceDE/>
              <w:autoSpaceDN/>
              <w:adjustRightInd/>
              <w:spacing w:after="0"/>
              <w:jc w:val="left"/>
              <w:rPr>
                <w:rFonts w:eastAsia="Times New Roman" w:cs="Arial"/>
                <w:color w:val="auto"/>
                <w:lang w:eastAsia="en-GB"/>
              </w:rPr>
            </w:pPr>
          </w:p>
          <w:p w:rsidR="000F3D4B" w:rsidRPr="00F775B3" w:rsidRDefault="0062660D" w:rsidP="00662378">
            <w:pPr>
              <w:autoSpaceDE/>
              <w:autoSpaceDN/>
              <w:adjustRightInd/>
              <w:spacing w:after="0"/>
              <w:rPr>
                <w:rFonts w:eastAsia="Times New Roman" w:cs="Arial"/>
                <w:color w:val="auto"/>
                <w:lang w:eastAsia="en-GB"/>
              </w:rPr>
            </w:pPr>
          </w:p>
          <w:p w:rsidR="00871CC3" w:rsidRPr="00F775B3" w:rsidRDefault="0062660D" w:rsidP="00662378">
            <w:pPr>
              <w:autoSpaceDE/>
              <w:autoSpaceDN/>
              <w:adjustRightInd/>
              <w:spacing w:after="0"/>
              <w:rPr>
                <w:rFonts w:eastAsia="Times New Roman" w:cs="Arial"/>
                <w:color w:val="auto"/>
                <w:lang w:eastAsia="en-GB"/>
              </w:rPr>
            </w:pPr>
          </w:p>
          <w:p w:rsidR="00871CC3" w:rsidRDefault="0062660D" w:rsidP="00662378">
            <w:pPr>
              <w:autoSpaceDE/>
              <w:autoSpaceDN/>
              <w:adjustRightInd/>
              <w:spacing w:after="0"/>
              <w:rPr>
                <w:rFonts w:eastAsia="Times New Roman" w:cs="Times New Roman"/>
                <w:color w:val="auto"/>
                <w:szCs w:val="20"/>
                <w:lang w:eastAsia="en-GB"/>
              </w:rPr>
            </w:pPr>
          </w:p>
          <w:p w:rsidR="00871CC3" w:rsidRPr="00662378" w:rsidRDefault="0062660D" w:rsidP="00662378">
            <w:pPr>
              <w:autoSpaceDE/>
              <w:autoSpaceDN/>
              <w:adjustRightInd/>
              <w:spacing w:after="0"/>
              <w:rPr>
                <w:rFonts w:eastAsia="Times New Roman" w:cs="Times New Roman"/>
                <w:color w:val="auto"/>
                <w:szCs w:val="20"/>
                <w:lang w:eastAsia="en-GB"/>
              </w:rPr>
            </w:pPr>
          </w:p>
          <w:p w:rsidR="00662378" w:rsidRPr="00662378" w:rsidRDefault="0062660D" w:rsidP="00662378">
            <w:pPr>
              <w:autoSpaceDE/>
              <w:autoSpaceDN/>
              <w:adjustRightInd/>
              <w:spacing w:after="0"/>
              <w:rPr>
                <w:rFonts w:eastAsia="Times New Roman" w:cs="Times New Roman"/>
                <w:color w:val="auto"/>
                <w:szCs w:val="20"/>
                <w:lang w:eastAsia="en-GB"/>
              </w:rPr>
            </w:pPr>
          </w:p>
          <w:p w:rsidR="00662378" w:rsidRPr="00662378" w:rsidRDefault="0062660D" w:rsidP="00662378">
            <w:pPr>
              <w:autoSpaceDE/>
              <w:autoSpaceDN/>
              <w:adjustRightInd/>
              <w:spacing w:after="0"/>
              <w:rPr>
                <w:rFonts w:eastAsia="Times New Roman" w:cs="Times New Roman"/>
                <w:b/>
                <w:color w:val="auto"/>
                <w:szCs w:val="20"/>
                <w:lang w:eastAsia="en-GB"/>
              </w:rPr>
            </w:pPr>
            <w:r w:rsidRPr="00662378">
              <w:rPr>
                <w:rFonts w:eastAsia="Times New Roman" w:cs="Times New Roman"/>
                <w:b/>
                <w:color w:val="auto"/>
                <w:szCs w:val="20"/>
                <w:lang w:eastAsia="en-GB"/>
              </w:rPr>
              <w:t>County Counc</w:t>
            </w:r>
            <w:r w:rsidRPr="00662378">
              <w:rPr>
                <w:rFonts w:eastAsia="Times New Roman" w:cs="Times New Roman"/>
                <w:b/>
                <w:color w:val="auto"/>
                <w:szCs w:val="20"/>
                <w:lang w:eastAsia="en-GB"/>
              </w:rPr>
              <w:t xml:space="preserve">illor </w:t>
            </w:r>
            <w:r>
              <w:rPr>
                <w:rFonts w:eastAsia="Times New Roman" w:cs="Times New Roman"/>
                <w:b/>
                <w:color w:val="auto"/>
                <w:szCs w:val="20"/>
                <w:lang w:eastAsia="en-GB"/>
              </w:rPr>
              <w:t>Kevin Ellard</w:t>
            </w:r>
          </w:p>
          <w:p w:rsidR="00662378" w:rsidRPr="00662378" w:rsidRDefault="0062660D" w:rsidP="00662378">
            <w:pPr>
              <w:autoSpaceDE/>
              <w:autoSpaceDN/>
              <w:adjustRightInd/>
              <w:spacing w:after="0"/>
              <w:rPr>
                <w:rFonts w:eastAsia="Times New Roman" w:cs="Times New Roman"/>
                <w:b/>
                <w:color w:val="auto"/>
                <w:szCs w:val="20"/>
                <w:lang w:eastAsia="en-GB"/>
              </w:rPr>
            </w:pPr>
            <w:r w:rsidRPr="00662378">
              <w:rPr>
                <w:rFonts w:eastAsia="Times New Roman" w:cs="Times New Roman"/>
                <w:b/>
                <w:color w:val="auto"/>
                <w:szCs w:val="20"/>
                <w:lang w:eastAsia="en-GB"/>
              </w:rPr>
              <w:t>Chair of the Pension Fund Committee</w:t>
            </w:r>
          </w:p>
          <w:p w:rsidR="00662378" w:rsidRPr="002F17B5" w:rsidRDefault="0062660D" w:rsidP="00662378">
            <w:pPr>
              <w:autoSpaceDE/>
              <w:autoSpaceDN/>
              <w:adjustRightInd/>
              <w:spacing w:after="0"/>
              <w:ind w:left="317"/>
              <w:jc w:val="left"/>
              <w:rPr>
                <w:rFonts w:eastAsia="Times New Roman" w:cs="Arial"/>
                <w:lang w:eastAsia="en-GB"/>
              </w:rPr>
            </w:pPr>
          </w:p>
        </w:tc>
        <w:tc>
          <w:tcPr>
            <w:tcW w:w="791" w:type="dxa"/>
            <w:tcBorders>
              <w:top w:val="nil"/>
              <w:left w:val="nil"/>
              <w:bottom w:val="nil"/>
              <w:right w:val="nil"/>
            </w:tcBorders>
            <w:shd w:val="clear" w:color="auto" w:fill="auto"/>
            <w:noWrap/>
            <w:vAlign w:val="center"/>
          </w:tcPr>
          <w:p w:rsidR="00662378" w:rsidRPr="00F477E0" w:rsidRDefault="0062660D" w:rsidP="00100442">
            <w:pPr>
              <w:autoSpaceDE/>
              <w:autoSpaceDN/>
              <w:adjustRightInd/>
              <w:spacing w:after="0"/>
              <w:jc w:val="center"/>
              <w:rPr>
                <w:rFonts w:eastAsia="Times New Roman" w:cs="Arial"/>
                <w:color w:val="auto"/>
                <w:lang w:eastAsia="en-GB"/>
              </w:rPr>
            </w:pPr>
          </w:p>
        </w:tc>
      </w:tr>
      <w:tr w:rsidR="006A2C17" w:rsidTr="00572F03">
        <w:trPr>
          <w:trHeight w:val="454"/>
        </w:trPr>
        <w:tc>
          <w:tcPr>
            <w:tcW w:w="10598" w:type="dxa"/>
            <w:tcBorders>
              <w:top w:val="nil"/>
              <w:left w:val="nil"/>
              <w:bottom w:val="nil"/>
              <w:right w:val="nil"/>
            </w:tcBorders>
            <w:shd w:val="clear" w:color="auto" w:fill="auto"/>
            <w:vAlign w:val="center"/>
          </w:tcPr>
          <w:p w:rsidR="00D104DA" w:rsidRPr="002F17B5" w:rsidRDefault="0062660D" w:rsidP="00100442">
            <w:pPr>
              <w:autoSpaceDE/>
              <w:autoSpaceDN/>
              <w:adjustRightInd/>
              <w:spacing w:after="0"/>
              <w:ind w:left="459"/>
              <w:jc w:val="left"/>
              <w:rPr>
                <w:rFonts w:eastAsia="Times New Roman" w:cs="Arial"/>
                <w:lang w:eastAsia="en-GB"/>
              </w:rPr>
            </w:pPr>
          </w:p>
        </w:tc>
        <w:tc>
          <w:tcPr>
            <w:tcW w:w="791" w:type="dxa"/>
            <w:tcBorders>
              <w:top w:val="nil"/>
              <w:left w:val="nil"/>
              <w:bottom w:val="nil"/>
              <w:right w:val="nil"/>
            </w:tcBorders>
            <w:shd w:val="clear" w:color="auto" w:fill="auto"/>
            <w:noWrap/>
            <w:vAlign w:val="center"/>
          </w:tcPr>
          <w:p w:rsidR="00D104DA" w:rsidRPr="00F477E0" w:rsidRDefault="0062660D" w:rsidP="00100442">
            <w:pPr>
              <w:autoSpaceDE/>
              <w:autoSpaceDN/>
              <w:adjustRightInd/>
              <w:spacing w:after="0"/>
              <w:jc w:val="center"/>
              <w:rPr>
                <w:rFonts w:eastAsia="Times New Roman" w:cs="Arial"/>
                <w:color w:val="auto"/>
                <w:lang w:eastAsia="en-GB"/>
              </w:rPr>
            </w:pPr>
          </w:p>
        </w:tc>
      </w:tr>
      <w:tr w:rsidR="006A2C17" w:rsidTr="00572F03">
        <w:trPr>
          <w:trHeight w:val="454"/>
        </w:trPr>
        <w:tc>
          <w:tcPr>
            <w:tcW w:w="10598" w:type="dxa"/>
            <w:tcBorders>
              <w:top w:val="nil"/>
              <w:left w:val="nil"/>
              <w:bottom w:val="nil"/>
              <w:right w:val="nil"/>
            </w:tcBorders>
            <w:shd w:val="clear" w:color="auto" w:fill="auto"/>
            <w:vAlign w:val="center"/>
          </w:tcPr>
          <w:p w:rsidR="00D104DA" w:rsidRPr="002F17B5" w:rsidRDefault="0062660D" w:rsidP="00100442">
            <w:pPr>
              <w:autoSpaceDE/>
              <w:autoSpaceDN/>
              <w:adjustRightInd/>
              <w:spacing w:after="0"/>
              <w:ind w:left="459"/>
              <w:jc w:val="left"/>
              <w:rPr>
                <w:rFonts w:eastAsia="Times New Roman" w:cs="Arial"/>
                <w:lang w:eastAsia="en-GB"/>
              </w:rPr>
            </w:pPr>
          </w:p>
        </w:tc>
        <w:tc>
          <w:tcPr>
            <w:tcW w:w="791" w:type="dxa"/>
            <w:tcBorders>
              <w:top w:val="nil"/>
              <w:left w:val="nil"/>
              <w:bottom w:val="nil"/>
              <w:right w:val="nil"/>
            </w:tcBorders>
            <w:shd w:val="clear" w:color="auto" w:fill="auto"/>
            <w:noWrap/>
            <w:vAlign w:val="center"/>
          </w:tcPr>
          <w:p w:rsidR="00D104DA" w:rsidRPr="00F477E0" w:rsidRDefault="0062660D" w:rsidP="00100442">
            <w:pPr>
              <w:autoSpaceDE/>
              <w:autoSpaceDN/>
              <w:adjustRightInd/>
              <w:spacing w:after="0"/>
              <w:jc w:val="center"/>
              <w:rPr>
                <w:rFonts w:eastAsia="Times New Roman" w:cs="Arial"/>
                <w:color w:val="auto"/>
                <w:lang w:eastAsia="en-GB"/>
              </w:rPr>
            </w:pPr>
          </w:p>
        </w:tc>
      </w:tr>
    </w:tbl>
    <w:p w:rsidR="009A6761" w:rsidRDefault="0062660D"/>
    <w:p w:rsidR="002C4D47" w:rsidRDefault="0062660D">
      <w:pPr>
        <w:autoSpaceDE/>
        <w:autoSpaceDN/>
        <w:adjustRightInd/>
        <w:spacing w:after="0"/>
        <w:jc w:val="left"/>
        <w:sectPr w:rsidR="002C4D47" w:rsidSect="00270387">
          <w:pgSz w:w="11900" w:h="16840" w:code="9"/>
          <w:pgMar w:top="720" w:right="720" w:bottom="720" w:left="720" w:header="283" w:footer="283" w:gutter="0"/>
          <w:cols w:space="292"/>
          <w:docGrid w:linePitch="326"/>
        </w:sectPr>
      </w:pPr>
      <w:r>
        <w:br w:type="page"/>
      </w:r>
    </w:p>
    <w:p w:rsidR="002C4D47" w:rsidRDefault="0062660D">
      <w:pPr>
        <w:autoSpaceDE/>
        <w:autoSpaceDN/>
        <w:adjustRightInd/>
        <w:spacing w:after="0"/>
        <w:jc w:val="left"/>
      </w:pPr>
    </w:p>
    <w:p w:rsidR="002C4D47" w:rsidRDefault="0062660D" w:rsidP="00F504EE">
      <w:pPr>
        <w:keepNext/>
        <w:numPr>
          <w:ilvl w:val="0"/>
          <w:numId w:val="13"/>
        </w:numPr>
        <w:autoSpaceDE/>
        <w:autoSpaceDN/>
        <w:adjustRightInd/>
        <w:spacing w:after="0"/>
        <w:jc w:val="left"/>
        <w:outlineLvl w:val="0"/>
        <w:rPr>
          <w:rFonts w:eastAsia="Times New Roman" w:cs="Times New Roman"/>
          <w:b/>
          <w:snapToGrid w:val="0"/>
          <w:sz w:val="32"/>
          <w:szCs w:val="32"/>
        </w:rPr>
      </w:pPr>
      <w:r w:rsidRPr="006033C8">
        <w:rPr>
          <w:rFonts w:eastAsia="Times New Roman" w:cs="Times New Roman"/>
          <w:b/>
          <w:snapToGrid w:val="0"/>
          <w:sz w:val="32"/>
          <w:szCs w:val="32"/>
        </w:rPr>
        <w:t>Governance of the Fund</w:t>
      </w:r>
    </w:p>
    <w:p w:rsidR="002C4D47" w:rsidRPr="006033C8" w:rsidRDefault="0062660D" w:rsidP="002C4D47">
      <w:pPr>
        <w:keepNext/>
        <w:autoSpaceDE/>
        <w:autoSpaceDN/>
        <w:adjustRightInd/>
        <w:spacing w:after="0"/>
        <w:ind w:left="360"/>
        <w:jc w:val="left"/>
        <w:outlineLvl w:val="0"/>
        <w:rPr>
          <w:rFonts w:eastAsia="Times New Roman" w:cs="Times New Roman"/>
          <w:b/>
          <w:snapToGrid w:val="0"/>
          <w:sz w:val="32"/>
          <w:szCs w:val="32"/>
        </w:rPr>
      </w:pPr>
    </w:p>
    <w:p w:rsidR="002C4D47" w:rsidRDefault="0062660D" w:rsidP="002C4D47">
      <w:pPr>
        <w:keepNext/>
        <w:autoSpaceDE/>
        <w:autoSpaceDN/>
        <w:adjustRightInd/>
        <w:spacing w:after="0"/>
        <w:jc w:val="left"/>
        <w:outlineLvl w:val="0"/>
        <w:rPr>
          <w:rFonts w:eastAsia="Times New Roman" w:cs="Times New Roman"/>
          <w:b/>
          <w:snapToGrid w:val="0"/>
          <w:sz w:val="28"/>
          <w:szCs w:val="28"/>
        </w:rPr>
      </w:pPr>
    </w:p>
    <w:p w:rsidR="002C4D47" w:rsidRDefault="0062660D" w:rsidP="002C4D47">
      <w:pPr>
        <w:keepNext/>
        <w:autoSpaceDE/>
        <w:autoSpaceDN/>
        <w:adjustRightInd/>
        <w:spacing w:after="0"/>
        <w:jc w:val="left"/>
        <w:outlineLvl w:val="0"/>
        <w:rPr>
          <w:rFonts w:eastAsia="Times New Roman" w:cs="Times New Roman"/>
          <w:b/>
          <w:snapToGrid w:val="0"/>
          <w:sz w:val="28"/>
          <w:szCs w:val="28"/>
        </w:rPr>
      </w:pPr>
      <w:r w:rsidRPr="006033C8">
        <w:rPr>
          <w:rFonts w:eastAsia="Times New Roman" w:cs="Times New Roman"/>
          <w:b/>
          <w:snapToGrid w:val="0"/>
          <w:sz w:val="28"/>
          <w:szCs w:val="28"/>
        </w:rPr>
        <w:t>Lancashire County Pension Fund Governance Policy Statement</w:t>
      </w:r>
    </w:p>
    <w:p w:rsidR="007B5569" w:rsidRPr="006033C8" w:rsidRDefault="0062660D" w:rsidP="002C4D47">
      <w:pPr>
        <w:keepNext/>
        <w:autoSpaceDE/>
        <w:autoSpaceDN/>
        <w:adjustRightInd/>
        <w:spacing w:after="0"/>
        <w:jc w:val="left"/>
        <w:outlineLvl w:val="0"/>
        <w:rPr>
          <w:rFonts w:eastAsia="Times New Roman" w:cs="Times New Roman"/>
          <w:b/>
          <w:snapToGrid w:val="0"/>
          <w:sz w:val="28"/>
          <w:szCs w:val="28"/>
        </w:rPr>
      </w:pPr>
    </w:p>
    <w:p w:rsidR="002C4D47" w:rsidRPr="006033C8" w:rsidRDefault="0062660D" w:rsidP="002C4D47">
      <w:pPr>
        <w:keepNext/>
        <w:autoSpaceDE/>
        <w:autoSpaceDN/>
        <w:adjustRightInd/>
        <w:spacing w:after="0"/>
        <w:ind w:left="360"/>
        <w:outlineLvl w:val="0"/>
        <w:rPr>
          <w:rFonts w:eastAsia="Times New Roman" w:cs="Times New Roman"/>
          <w:color w:val="auto"/>
          <w:szCs w:val="20"/>
          <w:lang w:eastAsia="en-GB"/>
        </w:rPr>
      </w:pPr>
    </w:p>
    <w:p w:rsidR="002C4D47" w:rsidRPr="006033C8" w:rsidRDefault="0062660D" w:rsidP="00263429">
      <w:pPr>
        <w:spacing w:after="0"/>
        <w:jc w:val="left"/>
        <w:rPr>
          <w:rFonts w:eastAsia="Times New Roman" w:cs="Arial"/>
          <w:color w:val="auto"/>
          <w:lang w:eastAsia="en-GB"/>
        </w:rPr>
      </w:pPr>
      <w:r w:rsidRPr="006033C8">
        <w:rPr>
          <w:rFonts w:eastAsia="Times New Roman" w:cs="Arial"/>
          <w:color w:val="auto"/>
          <w:lang w:eastAsia="en-GB"/>
        </w:rPr>
        <w:t xml:space="preserve">While the Pension Fund is not technically a separate legal entity, it does have its own specific governance arrangements and controls which sit within Lancashire County Council's overall governance framework.  </w:t>
      </w:r>
    </w:p>
    <w:p w:rsidR="002C4D47" w:rsidRPr="006033C8" w:rsidRDefault="0062660D" w:rsidP="00263429">
      <w:pPr>
        <w:spacing w:after="0"/>
        <w:jc w:val="left"/>
        <w:rPr>
          <w:rFonts w:eastAsia="Times New Roman" w:cs="Arial"/>
          <w:color w:val="auto"/>
          <w:lang w:eastAsia="en-GB"/>
        </w:rPr>
      </w:pPr>
    </w:p>
    <w:p w:rsidR="002C4D47" w:rsidRDefault="0062660D" w:rsidP="00263429">
      <w:pPr>
        <w:spacing w:after="0"/>
        <w:jc w:val="left"/>
        <w:rPr>
          <w:rFonts w:eastAsia="Times New Roman" w:cs="Arial"/>
          <w:color w:val="auto"/>
          <w:lang w:eastAsia="en-GB"/>
        </w:rPr>
      </w:pPr>
      <w:r w:rsidRPr="006033C8">
        <w:rPr>
          <w:rFonts w:eastAsiaTheme="minorHAnsi" w:cs="Arial"/>
          <w:color w:val="auto"/>
        </w:rPr>
        <w:t xml:space="preserve">Under regulation 55 of the LGPS Regulations </w:t>
      </w:r>
      <w:r w:rsidRPr="006033C8">
        <w:rPr>
          <w:rFonts w:eastAsiaTheme="minorHAnsi" w:cs="Arial"/>
          <w:color w:val="auto"/>
        </w:rPr>
        <w:t>2013, all Local Government Pension Scheme (LGPS) Funds in England and Wales are required to publish a Governance Policy Statement setting out whether the authority delegates its functions, or part of its functions to a committee, a sub-committee or an offi</w:t>
      </w:r>
      <w:r w:rsidRPr="006033C8">
        <w:rPr>
          <w:rFonts w:eastAsiaTheme="minorHAnsi" w:cs="Arial"/>
          <w:color w:val="auto"/>
        </w:rPr>
        <w:t>cer of the authority</w:t>
      </w:r>
      <w:r w:rsidRPr="006033C8">
        <w:rPr>
          <w:rFonts w:eastAsia="Times New Roman" w:cs="Arial"/>
          <w:color w:val="auto"/>
          <w:lang w:eastAsia="en-GB"/>
        </w:rPr>
        <w:t>. The Fund's Governance Po</w:t>
      </w:r>
      <w:r>
        <w:rPr>
          <w:rFonts w:eastAsia="Times New Roman" w:cs="Arial"/>
          <w:color w:val="auto"/>
          <w:lang w:eastAsia="en-GB"/>
        </w:rPr>
        <w:t>licy Statement as revised in May</w:t>
      </w:r>
      <w:r w:rsidRPr="006033C8">
        <w:rPr>
          <w:rFonts w:eastAsia="Times New Roman" w:cs="Arial"/>
          <w:color w:val="auto"/>
          <w:lang w:eastAsia="en-GB"/>
        </w:rPr>
        <w:t xml:space="preserve"> 201</w:t>
      </w:r>
      <w:r>
        <w:rPr>
          <w:rFonts w:eastAsia="Times New Roman" w:cs="Arial"/>
          <w:color w:val="auto"/>
          <w:lang w:eastAsia="en-GB"/>
        </w:rPr>
        <w:t>6</w:t>
      </w:r>
      <w:r w:rsidRPr="006033C8">
        <w:rPr>
          <w:rFonts w:eastAsia="Times New Roman" w:cs="Arial"/>
          <w:color w:val="auto"/>
          <w:lang w:eastAsia="en-GB"/>
        </w:rPr>
        <w:t xml:space="preserve"> is at the following link. </w:t>
      </w:r>
    </w:p>
    <w:p w:rsidR="002C4D47" w:rsidRDefault="0062660D" w:rsidP="00263429">
      <w:pPr>
        <w:spacing w:after="0"/>
        <w:jc w:val="left"/>
        <w:rPr>
          <w:rFonts w:eastAsia="Times New Roman" w:cs="Arial"/>
          <w:color w:val="auto"/>
          <w:lang w:eastAsia="en-GB"/>
        </w:rPr>
      </w:pPr>
      <w:hyperlink r:id="rId11" w:history="1">
        <w:proofErr w:type="gramStart"/>
        <w:r w:rsidRPr="006033C8">
          <w:rPr>
            <w:rStyle w:val="Hyperlink"/>
            <w:rFonts w:eastAsia="Times New Roman"/>
            <w:lang w:eastAsia="en-GB"/>
          </w:rPr>
          <w:t>Your</w:t>
        </w:r>
        <w:proofErr w:type="gramEnd"/>
        <w:r w:rsidRPr="006033C8">
          <w:rPr>
            <w:rStyle w:val="Hyperlink"/>
            <w:rFonts w:eastAsia="Times New Roman"/>
            <w:lang w:eastAsia="en-GB"/>
          </w:rPr>
          <w:t xml:space="preserve"> Pension Service - Lancashire Fund Informati</w:t>
        </w:r>
        <w:r w:rsidRPr="006033C8">
          <w:rPr>
            <w:rStyle w:val="Hyperlink"/>
            <w:rFonts w:eastAsia="Times New Roman"/>
            <w:lang w:eastAsia="en-GB"/>
          </w:rPr>
          <w:t>on</w:t>
        </w:r>
      </w:hyperlink>
    </w:p>
    <w:p w:rsidR="002C4D47" w:rsidRPr="006033C8" w:rsidRDefault="0062660D" w:rsidP="00263429">
      <w:pPr>
        <w:autoSpaceDE/>
        <w:autoSpaceDN/>
        <w:adjustRightInd/>
        <w:spacing w:after="0"/>
        <w:jc w:val="left"/>
        <w:rPr>
          <w:rFonts w:eastAsia="Times New Roman" w:cs="Arial"/>
          <w:color w:val="auto"/>
        </w:rPr>
      </w:pPr>
    </w:p>
    <w:p w:rsidR="002C4D47" w:rsidRPr="006033C8" w:rsidRDefault="0062660D" w:rsidP="00263429">
      <w:pPr>
        <w:autoSpaceDE/>
        <w:autoSpaceDN/>
        <w:adjustRightInd/>
        <w:spacing w:after="0"/>
        <w:jc w:val="left"/>
        <w:rPr>
          <w:rFonts w:eastAsia="Times New Roman" w:cs="Arial"/>
          <w:color w:val="auto"/>
        </w:rPr>
      </w:pPr>
      <w:r w:rsidRPr="006033C8">
        <w:rPr>
          <w:rFonts w:eastAsia="Times New Roman" w:cs="Arial"/>
          <w:color w:val="auto"/>
        </w:rPr>
        <w:t xml:space="preserve">Comprehensive terms of reference have been established for all areas of governance of pension fund activities including the Pension Fund Committee, the Investment Panel, the Lancashire Pension Board and issues delegated to the </w:t>
      </w:r>
      <w:r>
        <w:rPr>
          <w:rFonts w:eastAsia="Times New Roman" w:cs="Arial"/>
          <w:color w:val="auto"/>
        </w:rPr>
        <w:t>Head</w:t>
      </w:r>
      <w:r w:rsidRPr="006033C8">
        <w:rPr>
          <w:rFonts w:eastAsia="Times New Roman" w:cs="Arial"/>
          <w:color w:val="auto"/>
        </w:rPr>
        <w:t xml:space="preserve"> of the Lancashire</w:t>
      </w:r>
      <w:r w:rsidRPr="006033C8">
        <w:rPr>
          <w:rFonts w:eastAsia="Times New Roman" w:cs="Arial"/>
          <w:color w:val="auto"/>
        </w:rPr>
        <w:t xml:space="preserve"> County Pension Fund.</w:t>
      </w:r>
    </w:p>
    <w:p w:rsidR="002C4D47" w:rsidRPr="006033C8" w:rsidRDefault="0062660D" w:rsidP="00263429">
      <w:pPr>
        <w:autoSpaceDE/>
        <w:autoSpaceDN/>
        <w:adjustRightInd/>
        <w:spacing w:after="0"/>
        <w:jc w:val="left"/>
        <w:rPr>
          <w:rFonts w:eastAsia="Times New Roman" w:cs="Arial"/>
          <w:color w:val="auto"/>
          <w:lang w:eastAsia="en-GB"/>
        </w:rPr>
      </w:pPr>
    </w:p>
    <w:p w:rsidR="002C4D47" w:rsidRPr="006033C8" w:rsidRDefault="0062660D" w:rsidP="00263429">
      <w:pPr>
        <w:spacing w:after="0"/>
        <w:jc w:val="left"/>
        <w:rPr>
          <w:rFonts w:eastAsiaTheme="minorHAnsi" w:cs="Arial"/>
          <w:color w:val="auto"/>
        </w:rPr>
      </w:pPr>
      <w:r w:rsidRPr="006033C8">
        <w:rPr>
          <w:rFonts w:eastAsia="Times New Roman" w:cs="Arial"/>
          <w:color w:val="auto"/>
        </w:rPr>
        <w:t xml:space="preserve">The Pension Fund Committee has considered the governance arrangements relating to the administration and </w:t>
      </w:r>
      <w:r>
        <w:rPr>
          <w:rFonts w:eastAsia="Times New Roman" w:cs="Arial"/>
          <w:color w:val="auto"/>
        </w:rPr>
        <w:t xml:space="preserve">strategic management of Fund assets and liabilities </w:t>
      </w:r>
      <w:r w:rsidRPr="006033C8">
        <w:rPr>
          <w:rFonts w:eastAsia="Times New Roman" w:cs="Arial"/>
          <w:color w:val="auto"/>
        </w:rPr>
        <w:t xml:space="preserve">in the light of guidance issued by the Department for Communities and Local </w:t>
      </w:r>
      <w:r w:rsidRPr="006033C8">
        <w:rPr>
          <w:rFonts w:eastAsia="Times New Roman" w:cs="Arial"/>
          <w:color w:val="auto"/>
        </w:rPr>
        <w:t>Government (DCLG) and the requirement to complete a Governance Compliance Statement for all areas of governance of pension fund activities.</w:t>
      </w:r>
      <w:r w:rsidRPr="006033C8">
        <w:rPr>
          <w:rFonts w:eastAsiaTheme="minorHAnsi" w:cs="Arial"/>
          <w:color w:val="auto"/>
        </w:rPr>
        <w:t xml:space="preserve"> </w:t>
      </w:r>
    </w:p>
    <w:p w:rsidR="002C4D47" w:rsidRPr="006033C8" w:rsidRDefault="0062660D" w:rsidP="00263429">
      <w:pPr>
        <w:autoSpaceDE/>
        <w:autoSpaceDN/>
        <w:adjustRightInd/>
        <w:spacing w:after="0"/>
        <w:jc w:val="left"/>
        <w:rPr>
          <w:rFonts w:eastAsia="Times New Roman" w:cs="Arial"/>
          <w:color w:val="auto"/>
        </w:rPr>
      </w:pPr>
    </w:p>
    <w:p w:rsidR="002C4D47" w:rsidRDefault="0062660D" w:rsidP="00263429">
      <w:pPr>
        <w:autoSpaceDE/>
        <w:autoSpaceDN/>
        <w:adjustRightInd/>
        <w:spacing w:after="0"/>
        <w:jc w:val="left"/>
        <w:rPr>
          <w:rFonts w:eastAsia="Times New Roman" w:cs="Arial"/>
          <w:color w:val="auto"/>
        </w:rPr>
      </w:pPr>
      <w:r w:rsidRPr="006033C8">
        <w:rPr>
          <w:rFonts w:eastAsia="Times New Roman" w:cs="Arial"/>
          <w:color w:val="auto"/>
        </w:rPr>
        <w:t xml:space="preserve">The Fund’s Governance Compliance Statement is shown </w:t>
      </w:r>
      <w:r>
        <w:rPr>
          <w:rFonts w:eastAsia="Times New Roman" w:cs="Arial"/>
          <w:color w:val="auto"/>
        </w:rPr>
        <w:t>on the following page</w:t>
      </w:r>
      <w:r>
        <w:rPr>
          <w:rFonts w:eastAsia="Times New Roman" w:cs="Arial"/>
          <w:color w:val="auto"/>
        </w:rPr>
        <w:t>:</w:t>
      </w:r>
    </w:p>
    <w:p w:rsidR="004C36A6" w:rsidRDefault="0062660D" w:rsidP="002C4D47">
      <w:pPr>
        <w:autoSpaceDE/>
        <w:autoSpaceDN/>
        <w:adjustRightInd/>
        <w:spacing w:after="0"/>
        <w:jc w:val="left"/>
        <w:rPr>
          <w:rFonts w:eastAsia="Times New Roman" w:cs="Arial"/>
          <w:color w:val="auto"/>
        </w:rPr>
      </w:pPr>
    </w:p>
    <w:p w:rsidR="004C36A6" w:rsidRDefault="0062660D" w:rsidP="002C4D47">
      <w:pPr>
        <w:autoSpaceDE/>
        <w:autoSpaceDN/>
        <w:adjustRightInd/>
        <w:spacing w:after="0"/>
        <w:jc w:val="left"/>
        <w:rPr>
          <w:rFonts w:eastAsia="Times New Roman" w:cs="Arial"/>
          <w:color w:val="auto"/>
        </w:rPr>
      </w:pPr>
    </w:p>
    <w:p w:rsidR="004C36A6" w:rsidRDefault="0062660D" w:rsidP="002C4D47">
      <w:pPr>
        <w:autoSpaceDE/>
        <w:autoSpaceDN/>
        <w:adjustRightInd/>
        <w:spacing w:after="0"/>
        <w:jc w:val="left"/>
        <w:rPr>
          <w:rFonts w:eastAsia="Times New Roman" w:cs="Arial"/>
          <w:color w:val="auto"/>
        </w:rPr>
      </w:pPr>
    </w:p>
    <w:p w:rsidR="004C36A6" w:rsidRDefault="0062660D" w:rsidP="002C4D47">
      <w:pPr>
        <w:autoSpaceDE/>
        <w:autoSpaceDN/>
        <w:adjustRightInd/>
        <w:spacing w:after="0"/>
        <w:jc w:val="left"/>
        <w:rPr>
          <w:rFonts w:eastAsia="Times New Roman" w:cs="Arial"/>
          <w:color w:val="auto"/>
        </w:rPr>
      </w:pPr>
    </w:p>
    <w:p w:rsidR="004C36A6" w:rsidRDefault="0062660D" w:rsidP="002C4D47">
      <w:pPr>
        <w:autoSpaceDE/>
        <w:autoSpaceDN/>
        <w:adjustRightInd/>
        <w:spacing w:after="0"/>
        <w:jc w:val="left"/>
        <w:rPr>
          <w:rFonts w:eastAsia="Times New Roman" w:cs="Arial"/>
          <w:color w:val="auto"/>
        </w:rPr>
      </w:pPr>
    </w:p>
    <w:p w:rsidR="004C36A6" w:rsidRDefault="0062660D" w:rsidP="002C4D47">
      <w:pPr>
        <w:autoSpaceDE/>
        <w:autoSpaceDN/>
        <w:adjustRightInd/>
        <w:spacing w:after="0"/>
        <w:jc w:val="left"/>
        <w:rPr>
          <w:rFonts w:eastAsia="Times New Roman" w:cs="Arial"/>
          <w:color w:val="auto"/>
        </w:rPr>
      </w:pPr>
    </w:p>
    <w:p w:rsidR="004C36A6" w:rsidRDefault="0062660D" w:rsidP="002C4D47">
      <w:pPr>
        <w:autoSpaceDE/>
        <w:autoSpaceDN/>
        <w:adjustRightInd/>
        <w:spacing w:after="0"/>
        <w:jc w:val="left"/>
        <w:rPr>
          <w:rFonts w:eastAsia="Times New Roman" w:cs="Arial"/>
          <w:color w:val="auto"/>
        </w:rPr>
      </w:pPr>
    </w:p>
    <w:p w:rsidR="004C36A6" w:rsidRDefault="0062660D" w:rsidP="002C4D47">
      <w:pPr>
        <w:autoSpaceDE/>
        <w:autoSpaceDN/>
        <w:adjustRightInd/>
        <w:spacing w:after="0"/>
        <w:jc w:val="left"/>
        <w:rPr>
          <w:rFonts w:eastAsia="Times New Roman" w:cs="Arial"/>
          <w:color w:val="auto"/>
        </w:rPr>
      </w:pPr>
    </w:p>
    <w:p w:rsidR="004C36A6" w:rsidRDefault="0062660D" w:rsidP="002C4D47">
      <w:pPr>
        <w:autoSpaceDE/>
        <w:autoSpaceDN/>
        <w:adjustRightInd/>
        <w:spacing w:after="0"/>
        <w:jc w:val="left"/>
        <w:rPr>
          <w:rFonts w:eastAsia="Times New Roman" w:cs="Arial"/>
          <w:color w:val="auto"/>
        </w:rPr>
      </w:pPr>
    </w:p>
    <w:p w:rsidR="004C36A6" w:rsidRDefault="0062660D" w:rsidP="002C4D47">
      <w:pPr>
        <w:autoSpaceDE/>
        <w:autoSpaceDN/>
        <w:adjustRightInd/>
        <w:spacing w:after="0"/>
        <w:jc w:val="left"/>
        <w:rPr>
          <w:rFonts w:eastAsia="Times New Roman" w:cs="Arial"/>
          <w:color w:val="auto"/>
        </w:rPr>
      </w:pPr>
    </w:p>
    <w:p w:rsidR="004C36A6" w:rsidRDefault="0062660D" w:rsidP="002C4D47">
      <w:pPr>
        <w:autoSpaceDE/>
        <w:autoSpaceDN/>
        <w:adjustRightInd/>
        <w:spacing w:after="0"/>
        <w:jc w:val="left"/>
        <w:rPr>
          <w:rFonts w:eastAsia="Times New Roman" w:cs="Arial"/>
          <w:color w:val="auto"/>
        </w:rPr>
      </w:pPr>
    </w:p>
    <w:p w:rsidR="004C36A6" w:rsidRDefault="0062660D" w:rsidP="002C4D47">
      <w:pPr>
        <w:autoSpaceDE/>
        <w:autoSpaceDN/>
        <w:adjustRightInd/>
        <w:spacing w:after="0"/>
        <w:jc w:val="left"/>
        <w:rPr>
          <w:rFonts w:eastAsia="Times New Roman" w:cs="Arial"/>
          <w:color w:val="auto"/>
        </w:rPr>
      </w:pPr>
    </w:p>
    <w:p w:rsidR="004C36A6" w:rsidRPr="006033C8" w:rsidRDefault="0062660D" w:rsidP="002C4D47">
      <w:pPr>
        <w:autoSpaceDE/>
        <w:autoSpaceDN/>
        <w:adjustRightInd/>
        <w:spacing w:after="0"/>
        <w:jc w:val="left"/>
        <w:rPr>
          <w:rFonts w:eastAsia="Times New Roman" w:cs="Arial"/>
          <w:color w:val="auto"/>
        </w:rPr>
      </w:pPr>
    </w:p>
    <w:p w:rsidR="002C4D47" w:rsidRDefault="0062660D" w:rsidP="002C4D47"/>
    <w:p w:rsidR="007B5569" w:rsidRDefault="0062660D" w:rsidP="002C4D47">
      <w:pPr>
        <w:autoSpaceDE/>
        <w:autoSpaceDN/>
        <w:adjustRightInd/>
        <w:spacing w:after="0"/>
        <w:jc w:val="left"/>
        <w:rPr>
          <w:b/>
        </w:rPr>
      </w:pPr>
    </w:p>
    <w:p w:rsidR="002C4D47" w:rsidRDefault="0062660D" w:rsidP="002C4D47">
      <w:pPr>
        <w:autoSpaceDE/>
        <w:autoSpaceDN/>
        <w:adjustRightInd/>
        <w:spacing w:after="0"/>
        <w:jc w:val="left"/>
      </w:pPr>
      <w:r w:rsidRPr="00F928F3">
        <w:rPr>
          <w:b/>
        </w:rPr>
        <w:t xml:space="preserve">LANCASHIRE COUNTY </w:t>
      </w:r>
      <w:r w:rsidRPr="00F928F3">
        <w:rPr>
          <w:b/>
        </w:rPr>
        <w:t>PENSION FUND GOVERNANCE COMPLIANCE STATEMENT</w:t>
      </w:r>
      <w:r>
        <w:t xml:space="preserve"> </w:t>
      </w:r>
    </w:p>
    <w:p w:rsidR="004C36A6" w:rsidRDefault="0062660D" w:rsidP="002C4D47">
      <w:pPr>
        <w:autoSpaceDE/>
        <w:autoSpaceDN/>
        <w:adjustRightInd/>
        <w:spacing w:after="0"/>
        <w:jc w:val="left"/>
      </w:pPr>
    </w:p>
    <w:p w:rsidR="002C4D47" w:rsidRDefault="0062660D" w:rsidP="002C4D47">
      <w:pPr>
        <w:autoSpaceDE/>
        <w:autoSpaceDN/>
        <w:adjustRightInd/>
        <w:spacing w:after="0"/>
        <w:jc w:val="left"/>
      </w:pPr>
    </w:p>
    <w:tbl>
      <w:tblPr>
        <w:tblW w:w="1500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30"/>
        <w:gridCol w:w="10119"/>
        <w:gridCol w:w="2552"/>
      </w:tblGrid>
      <w:tr w:rsidR="006A2C17" w:rsidTr="004211BD">
        <w:trPr>
          <w:trHeight w:val="491"/>
        </w:trPr>
        <w:tc>
          <w:tcPr>
            <w:tcW w:w="2330" w:type="dxa"/>
            <w:vAlign w:val="center"/>
          </w:tcPr>
          <w:p w:rsidR="002C4D47" w:rsidRPr="002C4D47" w:rsidRDefault="0062660D" w:rsidP="002C4D47">
            <w:pPr>
              <w:autoSpaceDE/>
              <w:autoSpaceDN/>
              <w:adjustRightInd/>
              <w:spacing w:after="0"/>
              <w:jc w:val="left"/>
              <w:rPr>
                <w:rFonts w:eastAsia="Times New Roman" w:cs="Times New Roman"/>
                <w:b/>
                <w:color w:val="auto"/>
                <w:szCs w:val="20"/>
                <w:lang w:eastAsia="en-GB"/>
              </w:rPr>
            </w:pPr>
            <w:r w:rsidRPr="002C4D47">
              <w:rPr>
                <w:rFonts w:eastAsia="Times New Roman" w:cs="Times New Roman"/>
                <w:b/>
                <w:color w:val="auto"/>
                <w:szCs w:val="20"/>
                <w:lang w:eastAsia="en-GB"/>
              </w:rPr>
              <w:t>Principle</w:t>
            </w:r>
          </w:p>
        </w:tc>
        <w:tc>
          <w:tcPr>
            <w:tcW w:w="10119" w:type="dxa"/>
            <w:vAlign w:val="center"/>
          </w:tcPr>
          <w:p w:rsidR="002C4D47" w:rsidRPr="002C4D47" w:rsidRDefault="0062660D" w:rsidP="002C4D47">
            <w:pPr>
              <w:autoSpaceDE/>
              <w:autoSpaceDN/>
              <w:adjustRightInd/>
              <w:spacing w:after="0"/>
              <w:jc w:val="left"/>
              <w:rPr>
                <w:rFonts w:eastAsia="Times New Roman" w:cs="Times New Roman"/>
                <w:b/>
                <w:color w:val="auto"/>
                <w:szCs w:val="20"/>
                <w:lang w:eastAsia="en-GB"/>
              </w:rPr>
            </w:pPr>
          </w:p>
        </w:tc>
        <w:tc>
          <w:tcPr>
            <w:tcW w:w="2552" w:type="dxa"/>
            <w:vAlign w:val="center"/>
          </w:tcPr>
          <w:p w:rsidR="002C4D47" w:rsidRPr="002C4D47" w:rsidRDefault="0062660D" w:rsidP="002C4D47">
            <w:pPr>
              <w:autoSpaceDE/>
              <w:autoSpaceDN/>
              <w:adjustRightInd/>
              <w:spacing w:after="0"/>
              <w:jc w:val="left"/>
              <w:rPr>
                <w:rFonts w:eastAsia="Times New Roman" w:cs="Times New Roman"/>
                <w:b/>
                <w:color w:val="auto"/>
                <w:szCs w:val="20"/>
                <w:lang w:eastAsia="en-GB"/>
              </w:rPr>
            </w:pPr>
            <w:r w:rsidRPr="002C4D47">
              <w:rPr>
                <w:rFonts w:eastAsia="Times New Roman" w:cs="Times New Roman"/>
                <w:b/>
                <w:color w:val="auto"/>
                <w:szCs w:val="20"/>
                <w:lang w:eastAsia="en-GB"/>
              </w:rPr>
              <w:t>Full Compliance</w:t>
            </w:r>
          </w:p>
        </w:tc>
      </w:tr>
      <w:tr w:rsidR="006A2C17" w:rsidTr="004211BD">
        <w:tc>
          <w:tcPr>
            <w:tcW w:w="2330" w:type="dxa"/>
          </w:tcPr>
          <w:p w:rsidR="002C4D47" w:rsidRPr="002C4D47" w:rsidRDefault="0062660D" w:rsidP="002C4D47">
            <w:pPr>
              <w:autoSpaceDE/>
              <w:autoSpaceDN/>
              <w:adjustRightInd/>
              <w:spacing w:after="0"/>
              <w:jc w:val="left"/>
              <w:rPr>
                <w:rFonts w:eastAsia="Times New Roman" w:cs="Times New Roman"/>
                <w:color w:val="auto"/>
                <w:szCs w:val="20"/>
                <w:lang w:eastAsia="en-GB"/>
              </w:rPr>
            </w:pPr>
          </w:p>
          <w:p w:rsidR="002C4D47" w:rsidRPr="002C4D47" w:rsidRDefault="0062660D" w:rsidP="002C4D47">
            <w:pPr>
              <w:autoSpaceDE/>
              <w:autoSpaceDN/>
              <w:adjustRightInd/>
              <w:spacing w:after="0"/>
              <w:jc w:val="left"/>
              <w:rPr>
                <w:rFonts w:eastAsia="Times New Roman" w:cs="Times New Roman"/>
                <w:b/>
                <w:color w:val="auto"/>
                <w:szCs w:val="20"/>
                <w:lang w:eastAsia="en-GB"/>
              </w:rPr>
            </w:pPr>
            <w:r w:rsidRPr="002C4D47">
              <w:rPr>
                <w:rFonts w:eastAsia="Times New Roman" w:cs="Times New Roman"/>
                <w:b/>
                <w:color w:val="auto"/>
                <w:szCs w:val="20"/>
                <w:lang w:eastAsia="en-GB"/>
              </w:rPr>
              <w:t>A.</w:t>
            </w:r>
          </w:p>
          <w:p w:rsidR="002C4D47" w:rsidRPr="002C4D47" w:rsidRDefault="0062660D" w:rsidP="002C4D47">
            <w:pPr>
              <w:autoSpaceDE/>
              <w:autoSpaceDN/>
              <w:adjustRightInd/>
              <w:spacing w:after="0"/>
              <w:jc w:val="left"/>
              <w:rPr>
                <w:rFonts w:eastAsia="Times New Roman" w:cs="Times New Roman"/>
                <w:color w:val="auto"/>
                <w:szCs w:val="20"/>
                <w:lang w:eastAsia="en-GB"/>
              </w:rPr>
            </w:pPr>
            <w:r w:rsidRPr="002C4D47">
              <w:rPr>
                <w:rFonts w:eastAsia="Times New Roman" w:cs="Times New Roman"/>
                <w:b/>
                <w:color w:val="auto"/>
                <w:szCs w:val="20"/>
                <w:lang w:eastAsia="en-GB"/>
              </w:rPr>
              <w:t>Structure</w:t>
            </w:r>
          </w:p>
        </w:tc>
        <w:tc>
          <w:tcPr>
            <w:tcW w:w="10119" w:type="dxa"/>
          </w:tcPr>
          <w:p w:rsidR="002C4D47" w:rsidRPr="002C4D47" w:rsidRDefault="0062660D" w:rsidP="002C4D47">
            <w:pPr>
              <w:autoSpaceDE/>
              <w:autoSpaceDN/>
              <w:adjustRightInd/>
              <w:spacing w:after="0"/>
              <w:jc w:val="left"/>
              <w:rPr>
                <w:rFonts w:eastAsia="Times New Roman" w:cs="Times New Roman"/>
                <w:i/>
                <w:color w:val="auto"/>
                <w:szCs w:val="20"/>
                <w:lang w:eastAsia="en-GB"/>
              </w:rPr>
            </w:pPr>
          </w:p>
          <w:p w:rsidR="002C4D47" w:rsidRPr="002C4D47" w:rsidRDefault="0062660D" w:rsidP="002C4D47">
            <w:pPr>
              <w:autoSpaceDE/>
              <w:autoSpaceDN/>
              <w:adjustRightInd/>
              <w:spacing w:after="0"/>
              <w:jc w:val="left"/>
              <w:rPr>
                <w:rFonts w:eastAsia="Times New Roman" w:cs="Times New Roman"/>
                <w:i/>
                <w:color w:val="auto"/>
                <w:szCs w:val="20"/>
                <w:lang w:eastAsia="en-GB"/>
              </w:rPr>
            </w:pPr>
            <w:r w:rsidRPr="002C4D47">
              <w:rPr>
                <w:rFonts w:eastAsia="Times New Roman" w:cs="Times New Roman"/>
                <w:i/>
                <w:color w:val="auto"/>
                <w:szCs w:val="20"/>
                <w:lang w:eastAsia="en-GB"/>
              </w:rPr>
              <w:t xml:space="preserve">(a) the Management of the administration of benefits and strategic management of fund assets clearly rests with the main committee established by the appointing </w:t>
            </w:r>
            <w:r w:rsidRPr="002C4D47">
              <w:rPr>
                <w:rFonts w:eastAsia="Times New Roman" w:cs="Times New Roman"/>
                <w:i/>
                <w:color w:val="auto"/>
                <w:szCs w:val="20"/>
                <w:lang w:eastAsia="en-GB"/>
              </w:rPr>
              <w:t>Council</w:t>
            </w:r>
          </w:p>
          <w:p w:rsidR="002C4D47" w:rsidRPr="002C4D47" w:rsidRDefault="0062660D" w:rsidP="002C4D47">
            <w:pPr>
              <w:autoSpaceDE/>
              <w:autoSpaceDN/>
              <w:adjustRightInd/>
              <w:spacing w:after="0"/>
              <w:jc w:val="left"/>
              <w:rPr>
                <w:rFonts w:eastAsia="Times New Roman" w:cs="Times New Roman"/>
                <w:i/>
                <w:color w:val="auto"/>
                <w:szCs w:val="20"/>
                <w:lang w:eastAsia="en-GB"/>
              </w:rPr>
            </w:pPr>
          </w:p>
          <w:p w:rsidR="002C4D47" w:rsidRPr="002C4D47" w:rsidRDefault="0062660D" w:rsidP="002C4D47">
            <w:pPr>
              <w:autoSpaceDE/>
              <w:autoSpaceDN/>
              <w:adjustRightInd/>
              <w:spacing w:after="0"/>
              <w:jc w:val="left"/>
              <w:rPr>
                <w:rFonts w:eastAsia="Times New Roman" w:cs="Times New Roman"/>
                <w:i/>
                <w:color w:val="auto"/>
                <w:szCs w:val="20"/>
                <w:lang w:eastAsia="en-GB"/>
              </w:rPr>
            </w:pPr>
            <w:r w:rsidRPr="002C4D47">
              <w:rPr>
                <w:rFonts w:eastAsia="Times New Roman" w:cs="Times New Roman"/>
                <w:i/>
                <w:color w:val="auto"/>
                <w:szCs w:val="20"/>
                <w:lang w:eastAsia="en-GB"/>
              </w:rPr>
              <w:t>(b) that representatives of participating LGPS employers, admitted bodies and scheme members (including pensioner and deferred members) are members of either the main or secondary committee established to underpin the work of the main committee(1)</w:t>
            </w:r>
          </w:p>
          <w:p w:rsidR="002C4D47" w:rsidRDefault="0062660D" w:rsidP="002C4D47">
            <w:pPr>
              <w:autoSpaceDE/>
              <w:autoSpaceDN/>
              <w:adjustRightInd/>
              <w:spacing w:after="0"/>
              <w:jc w:val="left"/>
              <w:rPr>
                <w:rFonts w:eastAsia="Times New Roman" w:cs="Times New Roman"/>
                <w:i/>
                <w:color w:val="auto"/>
                <w:szCs w:val="20"/>
                <w:lang w:eastAsia="en-GB"/>
              </w:rPr>
            </w:pPr>
          </w:p>
          <w:p w:rsidR="002C4D47" w:rsidRPr="002C4D47" w:rsidRDefault="0062660D" w:rsidP="002C4D47">
            <w:pPr>
              <w:autoSpaceDE/>
              <w:autoSpaceDN/>
              <w:adjustRightInd/>
              <w:spacing w:after="0"/>
              <w:jc w:val="left"/>
              <w:rPr>
                <w:rFonts w:eastAsia="Times New Roman" w:cs="Times New Roman"/>
                <w:i/>
                <w:color w:val="auto"/>
                <w:szCs w:val="20"/>
                <w:lang w:eastAsia="en-GB"/>
              </w:rPr>
            </w:pPr>
            <w:r w:rsidRPr="002C4D47">
              <w:rPr>
                <w:rFonts w:eastAsia="Times New Roman" w:cs="Times New Roman"/>
                <w:i/>
                <w:color w:val="auto"/>
                <w:szCs w:val="20"/>
                <w:lang w:eastAsia="en-GB"/>
              </w:rPr>
              <w:t xml:space="preserve">(c) </w:t>
            </w:r>
            <w:proofErr w:type="gramStart"/>
            <w:r w:rsidRPr="002C4D47">
              <w:rPr>
                <w:rFonts w:eastAsia="Times New Roman" w:cs="Times New Roman"/>
                <w:i/>
                <w:color w:val="auto"/>
                <w:szCs w:val="20"/>
                <w:lang w:eastAsia="en-GB"/>
              </w:rPr>
              <w:t>that</w:t>
            </w:r>
            <w:proofErr w:type="gramEnd"/>
            <w:r w:rsidRPr="002C4D47">
              <w:rPr>
                <w:rFonts w:eastAsia="Times New Roman" w:cs="Times New Roman"/>
                <w:i/>
                <w:color w:val="auto"/>
                <w:szCs w:val="20"/>
                <w:lang w:eastAsia="en-GB"/>
              </w:rPr>
              <w:t xml:space="preserve"> where a secondary committee or panel has been established, the structure ensures effective communication across both levels.</w:t>
            </w:r>
          </w:p>
          <w:p w:rsidR="002C4D47" w:rsidRPr="002C4D47" w:rsidRDefault="0062660D" w:rsidP="002C4D47">
            <w:pPr>
              <w:autoSpaceDE/>
              <w:autoSpaceDN/>
              <w:adjustRightInd/>
              <w:spacing w:after="0"/>
              <w:jc w:val="left"/>
              <w:rPr>
                <w:rFonts w:eastAsia="Times New Roman" w:cs="Times New Roman"/>
                <w:i/>
                <w:color w:val="auto"/>
                <w:szCs w:val="20"/>
                <w:lang w:eastAsia="en-GB"/>
              </w:rPr>
            </w:pPr>
          </w:p>
          <w:p w:rsidR="002C4D47" w:rsidRPr="002C4D47" w:rsidRDefault="0062660D" w:rsidP="002C4D47">
            <w:pPr>
              <w:autoSpaceDE/>
              <w:autoSpaceDN/>
              <w:adjustRightInd/>
              <w:spacing w:after="0"/>
              <w:jc w:val="left"/>
              <w:rPr>
                <w:rFonts w:eastAsia="Times New Roman" w:cs="Times New Roman"/>
                <w:i/>
                <w:color w:val="auto"/>
                <w:szCs w:val="20"/>
                <w:lang w:eastAsia="en-GB"/>
              </w:rPr>
            </w:pPr>
            <w:r w:rsidRPr="002C4D47">
              <w:rPr>
                <w:rFonts w:eastAsia="Times New Roman" w:cs="Times New Roman"/>
                <w:i/>
                <w:color w:val="auto"/>
                <w:szCs w:val="20"/>
                <w:lang w:eastAsia="en-GB"/>
              </w:rPr>
              <w:t xml:space="preserve">(d) </w:t>
            </w:r>
            <w:proofErr w:type="gramStart"/>
            <w:r w:rsidRPr="002C4D47">
              <w:rPr>
                <w:rFonts w:eastAsia="Times New Roman" w:cs="Times New Roman"/>
                <w:i/>
                <w:color w:val="auto"/>
                <w:szCs w:val="20"/>
                <w:lang w:eastAsia="en-GB"/>
              </w:rPr>
              <w:t>that</w:t>
            </w:r>
            <w:proofErr w:type="gramEnd"/>
            <w:r w:rsidRPr="002C4D47">
              <w:rPr>
                <w:rFonts w:eastAsia="Times New Roman" w:cs="Times New Roman"/>
                <w:i/>
                <w:color w:val="auto"/>
                <w:szCs w:val="20"/>
                <w:lang w:eastAsia="en-GB"/>
              </w:rPr>
              <w:t xml:space="preserve"> where a secondary committee or panel has been established, at least one seat on the main committee is allocate</w:t>
            </w:r>
            <w:r w:rsidRPr="002C4D47">
              <w:rPr>
                <w:rFonts w:eastAsia="Times New Roman" w:cs="Times New Roman"/>
                <w:i/>
                <w:color w:val="auto"/>
                <w:szCs w:val="20"/>
                <w:lang w:eastAsia="en-GB"/>
              </w:rPr>
              <w:t>d for a member from the secondary committee or panel.</w:t>
            </w:r>
          </w:p>
          <w:p w:rsidR="002C4D47" w:rsidRPr="002C4D47" w:rsidRDefault="0062660D" w:rsidP="002C4D47">
            <w:pPr>
              <w:autoSpaceDE/>
              <w:autoSpaceDN/>
              <w:adjustRightInd/>
              <w:spacing w:after="0"/>
              <w:jc w:val="left"/>
              <w:rPr>
                <w:rFonts w:eastAsia="Times New Roman" w:cs="Times New Roman"/>
                <w:i/>
                <w:color w:val="auto"/>
                <w:szCs w:val="20"/>
                <w:lang w:eastAsia="en-GB"/>
              </w:rPr>
            </w:pPr>
          </w:p>
        </w:tc>
        <w:tc>
          <w:tcPr>
            <w:tcW w:w="2552" w:type="dxa"/>
          </w:tcPr>
          <w:p w:rsidR="002C4D47" w:rsidRPr="002C4D47" w:rsidRDefault="0062660D" w:rsidP="002C4D47">
            <w:pPr>
              <w:autoSpaceDE/>
              <w:autoSpaceDN/>
              <w:adjustRightInd/>
              <w:spacing w:after="0"/>
              <w:jc w:val="left"/>
              <w:rPr>
                <w:rFonts w:eastAsia="Times New Roman" w:cs="Times New Roman"/>
                <w:color w:val="auto"/>
                <w:szCs w:val="20"/>
                <w:lang w:eastAsia="en-GB"/>
              </w:rPr>
            </w:pPr>
          </w:p>
          <w:p w:rsidR="002C4D47" w:rsidRPr="002C4D47" w:rsidRDefault="0062660D" w:rsidP="002C4D47">
            <w:pPr>
              <w:autoSpaceDE/>
              <w:autoSpaceDN/>
              <w:adjustRightInd/>
              <w:spacing w:after="0"/>
              <w:jc w:val="center"/>
              <w:rPr>
                <w:rFonts w:eastAsia="Times New Roman" w:cs="Times New Roman"/>
                <w:color w:val="auto"/>
                <w:sz w:val="40"/>
                <w:szCs w:val="40"/>
                <w:lang w:eastAsia="en-GB"/>
              </w:rPr>
            </w:pPr>
            <w:r w:rsidRPr="002C4D47">
              <w:rPr>
                <w:rFonts w:ascii="Wingdings" w:eastAsia="Times New Roman" w:hAnsi="Wingdings" w:cs="Times New Roman"/>
                <w:color w:val="auto"/>
                <w:sz w:val="40"/>
                <w:szCs w:val="40"/>
                <w:lang w:eastAsia="en-GB"/>
              </w:rPr>
              <w:sym w:font="Wingdings" w:char="F0FC"/>
            </w:r>
          </w:p>
          <w:p w:rsidR="002C4D47" w:rsidRDefault="0062660D" w:rsidP="002C4D47">
            <w:pPr>
              <w:autoSpaceDE/>
              <w:autoSpaceDN/>
              <w:adjustRightInd/>
              <w:spacing w:after="0"/>
              <w:jc w:val="center"/>
              <w:rPr>
                <w:rFonts w:eastAsia="Times New Roman" w:cs="Times New Roman"/>
                <w:b/>
                <w:color w:val="auto"/>
                <w:szCs w:val="20"/>
                <w:lang w:eastAsia="en-GB"/>
              </w:rPr>
            </w:pPr>
          </w:p>
          <w:p w:rsidR="002C4D47" w:rsidRDefault="0062660D" w:rsidP="002C4D47">
            <w:pPr>
              <w:autoSpaceDE/>
              <w:autoSpaceDN/>
              <w:adjustRightInd/>
              <w:spacing w:after="0"/>
              <w:jc w:val="center"/>
              <w:rPr>
                <w:rFonts w:eastAsia="Times New Roman" w:cs="Times New Roman"/>
                <w:b/>
                <w:color w:val="auto"/>
                <w:szCs w:val="20"/>
                <w:lang w:eastAsia="en-GB"/>
              </w:rPr>
            </w:pPr>
          </w:p>
          <w:p w:rsidR="002C4D47" w:rsidRPr="002C4D47" w:rsidRDefault="0062660D" w:rsidP="002C4D47">
            <w:pPr>
              <w:autoSpaceDE/>
              <w:autoSpaceDN/>
              <w:adjustRightInd/>
              <w:spacing w:after="0"/>
              <w:jc w:val="center"/>
              <w:rPr>
                <w:rFonts w:eastAsia="Times New Roman" w:cs="Times New Roman"/>
                <w:b/>
                <w:color w:val="auto"/>
                <w:szCs w:val="20"/>
                <w:lang w:eastAsia="en-GB"/>
              </w:rPr>
            </w:pPr>
            <w:r>
              <w:rPr>
                <w:rFonts w:eastAsia="Times New Roman" w:cs="Times New Roman"/>
                <w:b/>
                <w:color w:val="auto"/>
                <w:szCs w:val="20"/>
                <w:lang w:eastAsia="en-GB"/>
              </w:rPr>
              <w:t>P</w:t>
            </w:r>
            <w:r w:rsidRPr="002C4D47">
              <w:rPr>
                <w:rFonts w:eastAsia="Times New Roman" w:cs="Times New Roman"/>
                <w:b/>
                <w:color w:val="auto"/>
                <w:szCs w:val="20"/>
                <w:lang w:eastAsia="en-GB"/>
              </w:rPr>
              <w:t>artial</w:t>
            </w:r>
          </w:p>
          <w:p w:rsidR="002C4D47" w:rsidRPr="002C4D47" w:rsidRDefault="0062660D" w:rsidP="002C4D47">
            <w:pPr>
              <w:autoSpaceDE/>
              <w:autoSpaceDN/>
              <w:adjustRightInd/>
              <w:spacing w:after="0"/>
              <w:jc w:val="center"/>
              <w:rPr>
                <w:rFonts w:eastAsia="Times New Roman" w:cs="Times New Roman"/>
                <w:color w:val="auto"/>
                <w:szCs w:val="20"/>
                <w:lang w:eastAsia="en-GB"/>
              </w:rPr>
            </w:pPr>
            <w:r w:rsidRPr="002C4D47">
              <w:rPr>
                <w:rFonts w:eastAsia="Times New Roman" w:cs="Times New Roman"/>
                <w:color w:val="auto"/>
                <w:szCs w:val="20"/>
                <w:lang w:eastAsia="en-GB"/>
              </w:rPr>
              <w:t>See note 1 below</w:t>
            </w:r>
          </w:p>
          <w:p w:rsidR="002C4D47" w:rsidRPr="002C4D47" w:rsidRDefault="0062660D" w:rsidP="002C4D47">
            <w:pPr>
              <w:autoSpaceDE/>
              <w:autoSpaceDN/>
              <w:adjustRightInd/>
              <w:spacing w:after="0"/>
              <w:jc w:val="left"/>
              <w:rPr>
                <w:rFonts w:eastAsia="Times New Roman" w:cs="Times New Roman"/>
                <w:color w:val="auto"/>
                <w:szCs w:val="20"/>
                <w:lang w:eastAsia="en-GB"/>
              </w:rPr>
            </w:pPr>
          </w:p>
          <w:p w:rsidR="002C4D47" w:rsidRPr="002C4D47" w:rsidRDefault="0062660D" w:rsidP="002C4D47">
            <w:pPr>
              <w:autoSpaceDE/>
              <w:autoSpaceDN/>
              <w:adjustRightInd/>
              <w:spacing w:after="0"/>
              <w:jc w:val="left"/>
              <w:rPr>
                <w:rFonts w:eastAsia="Times New Roman" w:cs="Times New Roman"/>
                <w:color w:val="auto"/>
                <w:szCs w:val="20"/>
                <w:lang w:eastAsia="en-GB"/>
              </w:rPr>
            </w:pPr>
          </w:p>
          <w:p w:rsidR="002C4D47" w:rsidRPr="002C4D47" w:rsidRDefault="0062660D" w:rsidP="002C4D47">
            <w:pPr>
              <w:autoSpaceDE/>
              <w:autoSpaceDN/>
              <w:adjustRightInd/>
              <w:spacing w:after="0"/>
              <w:jc w:val="center"/>
              <w:rPr>
                <w:rFonts w:eastAsia="Times New Roman" w:cs="Times New Roman"/>
                <w:color w:val="auto"/>
                <w:sz w:val="40"/>
                <w:szCs w:val="40"/>
                <w:lang w:eastAsia="en-GB"/>
              </w:rPr>
            </w:pPr>
            <w:r w:rsidRPr="002C4D47">
              <w:rPr>
                <w:rFonts w:ascii="Wingdings" w:eastAsia="Times New Roman" w:hAnsi="Wingdings" w:cs="Times New Roman"/>
                <w:color w:val="auto"/>
                <w:sz w:val="40"/>
                <w:szCs w:val="40"/>
                <w:lang w:eastAsia="en-GB"/>
              </w:rPr>
              <w:sym w:font="Wingdings" w:char="F0FC"/>
            </w:r>
          </w:p>
          <w:p w:rsidR="002C4D47" w:rsidRPr="002C4D47" w:rsidRDefault="0062660D" w:rsidP="002C4D47">
            <w:pPr>
              <w:autoSpaceDE/>
              <w:autoSpaceDN/>
              <w:adjustRightInd/>
              <w:spacing w:after="0"/>
              <w:jc w:val="center"/>
              <w:rPr>
                <w:rFonts w:eastAsia="Times New Roman" w:cs="Times New Roman"/>
                <w:b/>
                <w:color w:val="auto"/>
                <w:szCs w:val="20"/>
                <w:lang w:eastAsia="en-GB"/>
              </w:rPr>
            </w:pPr>
          </w:p>
          <w:p w:rsidR="002C4D47" w:rsidRPr="002C4D47" w:rsidRDefault="0062660D" w:rsidP="002C4D47">
            <w:pPr>
              <w:autoSpaceDE/>
              <w:autoSpaceDN/>
              <w:adjustRightInd/>
              <w:spacing w:after="0"/>
              <w:jc w:val="center"/>
              <w:rPr>
                <w:rFonts w:eastAsia="Times New Roman" w:cs="Times New Roman"/>
                <w:b/>
                <w:color w:val="auto"/>
                <w:szCs w:val="20"/>
                <w:lang w:eastAsia="en-GB"/>
              </w:rPr>
            </w:pPr>
          </w:p>
          <w:p w:rsidR="002C4D47" w:rsidRPr="002C4D47" w:rsidRDefault="0062660D" w:rsidP="002C4D47">
            <w:pPr>
              <w:autoSpaceDE/>
              <w:autoSpaceDN/>
              <w:adjustRightInd/>
              <w:spacing w:after="0"/>
              <w:jc w:val="center"/>
              <w:rPr>
                <w:rFonts w:eastAsia="Times New Roman" w:cs="Times New Roman"/>
                <w:color w:val="auto"/>
                <w:sz w:val="40"/>
                <w:szCs w:val="40"/>
                <w:lang w:eastAsia="en-GB"/>
              </w:rPr>
            </w:pPr>
            <w:r w:rsidRPr="002C4D47">
              <w:rPr>
                <w:rFonts w:ascii="Wingdings" w:eastAsia="Times New Roman" w:hAnsi="Wingdings" w:cs="Times New Roman"/>
                <w:color w:val="auto"/>
                <w:sz w:val="40"/>
                <w:szCs w:val="40"/>
                <w:lang w:eastAsia="en-GB"/>
              </w:rPr>
              <w:sym w:font="Wingdings" w:char="F0FC"/>
            </w:r>
          </w:p>
          <w:p w:rsidR="002C4D47" w:rsidRPr="002C4D47" w:rsidRDefault="0062660D" w:rsidP="002C4D47">
            <w:pPr>
              <w:autoSpaceDE/>
              <w:autoSpaceDN/>
              <w:adjustRightInd/>
              <w:spacing w:after="0"/>
              <w:jc w:val="left"/>
              <w:rPr>
                <w:rFonts w:eastAsia="Times New Roman" w:cs="Times New Roman"/>
                <w:color w:val="auto"/>
                <w:szCs w:val="20"/>
                <w:lang w:eastAsia="en-GB"/>
              </w:rPr>
            </w:pPr>
          </w:p>
        </w:tc>
      </w:tr>
      <w:tr w:rsidR="006A2C17" w:rsidTr="004211BD">
        <w:tc>
          <w:tcPr>
            <w:tcW w:w="2330" w:type="dxa"/>
            <w:tcBorders>
              <w:top w:val="single" w:sz="4" w:space="0" w:color="auto"/>
            </w:tcBorders>
          </w:tcPr>
          <w:p w:rsidR="002C4D47" w:rsidRPr="00F928F3" w:rsidRDefault="0062660D" w:rsidP="002C4D47">
            <w:pPr>
              <w:ind w:left="885" w:hanging="142"/>
            </w:pPr>
            <w:r w:rsidRPr="00F928F3">
              <w:br w:type="page"/>
            </w:r>
          </w:p>
          <w:p w:rsidR="002C4D47" w:rsidRPr="00F928F3" w:rsidRDefault="0062660D" w:rsidP="004211BD">
            <w:pPr>
              <w:ind w:firstLine="8"/>
              <w:rPr>
                <w:b/>
              </w:rPr>
            </w:pPr>
            <w:r w:rsidRPr="00F928F3">
              <w:rPr>
                <w:b/>
              </w:rPr>
              <w:t>B.</w:t>
            </w:r>
          </w:p>
          <w:p w:rsidR="002C4D47" w:rsidRPr="00F928F3" w:rsidRDefault="0062660D" w:rsidP="004211BD">
            <w:pPr>
              <w:ind w:firstLine="8"/>
            </w:pPr>
            <w:r w:rsidRPr="00F928F3">
              <w:rPr>
                <w:b/>
              </w:rPr>
              <w:t>Representation</w:t>
            </w:r>
          </w:p>
        </w:tc>
        <w:tc>
          <w:tcPr>
            <w:tcW w:w="10119" w:type="dxa"/>
            <w:tcBorders>
              <w:top w:val="single" w:sz="4" w:space="0" w:color="auto"/>
            </w:tcBorders>
          </w:tcPr>
          <w:p w:rsidR="002C4D47" w:rsidRPr="00F928F3" w:rsidRDefault="0062660D" w:rsidP="00AB648B">
            <w:pPr>
              <w:rPr>
                <w:i/>
              </w:rPr>
            </w:pPr>
          </w:p>
          <w:p w:rsidR="002C4D47" w:rsidRPr="00F928F3" w:rsidRDefault="0062660D" w:rsidP="00AB648B">
            <w:pPr>
              <w:rPr>
                <w:i/>
              </w:rPr>
            </w:pPr>
            <w:r>
              <w:rPr>
                <w:i/>
              </w:rPr>
              <w:t xml:space="preserve">(a) </w:t>
            </w:r>
            <w:proofErr w:type="gramStart"/>
            <w:r w:rsidRPr="00F928F3">
              <w:rPr>
                <w:i/>
              </w:rPr>
              <w:t>that</w:t>
            </w:r>
            <w:proofErr w:type="gramEnd"/>
            <w:r w:rsidRPr="00F928F3">
              <w:rPr>
                <w:i/>
              </w:rPr>
              <w:t xml:space="preserve"> all key stakeholders are afforded the opportunity to be represented within the main or secondary committee structure. (1) </w:t>
            </w:r>
          </w:p>
          <w:p w:rsidR="002C4D47" w:rsidRPr="00F928F3" w:rsidRDefault="0062660D" w:rsidP="00AB648B">
            <w:pPr>
              <w:rPr>
                <w:i/>
              </w:rPr>
            </w:pPr>
            <w:r w:rsidRPr="00F928F3">
              <w:rPr>
                <w:i/>
              </w:rPr>
              <w:t xml:space="preserve">These </w:t>
            </w:r>
            <w:r w:rsidRPr="00F928F3">
              <w:rPr>
                <w:i/>
              </w:rPr>
              <w:t>include:</w:t>
            </w:r>
          </w:p>
          <w:p w:rsidR="002C4D47" w:rsidRPr="00F928F3" w:rsidRDefault="0062660D" w:rsidP="00AB648B">
            <w:pPr>
              <w:rPr>
                <w:i/>
              </w:rPr>
            </w:pPr>
            <w:r w:rsidRPr="00F928F3">
              <w:rPr>
                <w:i/>
              </w:rPr>
              <w:t xml:space="preserve">employing authorities (including non-scheme  </w:t>
            </w:r>
          </w:p>
          <w:p w:rsidR="002C4D47" w:rsidRPr="00F928F3" w:rsidRDefault="0062660D" w:rsidP="00AB648B">
            <w:pPr>
              <w:rPr>
                <w:i/>
              </w:rPr>
            </w:pPr>
            <w:r w:rsidRPr="00F928F3">
              <w:rPr>
                <w:i/>
              </w:rPr>
              <w:t>employers, e.g. admitted bodies)</w:t>
            </w:r>
          </w:p>
          <w:p w:rsidR="002C4D47" w:rsidRPr="00F928F3" w:rsidRDefault="0062660D" w:rsidP="00AB648B">
            <w:pPr>
              <w:rPr>
                <w:i/>
              </w:rPr>
            </w:pPr>
            <w:r w:rsidRPr="00F928F3">
              <w:rPr>
                <w:i/>
              </w:rPr>
              <w:t>(ii) scheme members (including deferred and pensioner scheme members)</w:t>
            </w:r>
          </w:p>
          <w:p w:rsidR="002C4D47" w:rsidRPr="00F928F3" w:rsidRDefault="0062660D" w:rsidP="00AB648B">
            <w:pPr>
              <w:rPr>
                <w:i/>
              </w:rPr>
            </w:pPr>
            <w:r w:rsidRPr="00F928F3">
              <w:rPr>
                <w:i/>
              </w:rPr>
              <w:t>(iii) independent professional observers (2)</w:t>
            </w:r>
          </w:p>
          <w:p w:rsidR="002C4D47" w:rsidRDefault="0062660D" w:rsidP="00AB648B">
            <w:pPr>
              <w:rPr>
                <w:i/>
              </w:rPr>
            </w:pPr>
            <w:r w:rsidRPr="00F928F3">
              <w:rPr>
                <w:i/>
              </w:rPr>
              <w:t>(iv) expert advisers (on an ad hoc basis)</w:t>
            </w:r>
          </w:p>
          <w:p w:rsidR="002C4D47" w:rsidRPr="00F928F3" w:rsidRDefault="0062660D" w:rsidP="00AB648B">
            <w:pPr>
              <w:rPr>
                <w:i/>
              </w:rPr>
            </w:pPr>
          </w:p>
        </w:tc>
        <w:tc>
          <w:tcPr>
            <w:tcW w:w="2552" w:type="dxa"/>
            <w:tcBorders>
              <w:top w:val="single" w:sz="4" w:space="0" w:color="auto"/>
            </w:tcBorders>
          </w:tcPr>
          <w:p w:rsidR="002C4D47" w:rsidRPr="00F928F3" w:rsidRDefault="0062660D" w:rsidP="00AB648B"/>
          <w:p w:rsidR="002C4D47" w:rsidRDefault="0062660D" w:rsidP="00AB648B"/>
          <w:p w:rsidR="002C4D47" w:rsidRDefault="0062660D" w:rsidP="00AB648B"/>
          <w:p w:rsidR="002C4D47" w:rsidRPr="00F928F3" w:rsidRDefault="0062660D" w:rsidP="00AB648B">
            <w:pPr>
              <w:jc w:val="center"/>
              <w:rPr>
                <w:b/>
              </w:rPr>
            </w:pPr>
            <w:r w:rsidRPr="00F928F3">
              <w:rPr>
                <w:b/>
              </w:rPr>
              <w:t>Partial</w:t>
            </w:r>
          </w:p>
          <w:p w:rsidR="002C4D47" w:rsidRPr="00F928F3" w:rsidRDefault="0062660D" w:rsidP="00AB648B">
            <w:pPr>
              <w:jc w:val="center"/>
            </w:pPr>
            <w:r w:rsidRPr="00F928F3">
              <w:t>(see notes 1&amp; 2 below)</w:t>
            </w:r>
          </w:p>
        </w:tc>
      </w:tr>
      <w:tr w:rsidR="006A2C17" w:rsidTr="004211BD">
        <w:tc>
          <w:tcPr>
            <w:tcW w:w="15001" w:type="dxa"/>
            <w:gridSpan w:val="3"/>
          </w:tcPr>
          <w:p w:rsidR="004211BD" w:rsidRDefault="0062660D" w:rsidP="004211BD">
            <w:pPr>
              <w:ind w:left="8"/>
              <w:rPr>
                <w:b/>
              </w:rPr>
            </w:pPr>
          </w:p>
          <w:p w:rsidR="002C4D47" w:rsidRPr="00F928F3" w:rsidRDefault="0062660D" w:rsidP="004211BD">
            <w:pPr>
              <w:ind w:left="8"/>
            </w:pPr>
            <w:r w:rsidRPr="00F928F3">
              <w:rPr>
                <w:b/>
              </w:rPr>
              <w:t>Reasons for Partial Compliance</w:t>
            </w:r>
          </w:p>
          <w:p w:rsidR="002C4D47" w:rsidRPr="00B35404" w:rsidRDefault="0062660D" w:rsidP="004211BD">
            <w:pPr>
              <w:ind w:left="8"/>
              <w:rPr>
                <w:rFonts w:eastAsiaTheme="minorHAnsi" w:cs="Arial"/>
              </w:rPr>
            </w:pPr>
            <w:r w:rsidRPr="00B35404">
              <w:rPr>
                <w:rFonts w:cs="Arial"/>
              </w:rPr>
              <w:t xml:space="preserve">Note 1: </w:t>
            </w:r>
            <w:r w:rsidRPr="00B35404">
              <w:rPr>
                <w:rFonts w:eastAsiaTheme="minorHAnsi" w:cs="Arial"/>
              </w:rPr>
              <w:t xml:space="preserve">Unitary Councils, District Councils and Further and Higher Education employers, are represented. Other admitted bodies only represent </w:t>
            </w:r>
            <w:r>
              <w:rPr>
                <w:rFonts w:eastAsiaTheme="minorHAnsi" w:cs="Arial"/>
              </w:rPr>
              <w:t>9</w:t>
            </w:r>
            <w:r w:rsidRPr="00B35404">
              <w:rPr>
                <w:rFonts w:eastAsiaTheme="minorHAnsi" w:cs="Arial"/>
              </w:rPr>
              <w:t xml:space="preserve">% of contributors to the fund and are therefore not </w:t>
            </w:r>
            <w:r w:rsidRPr="00B35404">
              <w:rPr>
                <w:rFonts w:eastAsiaTheme="minorHAnsi" w:cs="Arial"/>
              </w:rPr>
              <w:t xml:space="preserve">represented. However, all employers receive a full annual report and are alerted to important events. Although employee representatives, i.e. Trade Unions, do not formally represent deferred and pensioner scheme members, it is accepted that representation </w:t>
            </w:r>
            <w:r w:rsidRPr="00B35404">
              <w:rPr>
                <w:rFonts w:eastAsiaTheme="minorHAnsi" w:cs="Arial"/>
              </w:rPr>
              <w:t xml:space="preserve">is available to </w:t>
            </w:r>
            <w:proofErr w:type="gramStart"/>
            <w:r w:rsidRPr="00B35404">
              <w:rPr>
                <w:rFonts w:eastAsiaTheme="minorHAnsi" w:cs="Arial"/>
              </w:rPr>
              <w:t>deferred</w:t>
            </w:r>
            <w:proofErr w:type="gramEnd"/>
            <w:r w:rsidRPr="00B35404">
              <w:rPr>
                <w:rFonts w:eastAsiaTheme="minorHAnsi" w:cs="Arial"/>
              </w:rPr>
              <w:t xml:space="preserve"> and pensioners members via this route where necessary and/or appropriate. In addition the interests of all scheme members and employers are specifically represented in the composition of the Local Pension Board.</w:t>
            </w:r>
          </w:p>
          <w:p w:rsidR="004211BD" w:rsidRPr="00E8139E" w:rsidRDefault="0062660D" w:rsidP="00E2591F">
            <w:pPr>
              <w:ind w:left="8"/>
            </w:pPr>
            <w:r w:rsidRPr="00B35404">
              <w:rPr>
                <w:rFonts w:cs="Arial"/>
              </w:rPr>
              <w:t>Note 2: Guidance en</w:t>
            </w:r>
            <w:r w:rsidRPr="00B35404">
              <w:rPr>
                <w:rFonts w:cs="Arial"/>
              </w:rPr>
              <w:t>visaged that an independent professional observer could be invited to participate in governance arrangements to enhance the experience, continuity, knowledge, impartiality and performance of committees or panels which would improve the public perception th</w:t>
            </w:r>
            <w:r w:rsidRPr="00B35404">
              <w:rPr>
                <w:rFonts w:cs="Arial"/>
              </w:rPr>
              <w:t>at high standards of governance are a reality and not just an aspiration.  This role is currently performed by the Fund's independent advisers and officers and it is not apparent what added value such an appointment would bring.</w:t>
            </w:r>
            <w:r w:rsidRPr="00E8139E">
              <w:t xml:space="preserve">  </w:t>
            </w:r>
          </w:p>
        </w:tc>
      </w:tr>
      <w:tr w:rsidR="006A2C17" w:rsidTr="004211BD">
        <w:tc>
          <w:tcPr>
            <w:tcW w:w="2330" w:type="dxa"/>
          </w:tcPr>
          <w:p w:rsidR="002C4D47" w:rsidRPr="00F928F3" w:rsidRDefault="0062660D" w:rsidP="00AB648B"/>
          <w:p w:rsidR="002C4D47" w:rsidRPr="00F928F3" w:rsidRDefault="0062660D" w:rsidP="00AB648B">
            <w:pPr>
              <w:rPr>
                <w:b/>
              </w:rPr>
            </w:pPr>
            <w:r w:rsidRPr="00F928F3">
              <w:rPr>
                <w:b/>
              </w:rPr>
              <w:t>C.</w:t>
            </w:r>
          </w:p>
          <w:p w:rsidR="002C4D47" w:rsidRPr="00F928F3" w:rsidRDefault="0062660D" w:rsidP="00FC59A1">
            <w:pPr>
              <w:jc w:val="left"/>
            </w:pPr>
            <w:r w:rsidRPr="00F928F3">
              <w:rPr>
                <w:b/>
              </w:rPr>
              <w:t xml:space="preserve">Selection and Role </w:t>
            </w:r>
            <w:r w:rsidRPr="00F928F3">
              <w:rPr>
                <w:b/>
              </w:rPr>
              <w:t>of Lay Members</w:t>
            </w:r>
          </w:p>
        </w:tc>
        <w:tc>
          <w:tcPr>
            <w:tcW w:w="10119" w:type="dxa"/>
          </w:tcPr>
          <w:p w:rsidR="002C4D47" w:rsidRPr="00F928F3" w:rsidRDefault="0062660D" w:rsidP="00AB648B"/>
          <w:p w:rsidR="002C4D47" w:rsidRPr="00F928F3" w:rsidRDefault="0062660D" w:rsidP="00AB648B">
            <w:pPr>
              <w:rPr>
                <w:i/>
              </w:rPr>
            </w:pPr>
            <w:r w:rsidRPr="00F928F3">
              <w:rPr>
                <w:i/>
              </w:rPr>
              <w:t xml:space="preserve">(a) </w:t>
            </w:r>
            <w:proofErr w:type="gramStart"/>
            <w:r w:rsidRPr="00F928F3">
              <w:rPr>
                <w:i/>
              </w:rPr>
              <w:t>that</w:t>
            </w:r>
            <w:proofErr w:type="gramEnd"/>
            <w:r w:rsidRPr="00F928F3">
              <w:rPr>
                <w:i/>
              </w:rPr>
              <w:t xml:space="preserve"> committee or panel members are made fully aware of the status, role and function they are required to perform on either a main or secondary committee. </w:t>
            </w:r>
          </w:p>
          <w:p w:rsidR="002C4D47" w:rsidRPr="00F928F3" w:rsidRDefault="0062660D" w:rsidP="004211BD">
            <w:r w:rsidRPr="00F928F3">
              <w:rPr>
                <w:i/>
              </w:rPr>
              <w:t>(It is the role of the administering authority to make places available for lay</w:t>
            </w:r>
            <w:r w:rsidRPr="00F928F3">
              <w:rPr>
                <w:i/>
              </w:rPr>
              <w:t xml:space="preserve"> members and for the groups to nominate the representatives.  The lay members are not there to represent their own local, political or private interest but owe a duty of care to their beneficiaries and are required to act in their best interests at all tim</w:t>
            </w:r>
            <w:r w:rsidRPr="00F928F3">
              <w:rPr>
                <w:i/>
              </w:rPr>
              <w:t>e</w:t>
            </w:r>
            <w:r>
              <w:rPr>
                <w:i/>
              </w:rPr>
              <w:t>s</w:t>
            </w:r>
            <w:r w:rsidRPr="00F928F3">
              <w:rPr>
                <w:i/>
              </w:rPr>
              <w:t>.)</w:t>
            </w:r>
          </w:p>
        </w:tc>
        <w:tc>
          <w:tcPr>
            <w:tcW w:w="2552" w:type="dxa"/>
          </w:tcPr>
          <w:p w:rsidR="002C4D47" w:rsidRPr="00F928F3" w:rsidRDefault="0062660D" w:rsidP="00AB648B"/>
          <w:p w:rsidR="002C4D47" w:rsidRPr="00E8139E" w:rsidRDefault="0062660D" w:rsidP="00AB648B">
            <w:pPr>
              <w:jc w:val="center"/>
              <w:rPr>
                <w:sz w:val="40"/>
                <w:szCs w:val="40"/>
              </w:rPr>
            </w:pPr>
            <w:r w:rsidRPr="00E8139E">
              <w:rPr>
                <w:rFonts w:ascii="Wingdings" w:hAnsi="Wingdings"/>
                <w:sz w:val="40"/>
                <w:szCs w:val="40"/>
              </w:rPr>
              <w:sym w:font="Wingdings" w:char="F0FC"/>
            </w:r>
          </w:p>
          <w:p w:rsidR="002C4D47" w:rsidRPr="00F928F3" w:rsidRDefault="0062660D" w:rsidP="00AB648B">
            <w:pPr>
              <w:jc w:val="center"/>
            </w:pPr>
          </w:p>
        </w:tc>
      </w:tr>
      <w:tr w:rsidR="006A2C17" w:rsidTr="004211BD">
        <w:trPr>
          <w:trHeight w:val="1731"/>
        </w:trPr>
        <w:tc>
          <w:tcPr>
            <w:tcW w:w="2330" w:type="dxa"/>
          </w:tcPr>
          <w:p w:rsidR="002C4D47" w:rsidRPr="00F928F3" w:rsidRDefault="0062660D" w:rsidP="00AB648B"/>
          <w:p w:rsidR="002C4D47" w:rsidRPr="00F928F3" w:rsidRDefault="0062660D" w:rsidP="00AB648B">
            <w:pPr>
              <w:rPr>
                <w:b/>
              </w:rPr>
            </w:pPr>
            <w:r w:rsidRPr="00F928F3">
              <w:rPr>
                <w:b/>
              </w:rPr>
              <w:t>D.</w:t>
            </w:r>
          </w:p>
          <w:p w:rsidR="002C4D47" w:rsidRPr="00F928F3" w:rsidRDefault="0062660D" w:rsidP="00AB648B">
            <w:r w:rsidRPr="00F928F3">
              <w:rPr>
                <w:b/>
              </w:rPr>
              <w:t>Voting</w:t>
            </w:r>
          </w:p>
        </w:tc>
        <w:tc>
          <w:tcPr>
            <w:tcW w:w="10119" w:type="dxa"/>
          </w:tcPr>
          <w:p w:rsidR="002C4D47" w:rsidRPr="00F928F3" w:rsidRDefault="0062660D" w:rsidP="00AB648B"/>
          <w:p w:rsidR="002C4D47" w:rsidRPr="00F928F3" w:rsidRDefault="0062660D" w:rsidP="00AB648B">
            <w:pPr>
              <w:rPr>
                <w:i/>
              </w:rPr>
            </w:pPr>
            <w:r w:rsidRPr="00F928F3">
              <w:rPr>
                <w:i/>
              </w:rPr>
              <w:t xml:space="preserve">(a) </w:t>
            </w:r>
            <w:proofErr w:type="gramStart"/>
            <w:r w:rsidRPr="00F928F3">
              <w:rPr>
                <w:i/>
              </w:rPr>
              <w:t>the</w:t>
            </w:r>
            <w:proofErr w:type="gramEnd"/>
            <w:r w:rsidRPr="00F928F3">
              <w:rPr>
                <w:i/>
              </w:rPr>
              <w:t xml:space="preserve"> policy of individual administering authorities on voting rights is clear and transparent, including the justification for not extending voting rights to each body or group represented on main LGPS committees.</w:t>
            </w:r>
          </w:p>
        </w:tc>
        <w:tc>
          <w:tcPr>
            <w:tcW w:w="2552" w:type="dxa"/>
          </w:tcPr>
          <w:p w:rsidR="002C4D47" w:rsidRPr="00F928F3" w:rsidRDefault="0062660D" w:rsidP="00AB648B"/>
          <w:p w:rsidR="002C4D47" w:rsidRPr="00E8139E" w:rsidRDefault="0062660D" w:rsidP="00AB648B">
            <w:pPr>
              <w:jc w:val="center"/>
              <w:rPr>
                <w:sz w:val="40"/>
                <w:szCs w:val="40"/>
              </w:rPr>
            </w:pPr>
            <w:r w:rsidRPr="00E8139E">
              <w:rPr>
                <w:rFonts w:ascii="Wingdings" w:hAnsi="Wingdings"/>
                <w:sz w:val="40"/>
                <w:szCs w:val="40"/>
              </w:rPr>
              <w:sym w:font="Wingdings" w:char="F0FC"/>
            </w:r>
          </w:p>
          <w:p w:rsidR="002C4D47" w:rsidRPr="00F928F3" w:rsidRDefault="0062660D" w:rsidP="00AB648B"/>
        </w:tc>
      </w:tr>
      <w:tr w:rsidR="006A2C17" w:rsidTr="004211BD">
        <w:tc>
          <w:tcPr>
            <w:tcW w:w="2330" w:type="dxa"/>
          </w:tcPr>
          <w:p w:rsidR="002C4D47" w:rsidRPr="00E8139E" w:rsidRDefault="0062660D" w:rsidP="00AB648B">
            <w:pPr>
              <w:rPr>
                <w:rFonts w:cs="Arial"/>
                <w:b/>
              </w:rPr>
            </w:pPr>
            <w:r w:rsidRPr="00E8139E">
              <w:br w:type="page"/>
            </w:r>
          </w:p>
          <w:p w:rsidR="002C4D47" w:rsidRPr="00E8139E" w:rsidRDefault="0062660D" w:rsidP="00AB648B">
            <w:pPr>
              <w:rPr>
                <w:rFonts w:cs="Arial"/>
                <w:b/>
              </w:rPr>
            </w:pPr>
            <w:r w:rsidRPr="00E8139E">
              <w:rPr>
                <w:rFonts w:cs="Arial"/>
                <w:b/>
              </w:rPr>
              <w:t xml:space="preserve">E. </w:t>
            </w:r>
          </w:p>
          <w:p w:rsidR="002C4D47" w:rsidRPr="00E8139E" w:rsidRDefault="0062660D" w:rsidP="00FC59A1">
            <w:pPr>
              <w:jc w:val="left"/>
              <w:rPr>
                <w:rFonts w:cs="Arial"/>
                <w:b/>
              </w:rPr>
            </w:pPr>
            <w:r w:rsidRPr="00E8139E">
              <w:rPr>
                <w:rFonts w:cs="Arial"/>
                <w:b/>
              </w:rPr>
              <w:t>Training</w:t>
            </w:r>
            <w:r>
              <w:rPr>
                <w:rFonts w:cs="Arial"/>
                <w:b/>
              </w:rPr>
              <w:t xml:space="preserve"> </w:t>
            </w:r>
            <w:r w:rsidRPr="00E8139E">
              <w:rPr>
                <w:rFonts w:cs="Arial"/>
                <w:b/>
              </w:rPr>
              <w:t>/</w:t>
            </w:r>
            <w:r>
              <w:rPr>
                <w:rFonts w:cs="Arial"/>
                <w:b/>
              </w:rPr>
              <w:t xml:space="preserve"> </w:t>
            </w:r>
            <w:r w:rsidRPr="00E8139E">
              <w:rPr>
                <w:rFonts w:cs="Arial"/>
                <w:b/>
              </w:rPr>
              <w:t>Facility Time</w:t>
            </w:r>
            <w:r>
              <w:rPr>
                <w:rFonts w:cs="Arial"/>
                <w:b/>
              </w:rPr>
              <w:t xml:space="preserve"> </w:t>
            </w:r>
            <w:r w:rsidRPr="00E8139E">
              <w:rPr>
                <w:rFonts w:cs="Arial"/>
                <w:b/>
              </w:rPr>
              <w:t>/ Expenses</w:t>
            </w:r>
          </w:p>
        </w:tc>
        <w:tc>
          <w:tcPr>
            <w:tcW w:w="10119" w:type="dxa"/>
          </w:tcPr>
          <w:p w:rsidR="002C4D47" w:rsidRPr="00E8139E" w:rsidRDefault="0062660D" w:rsidP="00AB648B">
            <w:pPr>
              <w:rPr>
                <w:rFonts w:cs="Arial"/>
                <w:i/>
                <w:sz w:val="16"/>
                <w:szCs w:val="16"/>
              </w:rPr>
            </w:pPr>
          </w:p>
          <w:p w:rsidR="002C4D47" w:rsidRPr="00E8139E" w:rsidRDefault="0062660D" w:rsidP="00AB648B">
            <w:pPr>
              <w:rPr>
                <w:rFonts w:cs="Arial"/>
                <w:i/>
              </w:rPr>
            </w:pPr>
            <w:r w:rsidRPr="00E8139E">
              <w:rPr>
                <w:rFonts w:cs="Arial"/>
                <w:i/>
              </w:rPr>
              <w:t xml:space="preserve">(a) </w:t>
            </w:r>
            <w:proofErr w:type="gramStart"/>
            <w:r w:rsidRPr="00E8139E">
              <w:rPr>
                <w:rFonts w:cs="Arial"/>
                <w:i/>
              </w:rPr>
              <w:t>that</w:t>
            </w:r>
            <w:proofErr w:type="gramEnd"/>
            <w:r w:rsidRPr="00E8139E">
              <w:rPr>
                <w:rFonts w:cs="Arial"/>
                <w:i/>
              </w:rPr>
              <w:t xml:space="preserve"> in relation to the way in which statutory and related decisions are taken by the administering authority, there is a clear policy on training, facility time and reimbursement of expenses in respect of members i</w:t>
            </w:r>
            <w:r w:rsidRPr="00E8139E">
              <w:rPr>
                <w:rFonts w:cs="Arial"/>
                <w:i/>
              </w:rPr>
              <w:t>nvolved in the decision-making process.</w:t>
            </w:r>
          </w:p>
          <w:p w:rsidR="002C4D47" w:rsidRPr="00E8139E" w:rsidRDefault="0062660D" w:rsidP="004211BD">
            <w:pPr>
              <w:rPr>
                <w:rFonts w:cs="Arial"/>
                <w:i/>
                <w:sz w:val="16"/>
                <w:szCs w:val="16"/>
              </w:rPr>
            </w:pPr>
            <w:r w:rsidRPr="00E8139E">
              <w:rPr>
                <w:rFonts w:cs="Arial"/>
                <w:i/>
              </w:rPr>
              <w:t xml:space="preserve">(b) </w:t>
            </w:r>
            <w:proofErr w:type="gramStart"/>
            <w:r w:rsidRPr="00E8139E">
              <w:rPr>
                <w:rFonts w:cs="Arial"/>
                <w:i/>
              </w:rPr>
              <w:t>that</w:t>
            </w:r>
            <w:proofErr w:type="gramEnd"/>
            <w:r w:rsidRPr="00E8139E">
              <w:rPr>
                <w:rFonts w:cs="Arial"/>
                <w:i/>
              </w:rPr>
              <w:t xml:space="preserve"> where such a policy exists, it applies equally to all members of committees, sub-committees, advisory panels or any other form of secondary forum. </w:t>
            </w:r>
          </w:p>
        </w:tc>
        <w:tc>
          <w:tcPr>
            <w:tcW w:w="2552" w:type="dxa"/>
          </w:tcPr>
          <w:p w:rsidR="002C4D47" w:rsidRPr="00E8139E" w:rsidRDefault="0062660D" w:rsidP="00AB648B">
            <w:pPr>
              <w:rPr>
                <w:rFonts w:cs="Arial"/>
              </w:rPr>
            </w:pPr>
          </w:p>
          <w:p w:rsidR="002C4D47" w:rsidRPr="00E8139E" w:rsidRDefault="0062660D" w:rsidP="00AB648B">
            <w:pPr>
              <w:jc w:val="center"/>
              <w:rPr>
                <w:sz w:val="40"/>
                <w:szCs w:val="40"/>
              </w:rPr>
            </w:pPr>
            <w:r w:rsidRPr="00E8139E">
              <w:rPr>
                <w:rFonts w:ascii="Wingdings" w:hAnsi="Wingdings"/>
                <w:sz w:val="40"/>
                <w:szCs w:val="40"/>
              </w:rPr>
              <w:sym w:font="Wingdings" w:char="F0FC"/>
            </w:r>
          </w:p>
          <w:p w:rsidR="002C4D47" w:rsidRPr="00E8139E" w:rsidRDefault="0062660D" w:rsidP="00AB648B">
            <w:pPr>
              <w:jc w:val="center"/>
              <w:rPr>
                <w:rFonts w:cs="Arial"/>
                <w:sz w:val="40"/>
                <w:szCs w:val="40"/>
              </w:rPr>
            </w:pPr>
          </w:p>
          <w:p w:rsidR="002C4D47" w:rsidRPr="00E8139E" w:rsidRDefault="0062660D" w:rsidP="00AB648B">
            <w:pPr>
              <w:jc w:val="center"/>
              <w:rPr>
                <w:rFonts w:cs="Arial"/>
              </w:rPr>
            </w:pPr>
            <w:r w:rsidRPr="00E8139E">
              <w:rPr>
                <w:rFonts w:ascii="Wingdings" w:hAnsi="Wingdings"/>
                <w:sz w:val="40"/>
                <w:szCs w:val="40"/>
              </w:rPr>
              <w:sym w:font="Wingdings" w:char="F0FC"/>
            </w:r>
          </w:p>
        </w:tc>
      </w:tr>
      <w:tr w:rsidR="006A2C17" w:rsidTr="00F248C2">
        <w:trPr>
          <w:trHeight w:val="2410"/>
        </w:trPr>
        <w:tc>
          <w:tcPr>
            <w:tcW w:w="2330" w:type="dxa"/>
          </w:tcPr>
          <w:p w:rsidR="002C4D47" w:rsidRPr="00E8139E" w:rsidRDefault="0062660D" w:rsidP="00AB648B">
            <w:pPr>
              <w:rPr>
                <w:rFonts w:cs="Arial"/>
                <w:b/>
              </w:rPr>
            </w:pPr>
          </w:p>
          <w:p w:rsidR="002C4D47" w:rsidRPr="00E8139E" w:rsidRDefault="0062660D" w:rsidP="00AB648B">
            <w:pPr>
              <w:rPr>
                <w:rFonts w:cs="Arial"/>
                <w:b/>
              </w:rPr>
            </w:pPr>
            <w:r w:rsidRPr="00E8139E">
              <w:rPr>
                <w:rFonts w:cs="Arial"/>
                <w:b/>
              </w:rPr>
              <w:t>F.</w:t>
            </w:r>
          </w:p>
          <w:p w:rsidR="002C4D47" w:rsidRPr="00E8139E" w:rsidRDefault="0062660D" w:rsidP="00FC59A1">
            <w:pPr>
              <w:jc w:val="left"/>
              <w:rPr>
                <w:rFonts w:cs="Arial"/>
                <w:b/>
              </w:rPr>
            </w:pPr>
            <w:r w:rsidRPr="00E8139E">
              <w:rPr>
                <w:rFonts w:cs="Arial"/>
                <w:b/>
              </w:rPr>
              <w:t>Meetings – Frequency</w:t>
            </w:r>
          </w:p>
        </w:tc>
        <w:tc>
          <w:tcPr>
            <w:tcW w:w="10119" w:type="dxa"/>
          </w:tcPr>
          <w:p w:rsidR="002C4D47" w:rsidRPr="00E8139E" w:rsidRDefault="0062660D" w:rsidP="00AB648B">
            <w:pPr>
              <w:rPr>
                <w:rFonts w:cs="Arial"/>
                <w:i/>
                <w:sz w:val="16"/>
                <w:szCs w:val="16"/>
              </w:rPr>
            </w:pPr>
          </w:p>
          <w:p w:rsidR="002C4D47" w:rsidRPr="00E8139E" w:rsidRDefault="0062660D" w:rsidP="00AB648B">
            <w:pPr>
              <w:rPr>
                <w:rFonts w:cs="Arial"/>
                <w:i/>
              </w:rPr>
            </w:pPr>
            <w:r w:rsidRPr="00E8139E">
              <w:rPr>
                <w:rFonts w:cs="Arial"/>
                <w:i/>
              </w:rPr>
              <w:t xml:space="preserve">(a) </w:t>
            </w:r>
            <w:proofErr w:type="gramStart"/>
            <w:r w:rsidRPr="00E8139E">
              <w:rPr>
                <w:rFonts w:cs="Arial"/>
                <w:i/>
              </w:rPr>
              <w:t>that</w:t>
            </w:r>
            <w:proofErr w:type="gramEnd"/>
            <w:r w:rsidRPr="00E8139E">
              <w:rPr>
                <w:rFonts w:cs="Arial"/>
                <w:i/>
              </w:rPr>
              <w:t xml:space="preserve"> an administering </w:t>
            </w:r>
            <w:r w:rsidRPr="00E8139E">
              <w:rPr>
                <w:rFonts w:cs="Arial"/>
                <w:i/>
              </w:rPr>
              <w:t>authority’s main committee or committees meet at least quarterly.</w:t>
            </w:r>
          </w:p>
          <w:p w:rsidR="002C4D47" w:rsidRPr="00E8139E" w:rsidRDefault="0062660D" w:rsidP="00AB648B">
            <w:pPr>
              <w:rPr>
                <w:rFonts w:cs="Arial"/>
                <w:i/>
              </w:rPr>
            </w:pPr>
            <w:r w:rsidRPr="00E8139E">
              <w:rPr>
                <w:rFonts w:cs="Arial"/>
                <w:i/>
              </w:rPr>
              <w:t xml:space="preserve">(b) </w:t>
            </w:r>
            <w:proofErr w:type="gramStart"/>
            <w:r w:rsidRPr="00E8139E">
              <w:rPr>
                <w:rFonts w:cs="Arial"/>
                <w:i/>
              </w:rPr>
              <w:t>that</w:t>
            </w:r>
            <w:proofErr w:type="gramEnd"/>
            <w:r w:rsidRPr="00E8139E">
              <w:rPr>
                <w:rFonts w:cs="Arial"/>
                <w:i/>
              </w:rPr>
              <w:t xml:space="preserve"> an administering authority’s secondary committee or panel meet at least twice a year and is synchronised with the dates when the main committee sits.</w:t>
            </w:r>
          </w:p>
          <w:p w:rsidR="002C4D47" w:rsidRPr="00E8139E" w:rsidRDefault="0062660D" w:rsidP="00AB648B">
            <w:pPr>
              <w:rPr>
                <w:rFonts w:cs="Arial"/>
                <w:i/>
                <w:sz w:val="16"/>
                <w:szCs w:val="16"/>
              </w:rPr>
            </w:pPr>
            <w:r w:rsidRPr="00E8139E">
              <w:rPr>
                <w:rFonts w:cs="Arial"/>
                <w:i/>
              </w:rPr>
              <w:t xml:space="preserve">(c) </w:t>
            </w:r>
            <w:proofErr w:type="gramStart"/>
            <w:r w:rsidRPr="00E8139E">
              <w:rPr>
                <w:rFonts w:cs="Arial"/>
                <w:i/>
              </w:rPr>
              <w:t>that</w:t>
            </w:r>
            <w:proofErr w:type="gramEnd"/>
            <w:r w:rsidRPr="00E8139E">
              <w:rPr>
                <w:rFonts w:cs="Arial"/>
                <w:i/>
              </w:rPr>
              <w:t xml:space="preserve"> administering authorit</w:t>
            </w:r>
            <w:r w:rsidRPr="00E8139E">
              <w:rPr>
                <w:rFonts w:cs="Arial"/>
                <w:i/>
              </w:rPr>
              <w:t>ies who do not include lay members in their formal governance arrangements, provide a forum outside of those arrangements by which the interests of key stakeholders can be represented.</w:t>
            </w:r>
          </w:p>
        </w:tc>
        <w:tc>
          <w:tcPr>
            <w:tcW w:w="2552" w:type="dxa"/>
          </w:tcPr>
          <w:p w:rsidR="002C4D47" w:rsidRPr="00E8139E" w:rsidRDefault="0062660D" w:rsidP="00F248C2">
            <w:pPr>
              <w:spacing w:before="240"/>
              <w:jc w:val="center"/>
              <w:rPr>
                <w:sz w:val="40"/>
                <w:szCs w:val="40"/>
              </w:rPr>
            </w:pPr>
            <w:r w:rsidRPr="00E8139E">
              <w:rPr>
                <w:rFonts w:ascii="Wingdings" w:hAnsi="Wingdings"/>
                <w:sz w:val="40"/>
                <w:szCs w:val="40"/>
              </w:rPr>
              <w:sym w:font="Wingdings" w:char="F0FC"/>
            </w:r>
          </w:p>
          <w:p w:rsidR="002C4D47" w:rsidRPr="00E8139E" w:rsidRDefault="0062660D" w:rsidP="00F248C2">
            <w:pPr>
              <w:jc w:val="center"/>
              <w:rPr>
                <w:sz w:val="40"/>
                <w:szCs w:val="40"/>
              </w:rPr>
            </w:pPr>
            <w:r w:rsidRPr="00E8139E">
              <w:rPr>
                <w:rFonts w:ascii="Wingdings" w:hAnsi="Wingdings"/>
                <w:sz w:val="40"/>
                <w:szCs w:val="40"/>
              </w:rPr>
              <w:sym w:font="Wingdings" w:char="F0FC"/>
            </w:r>
          </w:p>
          <w:p w:rsidR="002C4D47" w:rsidRPr="00E8139E" w:rsidRDefault="0062660D" w:rsidP="00F248C2">
            <w:pPr>
              <w:jc w:val="center"/>
              <w:rPr>
                <w:sz w:val="40"/>
                <w:szCs w:val="40"/>
              </w:rPr>
            </w:pPr>
            <w:r w:rsidRPr="00E8139E">
              <w:rPr>
                <w:rFonts w:ascii="Wingdings" w:hAnsi="Wingdings"/>
                <w:sz w:val="40"/>
                <w:szCs w:val="40"/>
              </w:rPr>
              <w:sym w:font="Wingdings" w:char="F0FC"/>
            </w:r>
          </w:p>
          <w:p w:rsidR="002C4D47" w:rsidRPr="00E8139E" w:rsidRDefault="0062660D" w:rsidP="00AB648B">
            <w:pPr>
              <w:rPr>
                <w:rFonts w:cs="Arial"/>
              </w:rPr>
            </w:pPr>
          </w:p>
        </w:tc>
      </w:tr>
      <w:tr w:rsidR="006A2C17" w:rsidTr="00F248C2">
        <w:trPr>
          <w:trHeight w:val="1552"/>
        </w:trPr>
        <w:tc>
          <w:tcPr>
            <w:tcW w:w="2330" w:type="dxa"/>
          </w:tcPr>
          <w:p w:rsidR="002C4D47" w:rsidRPr="00E8139E" w:rsidRDefault="0062660D" w:rsidP="00AB648B">
            <w:pPr>
              <w:rPr>
                <w:rFonts w:cs="Arial"/>
                <w:b/>
              </w:rPr>
            </w:pPr>
          </w:p>
          <w:p w:rsidR="002C4D47" w:rsidRPr="00E8139E" w:rsidRDefault="0062660D" w:rsidP="00AB648B">
            <w:pPr>
              <w:rPr>
                <w:rFonts w:cs="Arial"/>
                <w:b/>
              </w:rPr>
            </w:pPr>
            <w:r w:rsidRPr="00E8139E">
              <w:rPr>
                <w:rFonts w:cs="Arial"/>
                <w:b/>
              </w:rPr>
              <w:t>G.</w:t>
            </w:r>
          </w:p>
          <w:p w:rsidR="002C4D47" w:rsidRPr="00E8139E" w:rsidRDefault="0062660D" w:rsidP="00AB648B">
            <w:pPr>
              <w:rPr>
                <w:rFonts w:cs="Arial"/>
                <w:b/>
              </w:rPr>
            </w:pPr>
            <w:r w:rsidRPr="00E8139E">
              <w:rPr>
                <w:rFonts w:cs="Arial"/>
                <w:b/>
              </w:rPr>
              <w:t>Access</w:t>
            </w:r>
          </w:p>
        </w:tc>
        <w:tc>
          <w:tcPr>
            <w:tcW w:w="10119" w:type="dxa"/>
          </w:tcPr>
          <w:p w:rsidR="002C4D47" w:rsidRPr="00E8139E" w:rsidRDefault="0062660D" w:rsidP="00AB648B">
            <w:pPr>
              <w:rPr>
                <w:rFonts w:cs="Arial"/>
                <w:i/>
              </w:rPr>
            </w:pPr>
          </w:p>
          <w:p w:rsidR="002C4D47" w:rsidRDefault="0062660D" w:rsidP="00F248C2">
            <w:pPr>
              <w:rPr>
                <w:rFonts w:cs="Arial"/>
                <w:i/>
              </w:rPr>
            </w:pPr>
            <w:r w:rsidRPr="00E8139E">
              <w:rPr>
                <w:rFonts w:cs="Arial"/>
                <w:i/>
              </w:rPr>
              <w:t xml:space="preserve">(a) </w:t>
            </w:r>
            <w:proofErr w:type="gramStart"/>
            <w:r w:rsidRPr="00E8139E">
              <w:rPr>
                <w:rFonts w:cs="Arial"/>
                <w:i/>
              </w:rPr>
              <w:t>that</w:t>
            </w:r>
            <w:proofErr w:type="gramEnd"/>
            <w:r w:rsidRPr="00E8139E">
              <w:rPr>
                <w:rFonts w:cs="Arial"/>
                <w:i/>
              </w:rPr>
              <w:t xml:space="preserve"> subject to any rules in the council’s </w:t>
            </w:r>
            <w:r w:rsidRPr="00E8139E">
              <w:rPr>
                <w:rFonts w:cs="Arial"/>
                <w:i/>
              </w:rPr>
              <w:t>constitution, all members of main and secondary committees or panels have equal access to committee papers, documents and advice that falls to be considered at meetings of the main committee.</w:t>
            </w:r>
          </w:p>
          <w:p w:rsidR="00F248C2" w:rsidRPr="00E8139E" w:rsidRDefault="0062660D" w:rsidP="00F248C2">
            <w:pPr>
              <w:rPr>
                <w:rFonts w:cs="Arial"/>
                <w:i/>
              </w:rPr>
            </w:pPr>
          </w:p>
        </w:tc>
        <w:tc>
          <w:tcPr>
            <w:tcW w:w="2552" w:type="dxa"/>
          </w:tcPr>
          <w:p w:rsidR="002C4D47" w:rsidRPr="00E8139E" w:rsidRDefault="0062660D" w:rsidP="00AB648B">
            <w:pPr>
              <w:rPr>
                <w:rFonts w:cs="Arial"/>
              </w:rPr>
            </w:pPr>
          </w:p>
          <w:p w:rsidR="002C4D47" w:rsidRPr="00E8139E" w:rsidRDefault="0062660D" w:rsidP="00AB648B">
            <w:pPr>
              <w:jc w:val="center"/>
              <w:rPr>
                <w:sz w:val="40"/>
                <w:szCs w:val="40"/>
              </w:rPr>
            </w:pPr>
            <w:r w:rsidRPr="00E8139E">
              <w:rPr>
                <w:rFonts w:ascii="Wingdings" w:hAnsi="Wingdings"/>
                <w:sz w:val="40"/>
                <w:szCs w:val="40"/>
              </w:rPr>
              <w:sym w:font="Wingdings" w:char="F0FC"/>
            </w:r>
          </w:p>
          <w:p w:rsidR="002C4D47" w:rsidRPr="00E8139E" w:rsidRDefault="0062660D" w:rsidP="00AB648B">
            <w:pPr>
              <w:rPr>
                <w:rFonts w:cs="Arial"/>
              </w:rPr>
            </w:pPr>
          </w:p>
        </w:tc>
      </w:tr>
      <w:tr w:rsidR="006A2C17" w:rsidTr="004211BD">
        <w:tc>
          <w:tcPr>
            <w:tcW w:w="2330" w:type="dxa"/>
          </w:tcPr>
          <w:p w:rsidR="002C4D47" w:rsidRPr="00E8139E" w:rsidRDefault="0062660D" w:rsidP="00AB648B">
            <w:pPr>
              <w:rPr>
                <w:rFonts w:cs="Arial"/>
                <w:b/>
              </w:rPr>
            </w:pPr>
          </w:p>
          <w:p w:rsidR="002C4D47" w:rsidRPr="00E8139E" w:rsidRDefault="0062660D" w:rsidP="00AB648B">
            <w:pPr>
              <w:rPr>
                <w:rFonts w:cs="Arial"/>
                <w:b/>
              </w:rPr>
            </w:pPr>
            <w:r w:rsidRPr="00E8139E">
              <w:rPr>
                <w:rFonts w:cs="Arial"/>
                <w:b/>
              </w:rPr>
              <w:t>H.</w:t>
            </w:r>
          </w:p>
          <w:p w:rsidR="002C4D47" w:rsidRPr="00E8139E" w:rsidRDefault="0062660D" w:rsidP="00AB648B">
            <w:pPr>
              <w:rPr>
                <w:rFonts w:cs="Arial"/>
                <w:b/>
              </w:rPr>
            </w:pPr>
            <w:r w:rsidRPr="00E8139E">
              <w:rPr>
                <w:rFonts w:cs="Arial"/>
                <w:b/>
              </w:rPr>
              <w:t>Scope</w:t>
            </w:r>
          </w:p>
        </w:tc>
        <w:tc>
          <w:tcPr>
            <w:tcW w:w="10119" w:type="dxa"/>
          </w:tcPr>
          <w:p w:rsidR="002C4D47" w:rsidRPr="00E8139E" w:rsidRDefault="0062660D" w:rsidP="00AB648B">
            <w:pPr>
              <w:rPr>
                <w:rFonts w:cs="Arial"/>
                <w:i/>
              </w:rPr>
            </w:pPr>
          </w:p>
          <w:p w:rsidR="002C4D47" w:rsidRPr="00E8139E" w:rsidRDefault="0062660D" w:rsidP="00F248C2">
            <w:pPr>
              <w:rPr>
                <w:rFonts w:cs="Arial"/>
              </w:rPr>
            </w:pPr>
            <w:r w:rsidRPr="00E8139E">
              <w:rPr>
                <w:rFonts w:cs="Arial"/>
                <w:i/>
              </w:rPr>
              <w:t xml:space="preserve">(a) </w:t>
            </w:r>
            <w:proofErr w:type="gramStart"/>
            <w:r w:rsidRPr="00E8139E">
              <w:rPr>
                <w:rFonts w:cs="Arial"/>
                <w:i/>
              </w:rPr>
              <w:t>that</w:t>
            </w:r>
            <w:proofErr w:type="gramEnd"/>
            <w:r w:rsidRPr="00E8139E">
              <w:rPr>
                <w:rFonts w:cs="Arial"/>
                <w:i/>
              </w:rPr>
              <w:t xml:space="preserve"> administering authorities have taken </w:t>
            </w:r>
            <w:r w:rsidRPr="00E8139E">
              <w:rPr>
                <w:rFonts w:cs="Arial"/>
                <w:i/>
              </w:rPr>
              <w:t>steps to bring wider scheme issues within the scope of their governance arrangements.</w:t>
            </w:r>
          </w:p>
        </w:tc>
        <w:tc>
          <w:tcPr>
            <w:tcW w:w="2552" w:type="dxa"/>
          </w:tcPr>
          <w:p w:rsidR="002C4D47" w:rsidRPr="00E8139E" w:rsidRDefault="0062660D" w:rsidP="00AB648B">
            <w:pPr>
              <w:rPr>
                <w:rFonts w:cs="Arial"/>
              </w:rPr>
            </w:pPr>
          </w:p>
          <w:p w:rsidR="002C4D47" w:rsidRPr="00E8139E" w:rsidRDefault="0062660D" w:rsidP="00F248C2">
            <w:pPr>
              <w:jc w:val="center"/>
              <w:rPr>
                <w:rFonts w:cs="Arial"/>
              </w:rPr>
            </w:pPr>
            <w:r w:rsidRPr="00E8139E">
              <w:rPr>
                <w:rFonts w:ascii="Wingdings" w:hAnsi="Wingdings"/>
                <w:sz w:val="40"/>
                <w:szCs w:val="40"/>
              </w:rPr>
              <w:sym w:font="Wingdings" w:char="F0FC"/>
            </w:r>
          </w:p>
        </w:tc>
      </w:tr>
      <w:tr w:rsidR="006A2C17" w:rsidTr="00F248C2">
        <w:trPr>
          <w:trHeight w:val="1418"/>
        </w:trPr>
        <w:tc>
          <w:tcPr>
            <w:tcW w:w="2330" w:type="dxa"/>
          </w:tcPr>
          <w:p w:rsidR="002C4D47" w:rsidRPr="00E8139E" w:rsidRDefault="0062660D" w:rsidP="00AB648B">
            <w:pPr>
              <w:rPr>
                <w:rFonts w:cs="Arial"/>
                <w:b/>
              </w:rPr>
            </w:pPr>
          </w:p>
          <w:p w:rsidR="002C4D47" w:rsidRPr="00E8139E" w:rsidRDefault="0062660D" w:rsidP="00AB648B">
            <w:pPr>
              <w:rPr>
                <w:rFonts w:cs="Arial"/>
                <w:b/>
              </w:rPr>
            </w:pPr>
            <w:r w:rsidRPr="00E8139E">
              <w:rPr>
                <w:rFonts w:cs="Arial"/>
                <w:b/>
              </w:rPr>
              <w:t>I.</w:t>
            </w:r>
          </w:p>
          <w:p w:rsidR="002C4D47" w:rsidRPr="00E8139E" w:rsidRDefault="0062660D" w:rsidP="00AB648B">
            <w:pPr>
              <w:rPr>
                <w:rFonts w:cs="Arial"/>
                <w:b/>
              </w:rPr>
            </w:pPr>
            <w:r w:rsidRPr="00E8139E">
              <w:rPr>
                <w:rFonts w:cs="Arial"/>
                <w:b/>
              </w:rPr>
              <w:t>Publicity</w:t>
            </w:r>
          </w:p>
        </w:tc>
        <w:tc>
          <w:tcPr>
            <w:tcW w:w="10119" w:type="dxa"/>
          </w:tcPr>
          <w:p w:rsidR="002C4D47" w:rsidRPr="00E8139E" w:rsidRDefault="0062660D" w:rsidP="00AB648B">
            <w:pPr>
              <w:rPr>
                <w:rFonts w:cs="Arial"/>
                <w:i/>
              </w:rPr>
            </w:pPr>
          </w:p>
          <w:p w:rsidR="002C4D47" w:rsidRPr="00E8139E" w:rsidRDefault="0062660D" w:rsidP="00AB648B">
            <w:pPr>
              <w:rPr>
                <w:rFonts w:cs="Arial"/>
                <w:i/>
                <w:sz w:val="16"/>
                <w:szCs w:val="16"/>
              </w:rPr>
            </w:pPr>
            <w:r w:rsidRPr="00E8139E">
              <w:rPr>
                <w:rFonts w:cs="Arial"/>
                <w:i/>
              </w:rPr>
              <w:t xml:space="preserve">(a) </w:t>
            </w:r>
            <w:proofErr w:type="gramStart"/>
            <w:r w:rsidRPr="00E8139E">
              <w:rPr>
                <w:rFonts w:cs="Arial"/>
                <w:i/>
              </w:rPr>
              <w:t>that</w:t>
            </w:r>
            <w:proofErr w:type="gramEnd"/>
            <w:r w:rsidRPr="00E8139E">
              <w:rPr>
                <w:rFonts w:cs="Arial"/>
                <w:i/>
              </w:rPr>
              <w:t xml:space="preserve"> administering authorities have published details of their governance arrangements in such a way that stakeholders with an interest in the way </w:t>
            </w:r>
            <w:r w:rsidRPr="00E8139E">
              <w:rPr>
                <w:rFonts w:cs="Arial"/>
                <w:i/>
              </w:rPr>
              <w:t>in which the scheme is governed can express an interest in wanting to be part of those arrangements.</w:t>
            </w:r>
          </w:p>
        </w:tc>
        <w:tc>
          <w:tcPr>
            <w:tcW w:w="2552" w:type="dxa"/>
          </w:tcPr>
          <w:p w:rsidR="002C4D47" w:rsidRPr="00E8139E" w:rsidRDefault="0062660D" w:rsidP="00AB648B">
            <w:pPr>
              <w:rPr>
                <w:rFonts w:cs="Arial"/>
              </w:rPr>
            </w:pPr>
          </w:p>
          <w:p w:rsidR="002C4D47" w:rsidRPr="00E8139E" w:rsidRDefault="0062660D" w:rsidP="00AB648B">
            <w:pPr>
              <w:jc w:val="center"/>
              <w:rPr>
                <w:rFonts w:cs="Arial"/>
              </w:rPr>
            </w:pPr>
            <w:r w:rsidRPr="00E8139E">
              <w:rPr>
                <w:rFonts w:ascii="Wingdings" w:hAnsi="Wingdings"/>
                <w:sz w:val="40"/>
                <w:szCs w:val="40"/>
              </w:rPr>
              <w:sym w:font="Wingdings" w:char="F0FC"/>
            </w:r>
          </w:p>
        </w:tc>
      </w:tr>
    </w:tbl>
    <w:p w:rsidR="00F248C2" w:rsidRDefault="0062660D" w:rsidP="002C4D47">
      <w:pPr>
        <w:autoSpaceDE/>
        <w:autoSpaceDN/>
        <w:adjustRightInd/>
        <w:spacing w:after="0"/>
        <w:jc w:val="left"/>
      </w:pPr>
    </w:p>
    <w:p w:rsidR="00F248C2" w:rsidRDefault="0062660D" w:rsidP="002C4D47">
      <w:pPr>
        <w:autoSpaceDE/>
        <w:autoSpaceDN/>
        <w:adjustRightInd/>
        <w:spacing w:after="0"/>
        <w:jc w:val="left"/>
      </w:pPr>
    </w:p>
    <w:p w:rsidR="007B5569" w:rsidRDefault="0062660D" w:rsidP="002C4D47">
      <w:pPr>
        <w:autoSpaceDE/>
        <w:autoSpaceDN/>
        <w:adjustRightInd/>
        <w:spacing w:after="0"/>
        <w:jc w:val="left"/>
        <w:sectPr w:rsidR="007B5569" w:rsidSect="00270387">
          <w:pgSz w:w="16840" w:h="11900" w:orient="landscape" w:code="9"/>
          <w:pgMar w:top="720" w:right="720" w:bottom="720" w:left="720" w:header="283" w:footer="283" w:gutter="0"/>
          <w:cols w:space="292"/>
          <w:docGrid w:linePitch="326"/>
        </w:sectPr>
      </w:pPr>
      <w:r>
        <w:br w:type="page"/>
      </w:r>
    </w:p>
    <w:p w:rsidR="007B5569" w:rsidRDefault="0062660D" w:rsidP="002C4D47">
      <w:pPr>
        <w:autoSpaceDE/>
        <w:autoSpaceDN/>
        <w:adjustRightInd/>
        <w:spacing w:after="0"/>
        <w:jc w:val="left"/>
      </w:pPr>
    </w:p>
    <w:p w:rsidR="00AB648B" w:rsidRPr="00AB648B" w:rsidRDefault="0062660D" w:rsidP="00F504EE">
      <w:pPr>
        <w:numPr>
          <w:ilvl w:val="0"/>
          <w:numId w:val="14"/>
        </w:numPr>
        <w:autoSpaceDE/>
        <w:autoSpaceDN/>
        <w:adjustRightInd/>
        <w:spacing w:after="0"/>
        <w:jc w:val="left"/>
        <w:rPr>
          <w:rFonts w:eastAsia="Times New Roman" w:cs="Times New Roman"/>
          <w:b/>
          <w:snapToGrid w:val="0"/>
          <w:color w:val="auto"/>
          <w:sz w:val="32"/>
          <w:szCs w:val="32"/>
        </w:rPr>
      </w:pPr>
      <w:r w:rsidRPr="00AB648B">
        <w:rPr>
          <w:rFonts w:eastAsia="Times New Roman" w:cs="Times New Roman"/>
          <w:b/>
          <w:snapToGrid w:val="0"/>
          <w:color w:val="auto"/>
          <w:sz w:val="32"/>
          <w:szCs w:val="32"/>
        </w:rPr>
        <w:t xml:space="preserve">Administration of the Pension Fund </w:t>
      </w:r>
    </w:p>
    <w:p w:rsidR="00AB648B" w:rsidRPr="00AB648B" w:rsidRDefault="0062660D" w:rsidP="00AB648B">
      <w:pPr>
        <w:autoSpaceDE/>
        <w:autoSpaceDN/>
        <w:adjustRightInd/>
        <w:spacing w:after="0"/>
        <w:ind w:left="360"/>
        <w:jc w:val="left"/>
        <w:rPr>
          <w:rFonts w:eastAsia="Times New Roman" w:cs="Times New Roman"/>
          <w:b/>
          <w:snapToGrid w:val="0"/>
          <w:color w:val="auto"/>
          <w:sz w:val="28"/>
          <w:szCs w:val="28"/>
        </w:rPr>
      </w:pPr>
    </w:p>
    <w:p w:rsidR="00AB648B" w:rsidRPr="00AB648B" w:rsidRDefault="0062660D" w:rsidP="00AB648B">
      <w:pPr>
        <w:autoSpaceDE/>
        <w:autoSpaceDN/>
        <w:adjustRightInd/>
        <w:spacing w:after="0"/>
        <w:jc w:val="left"/>
        <w:rPr>
          <w:rFonts w:eastAsia="Times New Roman" w:cs="Times New Roman"/>
          <w:color w:val="auto"/>
          <w:szCs w:val="20"/>
          <w:highlight w:val="yellow"/>
          <w:lang w:eastAsia="en-GB"/>
        </w:rPr>
      </w:pPr>
    </w:p>
    <w:p w:rsidR="00AB648B" w:rsidRPr="00AB648B" w:rsidRDefault="0062660D" w:rsidP="00AB648B">
      <w:pPr>
        <w:autoSpaceDE/>
        <w:autoSpaceDN/>
        <w:adjustRightInd/>
        <w:spacing w:after="0"/>
        <w:jc w:val="left"/>
        <w:rPr>
          <w:rFonts w:eastAsia="Times New Roman" w:cs="Times New Roman"/>
          <w:b/>
          <w:color w:val="auto"/>
          <w:szCs w:val="20"/>
          <w:lang w:eastAsia="en-GB"/>
        </w:rPr>
      </w:pPr>
      <w:r w:rsidRPr="00AB648B">
        <w:rPr>
          <w:rFonts w:eastAsia="Times New Roman" w:cs="Times New Roman"/>
          <w:b/>
          <w:color w:val="auto"/>
          <w:sz w:val="28"/>
          <w:szCs w:val="28"/>
          <w:lang w:eastAsia="en-GB"/>
        </w:rPr>
        <w:t xml:space="preserve">Background to Lancashire County Pension Fund and the Local Government Pension </w:t>
      </w:r>
      <w:r w:rsidRPr="00AB648B">
        <w:rPr>
          <w:rFonts w:eastAsia="Times New Roman" w:cs="Times New Roman"/>
          <w:b/>
          <w:color w:val="auto"/>
          <w:sz w:val="28"/>
          <w:szCs w:val="28"/>
          <w:lang w:eastAsia="en-GB"/>
        </w:rPr>
        <w:t>Scheme</w:t>
      </w:r>
    </w:p>
    <w:p w:rsidR="00A820F5" w:rsidRPr="00A820F5" w:rsidRDefault="0062660D" w:rsidP="00A820F5">
      <w:pPr>
        <w:autoSpaceDE/>
        <w:autoSpaceDN/>
        <w:adjustRightInd/>
        <w:spacing w:after="0"/>
        <w:jc w:val="left"/>
        <w:rPr>
          <w:rFonts w:eastAsia="Times New Roman" w:cs="Times New Roman"/>
          <w:color w:val="auto"/>
          <w:szCs w:val="20"/>
          <w:lang w:eastAsia="en-GB"/>
        </w:rPr>
      </w:pPr>
      <w:r w:rsidRPr="00A820F5">
        <w:rPr>
          <w:rFonts w:eastAsia="Times New Roman" w:cs="Times New Roman"/>
          <w:color w:val="auto"/>
          <w:szCs w:val="20"/>
          <w:lang w:eastAsia="en-GB"/>
        </w:rPr>
        <w:t xml:space="preserve">The Local Government Pension Scheme is a statutory public sector pension scheme which operates on a "defined benefit basis".  Lancashire County Council as "Administering Authority" is required by law to administer the Scheme within the geographical </w:t>
      </w:r>
      <w:r w:rsidRPr="00A820F5">
        <w:rPr>
          <w:rFonts w:eastAsia="Times New Roman" w:cs="Times New Roman"/>
          <w:color w:val="auto"/>
          <w:szCs w:val="20"/>
          <w:lang w:eastAsia="en-GB"/>
        </w:rPr>
        <w:t>area of Lancashire.</w:t>
      </w:r>
    </w:p>
    <w:p w:rsidR="00A820F5" w:rsidRPr="00A820F5" w:rsidRDefault="0062660D" w:rsidP="00A820F5">
      <w:pPr>
        <w:autoSpaceDE/>
        <w:autoSpaceDN/>
        <w:adjustRightInd/>
        <w:spacing w:after="0"/>
        <w:jc w:val="left"/>
        <w:rPr>
          <w:rFonts w:eastAsia="Times New Roman" w:cs="Times New Roman"/>
          <w:color w:val="auto"/>
          <w:szCs w:val="20"/>
          <w:lang w:eastAsia="en-GB"/>
        </w:rPr>
      </w:pPr>
    </w:p>
    <w:p w:rsidR="00A820F5" w:rsidRPr="00A820F5" w:rsidRDefault="0062660D" w:rsidP="00A820F5">
      <w:pPr>
        <w:autoSpaceDE/>
        <w:autoSpaceDN/>
        <w:adjustRightInd/>
        <w:spacing w:after="0"/>
        <w:jc w:val="left"/>
        <w:rPr>
          <w:rFonts w:eastAsia="Times New Roman" w:cs="Times New Roman"/>
          <w:color w:val="auto"/>
          <w:szCs w:val="20"/>
          <w:lang w:eastAsia="en-GB"/>
        </w:rPr>
      </w:pPr>
      <w:r w:rsidRPr="00A820F5">
        <w:rPr>
          <w:rFonts w:eastAsia="Times New Roman" w:cs="Times New Roman"/>
          <w:color w:val="auto"/>
          <w:szCs w:val="20"/>
          <w:lang w:eastAsia="en-GB"/>
        </w:rPr>
        <w:t xml:space="preserve">Pension administration services are provided to Lancashire County Pension Fund by Lancashire County Councils award winning pensions administration service; Your Pension Service (YPS).  </w:t>
      </w:r>
    </w:p>
    <w:p w:rsidR="00AB648B" w:rsidRPr="00AB648B" w:rsidRDefault="0062660D" w:rsidP="00AB648B">
      <w:pPr>
        <w:autoSpaceDE/>
        <w:autoSpaceDN/>
        <w:adjustRightInd/>
        <w:spacing w:after="0"/>
        <w:jc w:val="left"/>
        <w:rPr>
          <w:rFonts w:eastAsia="Times New Roman" w:cs="Times New Roman"/>
          <w:color w:val="auto"/>
          <w:szCs w:val="20"/>
          <w:lang w:eastAsia="en-GB"/>
        </w:rPr>
      </w:pPr>
    </w:p>
    <w:p w:rsidR="00AB648B" w:rsidRPr="00AB648B" w:rsidRDefault="0062660D" w:rsidP="00AB648B">
      <w:pPr>
        <w:spacing w:after="0"/>
        <w:rPr>
          <w:rFonts w:ascii="Arial,Bold" w:eastAsia="Times New Roman" w:hAnsi="Arial,Bold" w:cs="Arial,Bold"/>
          <w:b/>
          <w:bCs/>
          <w:lang w:eastAsia="en-GB"/>
        </w:rPr>
      </w:pPr>
    </w:p>
    <w:p w:rsidR="00A820F5" w:rsidRDefault="0062660D" w:rsidP="00AB648B">
      <w:pPr>
        <w:autoSpaceDE/>
        <w:autoSpaceDN/>
        <w:adjustRightInd/>
        <w:spacing w:after="0"/>
        <w:jc w:val="left"/>
        <w:rPr>
          <w:rFonts w:eastAsia="Times New Roman" w:cs="Times New Roman"/>
          <w:b/>
          <w:color w:val="auto"/>
          <w:sz w:val="28"/>
          <w:szCs w:val="28"/>
          <w:lang w:eastAsia="en-GB"/>
        </w:rPr>
      </w:pPr>
      <w:r w:rsidRPr="00AB648B">
        <w:rPr>
          <w:rFonts w:eastAsia="Times New Roman" w:cs="Times New Roman"/>
          <w:b/>
          <w:color w:val="auto"/>
          <w:sz w:val="28"/>
          <w:szCs w:val="28"/>
          <w:lang w:eastAsia="en-GB"/>
        </w:rPr>
        <w:t xml:space="preserve">Review of the Year </w:t>
      </w:r>
    </w:p>
    <w:p w:rsidR="00E3253B" w:rsidRPr="00E3253B" w:rsidRDefault="0062660D" w:rsidP="00E3253B">
      <w:pPr>
        <w:autoSpaceDE/>
        <w:autoSpaceDN/>
        <w:adjustRightInd/>
        <w:spacing w:after="0"/>
        <w:jc w:val="left"/>
        <w:rPr>
          <w:rFonts w:eastAsia="Times New Roman" w:cs="Times New Roman"/>
          <w:color w:val="auto"/>
          <w:lang w:eastAsia="en-GB"/>
        </w:rPr>
      </w:pPr>
      <w:r w:rsidRPr="00E3253B">
        <w:rPr>
          <w:rFonts w:cs="Swiss 72 1 BT"/>
        </w:rPr>
        <w:t xml:space="preserve">Over the year Your Pension Service has achieved an overall performance level of 99% against the standards and targets set out within a Service Level Agreement.   </w:t>
      </w:r>
    </w:p>
    <w:p w:rsidR="00E3253B" w:rsidRPr="00E3253B" w:rsidRDefault="0062660D" w:rsidP="00E3253B">
      <w:pPr>
        <w:autoSpaceDE/>
        <w:autoSpaceDN/>
        <w:adjustRightInd/>
        <w:spacing w:after="0"/>
        <w:jc w:val="left"/>
        <w:rPr>
          <w:rFonts w:eastAsia="Times New Roman" w:cs="Times New Roman"/>
          <w:b/>
          <w:color w:val="auto"/>
          <w:lang w:eastAsia="en-GB"/>
        </w:rPr>
      </w:pPr>
    </w:p>
    <w:p w:rsidR="00E3253B" w:rsidRPr="00E3253B" w:rsidRDefault="0062660D" w:rsidP="00E3253B">
      <w:pPr>
        <w:autoSpaceDE/>
        <w:autoSpaceDN/>
        <w:adjustRightInd/>
        <w:spacing w:after="0"/>
        <w:jc w:val="left"/>
        <w:rPr>
          <w:rFonts w:cs="Swiss 72 1 BT"/>
        </w:rPr>
      </w:pPr>
      <w:r w:rsidRPr="00E3253B">
        <w:rPr>
          <w:rFonts w:cs="Swiss 72 1 BT"/>
        </w:rPr>
        <w:t>In July 2015 Your Pension Service was re-accredited with the Governments Customer Service Excellence Award. This award focuses on developing customer insight, understanding scheme members’ experience and delivering a first class service. The Service has he</w:t>
      </w:r>
      <w:r w:rsidRPr="00E3253B">
        <w:rPr>
          <w:rFonts w:cs="Swiss 72 1 BT"/>
        </w:rPr>
        <w:t xml:space="preserve">ld this award since 2008. More work is being undertaken to develop further customer insight, to better understand the customers experience and to make improvements. </w:t>
      </w:r>
    </w:p>
    <w:p w:rsidR="00AB648B" w:rsidRDefault="0062660D" w:rsidP="00AB648B">
      <w:pPr>
        <w:autoSpaceDE/>
        <w:autoSpaceDN/>
        <w:adjustRightInd/>
        <w:spacing w:after="0"/>
        <w:jc w:val="left"/>
        <w:rPr>
          <w:rFonts w:eastAsia="Times New Roman" w:cs="Times New Roman"/>
          <w:b/>
          <w:color w:val="auto"/>
          <w:sz w:val="28"/>
          <w:szCs w:val="28"/>
          <w:lang w:eastAsia="en-GB"/>
        </w:rPr>
      </w:pPr>
    </w:p>
    <w:p w:rsidR="00AB648B" w:rsidRPr="00AB648B" w:rsidRDefault="0062660D" w:rsidP="00AB648B">
      <w:pPr>
        <w:autoSpaceDE/>
        <w:autoSpaceDN/>
        <w:adjustRightInd/>
        <w:spacing w:after="0"/>
        <w:jc w:val="left"/>
        <w:rPr>
          <w:rFonts w:eastAsia="Times New Roman" w:cs="Times New Roman"/>
          <w:b/>
          <w:color w:val="auto"/>
          <w:szCs w:val="20"/>
          <w:lang w:eastAsia="en-GB"/>
        </w:rPr>
      </w:pPr>
    </w:p>
    <w:p w:rsidR="00A820F5" w:rsidRDefault="0062660D" w:rsidP="00AB648B">
      <w:pPr>
        <w:autoSpaceDE/>
        <w:autoSpaceDN/>
        <w:adjustRightInd/>
        <w:spacing w:after="0"/>
        <w:jc w:val="left"/>
        <w:rPr>
          <w:rFonts w:eastAsia="Times New Roman" w:cs="Times New Roman"/>
          <w:b/>
          <w:color w:val="auto"/>
          <w:sz w:val="28"/>
          <w:szCs w:val="28"/>
          <w:lang w:eastAsia="en-GB"/>
        </w:rPr>
      </w:pPr>
      <w:r w:rsidRPr="00AB648B">
        <w:rPr>
          <w:rFonts w:eastAsia="Times New Roman" w:cs="Times New Roman"/>
          <w:b/>
          <w:color w:val="auto"/>
          <w:sz w:val="28"/>
          <w:szCs w:val="28"/>
          <w:lang w:eastAsia="en-GB"/>
        </w:rPr>
        <w:t>Membership and employers</w:t>
      </w:r>
    </w:p>
    <w:p w:rsidR="00E3253B" w:rsidRPr="00E3253B" w:rsidRDefault="0062660D" w:rsidP="00E3253B">
      <w:pPr>
        <w:autoSpaceDE/>
        <w:autoSpaceDN/>
        <w:adjustRightInd/>
        <w:spacing w:after="0"/>
        <w:jc w:val="left"/>
        <w:rPr>
          <w:rFonts w:eastAsia="Times New Roman" w:cs="Times New Roman"/>
          <w:color w:val="auto"/>
          <w:szCs w:val="20"/>
          <w:lang w:eastAsia="en-GB"/>
        </w:rPr>
      </w:pPr>
      <w:r w:rsidRPr="00E3253B">
        <w:rPr>
          <w:rFonts w:eastAsia="Times New Roman" w:cs="Times New Roman"/>
          <w:color w:val="auto"/>
          <w:szCs w:val="20"/>
          <w:lang w:eastAsia="en-GB"/>
        </w:rPr>
        <w:t xml:space="preserve">The Scheme is administered on behalf of over 300 organisations </w:t>
      </w:r>
      <w:r w:rsidRPr="00E3253B">
        <w:rPr>
          <w:rFonts w:eastAsia="Times New Roman" w:cs="Times New Roman"/>
          <w:color w:val="auto"/>
          <w:szCs w:val="20"/>
          <w:lang w:eastAsia="en-GB"/>
        </w:rPr>
        <w:t xml:space="preserve">including local authorities, further and higher education colleges, voluntary and charitable organisations and private contractors undertaking a local authority function following outsourcing to the private sector. </w:t>
      </w:r>
    </w:p>
    <w:p w:rsidR="00E3253B" w:rsidRPr="00E3253B" w:rsidRDefault="0062660D" w:rsidP="00E3253B">
      <w:pPr>
        <w:autoSpaceDE/>
        <w:autoSpaceDN/>
        <w:adjustRightInd/>
        <w:spacing w:after="0"/>
        <w:jc w:val="left"/>
        <w:rPr>
          <w:rFonts w:eastAsia="Times New Roman" w:cs="Times New Roman"/>
          <w:color w:val="auto"/>
          <w:szCs w:val="20"/>
          <w:lang w:eastAsia="en-GB"/>
        </w:rPr>
      </w:pPr>
    </w:p>
    <w:p w:rsidR="00E3253B" w:rsidRPr="00E3253B" w:rsidRDefault="0062660D" w:rsidP="00E3253B">
      <w:pPr>
        <w:spacing w:after="0" w:line="240" w:lineRule="atLeast"/>
        <w:jc w:val="left"/>
        <w:rPr>
          <w:rFonts w:eastAsiaTheme="minorHAnsi" w:cs="Arial"/>
        </w:rPr>
      </w:pPr>
      <w:r w:rsidRPr="00E3253B">
        <w:rPr>
          <w:rFonts w:eastAsiaTheme="minorHAnsi" w:cs="Arial"/>
        </w:rPr>
        <w:t xml:space="preserve">The Local Government Pension Scheme is </w:t>
      </w:r>
      <w:r w:rsidRPr="00E3253B">
        <w:rPr>
          <w:rFonts w:eastAsiaTheme="minorHAnsi" w:cs="Arial"/>
        </w:rPr>
        <w:t xml:space="preserve">open to 2 main types of employers, </w:t>
      </w:r>
    </w:p>
    <w:p w:rsidR="00E3253B" w:rsidRPr="00E3253B" w:rsidRDefault="0062660D" w:rsidP="00E3253B">
      <w:pPr>
        <w:autoSpaceDE/>
        <w:autoSpaceDN/>
        <w:adjustRightInd/>
        <w:spacing w:after="0"/>
        <w:jc w:val="left"/>
        <w:rPr>
          <w:rFonts w:cs="Arial"/>
        </w:rPr>
      </w:pPr>
      <w:r w:rsidRPr="00E3253B">
        <w:rPr>
          <w:rFonts w:cs="Arial"/>
        </w:rPr>
        <w:t xml:space="preserve">“Scheduled Bodies and Admissions Bodies”. Scheduled Bodies are listed within the LGPS regulations and if they meet criteria are eligible to participate. </w:t>
      </w:r>
    </w:p>
    <w:p w:rsidR="00E3253B" w:rsidRPr="00E3253B" w:rsidRDefault="0062660D" w:rsidP="00E3253B">
      <w:pPr>
        <w:autoSpaceDE/>
        <w:autoSpaceDN/>
        <w:adjustRightInd/>
        <w:spacing w:after="0"/>
        <w:jc w:val="left"/>
        <w:rPr>
          <w:rFonts w:cs="Arial"/>
        </w:rPr>
      </w:pPr>
    </w:p>
    <w:p w:rsidR="00E3253B" w:rsidRPr="00E3253B" w:rsidRDefault="0062660D" w:rsidP="00E3253B">
      <w:pPr>
        <w:autoSpaceDE/>
        <w:autoSpaceDN/>
        <w:adjustRightInd/>
        <w:spacing w:after="0"/>
        <w:jc w:val="left"/>
        <w:rPr>
          <w:rFonts w:cs="Arial"/>
        </w:rPr>
      </w:pPr>
      <w:r w:rsidRPr="00E3253B">
        <w:rPr>
          <w:rFonts w:cs="Arial"/>
        </w:rPr>
        <w:t>Admissions Bodies participate through a written contractual agree</w:t>
      </w:r>
      <w:r w:rsidRPr="00E3253B">
        <w:rPr>
          <w:rFonts w:cs="Arial"/>
        </w:rPr>
        <w:t>ment and the majority of cases are established when outsourcing a service or function, where the new contractor wishes to provide continued LGPS membership.</w:t>
      </w:r>
    </w:p>
    <w:p w:rsidR="00E3253B" w:rsidRPr="00E3253B" w:rsidRDefault="0062660D" w:rsidP="00E3253B">
      <w:pPr>
        <w:autoSpaceDE/>
        <w:autoSpaceDN/>
        <w:adjustRightInd/>
        <w:spacing w:after="0"/>
        <w:jc w:val="left"/>
        <w:rPr>
          <w:rFonts w:eastAsia="Times New Roman" w:cs="Arial"/>
          <w:color w:val="auto"/>
          <w:lang w:eastAsia="en-GB"/>
        </w:rPr>
      </w:pPr>
      <w:r w:rsidRPr="00E3253B">
        <w:rPr>
          <w:rFonts w:cs="Arial"/>
        </w:rPr>
        <w:t xml:space="preserve"> </w:t>
      </w:r>
    </w:p>
    <w:p w:rsidR="00E3253B" w:rsidRPr="00E3253B" w:rsidRDefault="0062660D" w:rsidP="00E3253B">
      <w:pPr>
        <w:autoSpaceDE/>
        <w:autoSpaceDN/>
        <w:adjustRightInd/>
        <w:spacing w:after="0"/>
        <w:jc w:val="left"/>
        <w:rPr>
          <w:rFonts w:cs="Arial"/>
        </w:rPr>
      </w:pPr>
      <w:r w:rsidRPr="00E3253B">
        <w:rPr>
          <w:rFonts w:cs="Arial"/>
        </w:rPr>
        <w:t>During the period 38 employers applied to join the scheme (2 parish councils, 15 academies and 21</w:t>
      </w:r>
      <w:r w:rsidRPr="00E3253B">
        <w:rPr>
          <w:rFonts w:cs="Arial"/>
        </w:rPr>
        <w:t xml:space="preserve"> contractors).</w:t>
      </w:r>
    </w:p>
    <w:p w:rsidR="00E3253B" w:rsidRPr="00E3253B" w:rsidRDefault="0062660D" w:rsidP="00E3253B">
      <w:pPr>
        <w:autoSpaceDE/>
        <w:autoSpaceDN/>
        <w:adjustRightInd/>
        <w:spacing w:after="0"/>
        <w:jc w:val="left"/>
        <w:rPr>
          <w:rFonts w:eastAsia="Times New Roman" w:cs="Times New Roman"/>
          <w:color w:val="auto"/>
          <w:szCs w:val="20"/>
          <w:lang w:eastAsia="en-GB"/>
        </w:rPr>
      </w:pPr>
    </w:p>
    <w:p w:rsidR="00E3253B" w:rsidRPr="00E3253B" w:rsidRDefault="0062660D" w:rsidP="00E3253B">
      <w:pPr>
        <w:autoSpaceDE/>
        <w:autoSpaceDN/>
        <w:adjustRightInd/>
        <w:spacing w:after="0"/>
        <w:jc w:val="left"/>
        <w:rPr>
          <w:rFonts w:eastAsia="Times New Roman" w:cs="Times New Roman"/>
          <w:color w:val="auto"/>
          <w:szCs w:val="20"/>
          <w:lang w:eastAsia="en-GB"/>
        </w:rPr>
      </w:pPr>
      <w:r w:rsidRPr="00E3253B">
        <w:rPr>
          <w:rFonts w:eastAsia="Times New Roman" w:cs="Times New Roman"/>
          <w:color w:val="auto"/>
          <w:szCs w:val="20"/>
          <w:lang w:eastAsia="en-GB"/>
        </w:rPr>
        <w:t>Membership of the LGPS is automatic although employees are able to opt-out of membership if they choose. However, employees are re-enrolled every 3 years under the government's auto-enrolment regulations.</w:t>
      </w:r>
    </w:p>
    <w:p w:rsidR="00AB648B" w:rsidRDefault="0062660D" w:rsidP="00AB648B">
      <w:pPr>
        <w:autoSpaceDE/>
        <w:autoSpaceDN/>
        <w:adjustRightInd/>
        <w:spacing w:after="0"/>
        <w:jc w:val="left"/>
        <w:rPr>
          <w:rFonts w:eastAsia="Times New Roman" w:cs="Times New Roman"/>
          <w:b/>
          <w:color w:val="auto"/>
          <w:sz w:val="28"/>
          <w:szCs w:val="28"/>
          <w:lang w:eastAsia="en-GB"/>
        </w:rPr>
      </w:pPr>
    </w:p>
    <w:p w:rsidR="00E3253B" w:rsidRDefault="0062660D" w:rsidP="00AB648B">
      <w:pPr>
        <w:autoSpaceDE/>
        <w:autoSpaceDN/>
        <w:adjustRightInd/>
        <w:spacing w:after="0"/>
        <w:jc w:val="left"/>
        <w:rPr>
          <w:rFonts w:eastAsia="Times New Roman" w:cs="Times New Roman"/>
          <w:b/>
          <w:color w:val="auto"/>
          <w:sz w:val="28"/>
          <w:szCs w:val="28"/>
          <w:lang w:eastAsia="en-GB"/>
        </w:rPr>
      </w:pPr>
    </w:p>
    <w:p w:rsidR="00E3253B" w:rsidRDefault="0062660D" w:rsidP="00AB648B">
      <w:pPr>
        <w:autoSpaceDE/>
        <w:autoSpaceDN/>
        <w:adjustRightInd/>
        <w:spacing w:after="0"/>
        <w:jc w:val="left"/>
        <w:rPr>
          <w:rFonts w:eastAsia="Times New Roman" w:cs="Times New Roman"/>
          <w:b/>
          <w:color w:val="auto"/>
          <w:sz w:val="28"/>
          <w:szCs w:val="28"/>
          <w:lang w:eastAsia="en-GB"/>
        </w:rPr>
      </w:pPr>
    </w:p>
    <w:p w:rsidR="00E3253B" w:rsidRDefault="0062660D" w:rsidP="00AB648B">
      <w:pPr>
        <w:autoSpaceDE/>
        <w:autoSpaceDN/>
        <w:adjustRightInd/>
        <w:spacing w:after="0"/>
        <w:jc w:val="left"/>
        <w:rPr>
          <w:rFonts w:eastAsia="Times New Roman" w:cs="Times New Roman"/>
          <w:b/>
          <w:color w:val="auto"/>
          <w:sz w:val="28"/>
          <w:szCs w:val="28"/>
          <w:lang w:eastAsia="en-GB"/>
        </w:rPr>
      </w:pPr>
    </w:p>
    <w:p w:rsidR="00E3253B" w:rsidRDefault="0062660D" w:rsidP="00AB648B">
      <w:pPr>
        <w:autoSpaceDE/>
        <w:autoSpaceDN/>
        <w:adjustRightInd/>
        <w:spacing w:after="0"/>
        <w:jc w:val="left"/>
        <w:rPr>
          <w:rFonts w:eastAsia="Times New Roman" w:cs="Times New Roman"/>
          <w:b/>
          <w:color w:val="auto"/>
          <w:sz w:val="28"/>
          <w:szCs w:val="28"/>
          <w:lang w:eastAsia="en-GB"/>
        </w:rPr>
      </w:pPr>
    </w:p>
    <w:p w:rsidR="00E3253B" w:rsidRDefault="0062660D" w:rsidP="00AB648B">
      <w:pPr>
        <w:autoSpaceDE/>
        <w:autoSpaceDN/>
        <w:adjustRightInd/>
        <w:spacing w:after="0"/>
        <w:jc w:val="left"/>
        <w:rPr>
          <w:rFonts w:eastAsia="Times New Roman" w:cs="Times New Roman"/>
          <w:b/>
          <w:color w:val="auto"/>
          <w:sz w:val="28"/>
          <w:szCs w:val="28"/>
          <w:lang w:eastAsia="en-GB"/>
        </w:rPr>
      </w:pPr>
    </w:p>
    <w:p w:rsidR="00E3253B" w:rsidRDefault="0062660D" w:rsidP="00AB648B">
      <w:pPr>
        <w:autoSpaceDE/>
        <w:autoSpaceDN/>
        <w:adjustRightInd/>
        <w:spacing w:after="0"/>
        <w:jc w:val="left"/>
        <w:rPr>
          <w:rFonts w:eastAsia="Times New Roman" w:cs="Times New Roman"/>
          <w:b/>
          <w:color w:val="auto"/>
          <w:sz w:val="28"/>
          <w:szCs w:val="28"/>
          <w:lang w:eastAsia="en-GB"/>
        </w:rPr>
      </w:pPr>
    </w:p>
    <w:p w:rsidR="00E3253B" w:rsidRPr="00AB648B" w:rsidRDefault="0062660D" w:rsidP="00AB648B">
      <w:pPr>
        <w:autoSpaceDE/>
        <w:autoSpaceDN/>
        <w:adjustRightInd/>
        <w:spacing w:after="0"/>
        <w:jc w:val="left"/>
        <w:rPr>
          <w:rFonts w:eastAsia="Times New Roman" w:cs="Times New Roman"/>
          <w:b/>
          <w:color w:val="auto"/>
          <w:sz w:val="28"/>
          <w:szCs w:val="28"/>
          <w:lang w:eastAsia="en-GB"/>
        </w:rPr>
      </w:pPr>
    </w:p>
    <w:p w:rsidR="00A820F5" w:rsidRDefault="0062660D" w:rsidP="00AB648B">
      <w:pPr>
        <w:autoSpaceDE/>
        <w:autoSpaceDN/>
        <w:adjustRightInd/>
        <w:spacing w:after="0"/>
        <w:jc w:val="left"/>
        <w:rPr>
          <w:rFonts w:eastAsia="Times New Roman" w:cs="Times New Roman"/>
          <w:b/>
          <w:color w:val="auto"/>
          <w:sz w:val="28"/>
          <w:szCs w:val="28"/>
          <w:lang w:eastAsia="en-GB"/>
        </w:rPr>
      </w:pPr>
      <w:r w:rsidRPr="0010683A">
        <w:rPr>
          <w:rFonts w:eastAsia="Times New Roman" w:cs="Times New Roman"/>
          <w:b/>
          <w:color w:val="auto"/>
          <w:sz w:val="28"/>
          <w:szCs w:val="28"/>
          <w:lang w:eastAsia="en-GB"/>
        </w:rPr>
        <w:t>LGPS</w:t>
      </w:r>
      <w:r w:rsidRPr="00AB648B">
        <w:rPr>
          <w:rFonts w:eastAsia="Times New Roman" w:cs="Times New Roman"/>
          <w:b/>
          <w:color w:val="auto"/>
          <w:szCs w:val="20"/>
          <w:lang w:eastAsia="en-GB"/>
        </w:rPr>
        <w:t xml:space="preserve"> </w:t>
      </w:r>
      <w:r w:rsidRPr="0010683A">
        <w:rPr>
          <w:rFonts w:eastAsia="Times New Roman" w:cs="Times New Roman"/>
          <w:b/>
          <w:color w:val="auto"/>
          <w:sz w:val="28"/>
          <w:szCs w:val="28"/>
          <w:lang w:eastAsia="en-GB"/>
        </w:rPr>
        <w:t>membership</w:t>
      </w:r>
    </w:p>
    <w:p w:rsidR="0010683A" w:rsidRPr="0010683A" w:rsidRDefault="0062660D" w:rsidP="00AB648B">
      <w:pPr>
        <w:autoSpaceDE/>
        <w:autoSpaceDN/>
        <w:adjustRightInd/>
        <w:spacing w:after="0"/>
        <w:jc w:val="left"/>
        <w:rPr>
          <w:rFonts w:eastAsia="Times New Roman" w:cs="Times New Roman"/>
          <w:b/>
          <w:color w:val="auto"/>
          <w:sz w:val="28"/>
          <w:szCs w:val="28"/>
          <w:lang w:eastAsia="en-GB"/>
        </w:rPr>
      </w:pPr>
    </w:p>
    <w:tbl>
      <w:tblPr>
        <w:tblStyle w:val="TableGrid21"/>
        <w:tblW w:w="0" w:type="auto"/>
        <w:tblInd w:w="108" w:type="dxa"/>
        <w:tblLayout w:type="fixed"/>
        <w:tblLook w:val="04A0" w:firstRow="1" w:lastRow="0" w:firstColumn="1" w:lastColumn="0" w:noHBand="0" w:noVBand="1"/>
      </w:tblPr>
      <w:tblGrid>
        <w:gridCol w:w="2155"/>
        <w:gridCol w:w="2004"/>
        <w:gridCol w:w="2220"/>
        <w:gridCol w:w="2126"/>
        <w:gridCol w:w="1843"/>
      </w:tblGrid>
      <w:tr w:rsidR="006A2C17" w:rsidTr="0015659B">
        <w:tc>
          <w:tcPr>
            <w:tcW w:w="2155" w:type="dxa"/>
          </w:tcPr>
          <w:p w:rsidR="00E3253B" w:rsidRPr="00E3253B" w:rsidRDefault="0062660D" w:rsidP="00E3253B">
            <w:pPr>
              <w:autoSpaceDE/>
              <w:autoSpaceDN/>
              <w:adjustRightInd/>
              <w:spacing w:after="0"/>
              <w:ind w:left="284"/>
              <w:contextualSpacing/>
              <w:jc w:val="left"/>
              <w:rPr>
                <w:rFonts w:ascii="Arial" w:eastAsia="Times New Roman" w:hAnsi="Arial" w:cs="Arial"/>
                <w:b/>
                <w:color w:val="auto"/>
                <w:lang w:eastAsia="en-GB"/>
              </w:rPr>
            </w:pPr>
            <w:r w:rsidRPr="00E3253B">
              <w:rPr>
                <w:rFonts w:ascii="Arial" w:eastAsia="Times New Roman" w:hAnsi="Arial" w:cs="Arial"/>
                <w:b/>
                <w:color w:val="auto"/>
                <w:lang w:eastAsia="en-GB"/>
              </w:rPr>
              <w:t xml:space="preserve">As at 31 </w:t>
            </w:r>
            <w:r w:rsidRPr="00E3253B">
              <w:rPr>
                <w:rFonts w:ascii="Arial" w:eastAsia="Times New Roman" w:hAnsi="Arial" w:cs="Arial"/>
                <w:b/>
                <w:color w:val="auto"/>
                <w:lang w:eastAsia="en-GB"/>
              </w:rPr>
              <w:t>March 2016</w:t>
            </w:r>
          </w:p>
        </w:tc>
        <w:tc>
          <w:tcPr>
            <w:tcW w:w="2004" w:type="dxa"/>
          </w:tcPr>
          <w:p w:rsidR="00E3253B" w:rsidRPr="00E3253B" w:rsidRDefault="0062660D" w:rsidP="00E3253B">
            <w:pPr>
              <w:autoSpaceDE/>
              <w:autoSpaceDN/>
              <w:adjustRightInd/>
              <w:spacing w:after="0"/>
              <w:ind w:left="720"/>
              <w:contextualSpacing/>
              <w:jc w:val="right"/>
              <w:rPr>
                <w:rFonts w:ascii="Arial" w:eastAsia="Times New Roman" w:hAnsi="Arial" w:cs="Arial"/>
                <w:b/>
                <w:color w:val="auto"/>
                <w:lang w:eastAsia="en-GB"/>
              </w:rPr>
            </w:pPr>
            <w:r w:rsidRPr="00E3253B">
              <w:rPr>
                <w:rFonts w:ascii="Arial" w:eastAsia="Times New Roman" w:hAnsi="Arial" w:cs="Arial"/>
                <w:b/>
                <w:color w:val="auto"/>
                <w:lang w:eastAsia="en-GB"/>
              </w:rPr>
              <w:t>Active scheme members</w:t>
            </w:r>
          </w:p>
        </w:tc>
        <w:tc>
          <w:tcPr>
            <w:tcW w:w="2220" w:type="dxa"/>
          </w:tcPr>
          <w:p w:rsidR="00E3253B" w:rsidRPr="00E3253B" w:rsidRDefault="0062660D" w:rsidP="00E3253B">
            <w:pPr>
              <w:autoSpaceDE/>
              <w:autoSpaceDN/>
              <w:adjustRightInd/>
              <w:spacing w:after="0"/>
              <w:ind w:left="720"/>
              <w:contextualSpacing/>
              <w:jc w:val="left"/>
              <w:rPr>
                <w:rFonts w:ascii="Arial" w:eastAsia="Times New Roman" w:hAnsi="Arial" w:cs="Arial"/>
                <w:b/>
                <w:color w:val="auto"/>
                <w:lang w:eastAsia="en-GB"/>
              </w:rPr>
            </w:pPr>
            <w:r w:rsidRPr="00E3253B">
              <w:rPr>
                <w:rFonts w:ascii="Arial" w:eastAsia="Times New Roman" w:hAnsi="Arial" w:cs="Arial"/>
                <w:b/>
                <w:color w:val="auto"/>
                <w:lang w:eastAsia="en-GB"/>
              </w:rPr>
              <w:t>Deferred pensioners</w:t>
            </w:r>
          </w:p>
        </w:tc>
        <w:tc>
          <w:tcPr>
            <w:tcW w:w="2126" w:type="dxa"/>
          </w:tcPr>
          <w:p w:rsidR="00E3253B" w:rsidRPr="00E3253B" w:rsidRDefault="0062660D" w:rsidP="00E3253B">
            <w:pPr>
              <w:autoSpaceDE/>
              <w:autoSpaceDN/>
              <w:adjustRightInd/>
              <w:spacing w:after="0"/>
              <w:ind w:left="720"/>
              <w:contextualSpacing/>
              <w:jc w:val="right"/>
              <w:rPr>
                <w:rFonts w:ascii="Arial" w:eastAsia="Times New Roman" w:hAnsi="Arial" w:cs="Arial"/>
                <w:b/>
                <w:color w:val="auto"/>
                <w:lang w:eastAsia="en-GB"/>
              </w:rPr>
            </w:pPr>
            <w:r w:rsidRPr="00E3253B">
              <w:rPr>
                <w:rFonts w:ascii="Arial" w:eastAsia="Times New Roman" w:hAnsi="Arial" w:cs="Arial"/>
                <w:b/>
                <w:color w:val="auto"/>
                <w:lang w:eastAsia="en-GB"/>
              </w:rPr>
              <w:t>Pensions in payment</w:t>
            </w:r>
          </w:p>
        </w:tc>
        <w:tc>
          <w:tcPr>
            <w:tcW w:w="1843" w:type="dxa"/>
          </w:tcPr>
          <w:p w:rsidR="00E3253B" w:rsidRPr="00E3253B" w:rsidRDefault="0062660D" w:rsidP="00E3253B">
            <w:pPr>
              <w:autoSpaceDE/>
              <w:autoSpaceDN/>
              <w:adjustRightInd/>
              <w:spacing w:after="0"/>
              <w:ind w:left="720"/>
              <w:contextualSpacing/>
              <w:jc w:val="right"/>
              <w:rPr>
                <w:rFonts w:ascii="Arial" w:eastAsia="Times New Roman" w:hAnsi="Arial" w:cs="Arial"/>
                <w:b/>
                <w:color w:val="auto"/>
                <w:lang w:eastAsia="en-GB"/>
              </w:rPr>
            </w:pPr>
            <w:r w:rsidRPr="00E3253B">
              <w:rPr>
                <w:rFonts w:ascii="Arial" w:eastAsia="Times New Roman" w:hAnsi="Arial" w:cs="Arial"/>
                <w:b/>
                <w:color w:val="auto"/>
                <w:lang w:eastAsia="en-GB"/>
              </w:rPr>
              <w:t>Total</w:t>
            </w:r>
          </w:p>
        </w:tc>
      </w:tr>
      <w:tr w:rsidR="006A2C17" w:rsidTr="0015659B">
        <w:trPr>
          <w:trHeight w:val="387"/>
        </w:trPr>
        <w:tc>
          <w:tcPr>
            <w:tcW w:w="2155" w:type="dxa"/>
          </w:tcPr>
          <w:p w:rsidR="00E3253B" w:rsidRPr="00E3253B" w:rsidRDefault="0062660D" w:rsidP="00E3253B">
            <w:pPr>
              <w:autoSpaceDE/>
              <w:autoSpaceDN/>
              <w:adjustRightInd/>
              <w:spacing w:after="0"/>
              <w:ind w:left="284"/>
              <w:contextualSpacing/>
              <w:jc w:val="left"/>
              <w:rPr>
                <w:rFonts w:ascii="Arial" w:eastAsia="Times New Roman" w:hAnsi="Arial" w:cs="Arial"/>
                <w:color w:val="auto"/>
                <w:lang w:eastAsia="en-GB"/>
              </w:rPr>
            </w:pPr>
            <w:r w:rsidRPr="00E3253B">
              <w:rPr>
                <w:rFonts w:ascii="Arial" w:eastAsia="Times New Roman" w:hAnsi="Arial" w:cs="Arial"/>
                <w:color w:val="auto"/>
                <w:lang w:eastAsia="en-GB"/>
              </w:rPr>
              <w:t>Scheduled bodies</w:t>
            </w:r>
          </w:p>
        </w:tc>
        <w:tc>
          <w:tcPr>
            <w:tcW w:w="2004" w:type="dxa"/>
            <w:tcBorders>
              <w:top w:val="nil"/>
              <w:left w:val="nil"/>
              <w:bottom w:val="single" w:sz="8" w:space="0" w:color="auto"/>
              <w:right w:val="single" w:sz="8" w:space="0" w:color="auto"/>
            </w:tcBorders>
          </w:tcPr>
          <w:p w:rsidR="00E3253B" w:rsidRPr="00E3253B" w:rsidRDefault="0062660D" w:rsidP="00E3253B">
            <w:pPr>
              <w:autoSpaceDE/>
              <w:autoSpaceDN/>
              <w:adjustRightInd/>
              <w:spacing w:after="0"/>
              <w:ind w:left="720"/>
              <w:contextualSpacing/>
              <w:jc w:val="right"/>
              <w:rPr>
                <w:rFonts w:ascii="Arial" w:eastAsia="Times New Roman" w:hAnsi="Arial" w:cs="Arial"/>
                <w:color w:val="auto"/>
                <w:lang w:eastAsia="en-GB"/>
              </w:rPr>
            </w:pPr>
            <w:r w:rsidRPr="00E3253B">
              <w:rPr>
                <w:rFonts w:ascii="Arial" w:eastAsia="Times New Roman" w:hAnsi="Arial" w:cs="Arial"/>
                <w:color w:val="auto"/>
                <w:lang w:eastAsia="en-GB"/>
              </w:rPr>
              <w:t>51,939</w:t>
            </w:r>
          </w:p>
        </w:tc>
        <w:tc>
          <w:tcPr>
            <w:tcW w:w="2220" w:type="dxa"/>
            <w:tcBorders>
              <w:top w:val="nil"/>
              <w:left w:val="nil"/>
              <w:bottom w:val="single" w:sz="8" w:space="0" w:color="auto"/>
              <w:right w:val="single" w:sz="8" w:space="0" w:color="auto"/>
            </w:tcBorders>
          </w:tcPr>
          <w:p w:rsidR="00E3253B" w:rsidRPr="00E3253B" w:rsidRDefault="0062660D" w:rsidP="00E3253B">
            <w:pPr>
              <w:autoSpaceDE/>
              <w:autoSpaceDN/>
              <w:adjustRightInd/>
              <w:spacing w:after="0"/>
              <w:ind w:left="720"/>
              <w:contextualSpacing/>
              <w:jc w:val="right"/>
              <w:rPr>
                <w:rFonts w:ascii="Arial" w:eastAsia="Times New Roman" w:hAnsi="Arial" w:cs="Arial"/>
                <w:color w:val="auto"/>
                <w:lang w:eastAsia="en-GB"/>
              </w:rPr>
            </w:pPr>
            <w:r w:rsidRPr="00E3253B">
              <w:rPr>
                <w:rFonts w:ascii="Arial" w:eastAsia="Times New Roman" w:hAnsi="Arial" w:cs="Arial"/>
                <w:color w:val="auto"/>
                <w:lang w:eastAsia="en-GB"/>
              </w:rPr>
              <w:t>57,362</w:t>
            </w:r>
          </w:p>
        </w:tc>
        <w:tc>
          <w:tcPr>
            <w:tcW w:w="2126" w:type="dxa"/>
            <w:tcBorders>
              <w:top w:val="nil"/>
              <w:left w:val="nil"/>
              <w:bottom w:val="single" w:sz="8" w:space="0" w:color="auto"/>
              <w:right w:val="single" w:sz="8" w:space="0" w:color="auto"/>
            </w:tcBorders>
          </w:tcPr>
          <w:p w:rsidR="00E3253B" w:rsidRPr="00E3253B" w:rsidRDefault="0062660D" w:rsidP="00E3253B">
            <w:pPr>
              <w:autoSpaceDE/>
              <w:autoSpaceDN/>
              <w:adjustRightInd/>
              <w:spacing w:after="0"/>
              <w:ind w:left="720"/>
              <w:contextualSpacing/>
              <w:jc w:val="right"/>
              <w:rPr>
                <w:rFonts w:ascii="Arial" w:eastAsia="Times New Roman" w:hAnsi="Arial" w:cs="Arial"/>
                <w:color w:val="auto"/>
                <w:lang w:eastAsia="en-GB"/>
              </w:rPr>
            </w:pPr>
            <w:r w:rsidRPr="00E3253B">
              <w:rPr>
                <w:rFonts w:ascii="Arial" w:eastAsia="Times New Roman" w:hAnsi="Arial" w:cs="Arial"/>
                <w:color w:val="auto"/>
                <w:lang w:eastAsia="en-GB"/>
              </w:rPr>
              <w:t>41</w:t>
            </w:r>
            <w:r>
              <w:rPr>
                <w:rFonts w:ascii="Arial" w:eastAsia="Times New Roman" w:hAnsi="Arial" w:cs="Arial"/>
                <w:color w:val="auto"/>
                <w:lang w:eastAsia="en-GB"/>
              </w:rPr>
              <w:t>,</w:t>
            </w:r>
            <w:r w:rsidRPr="00E3253B">
              <w:rPr>
                <w:rFonts w:ascii="Arial" w:eastAsia="Times New Roman" w:hAnsi="Arial" w:cs="Arial"/>
                <w:color w:val="auto"/>
                <w:lang w:eastAsia="en-GB"/>
              </w:rPr>
              <w:t>359</w:t>
            </w:r>
          </w:p>
        </w:tc>
        <w:tc>
          <w:tcPr>
            <w:tcW w:w="1843" w:type="dxa"/>
            <w:tcBorders>
              <w:top w:val="nil"/>
              <w:left w:val="nil"/>
              <w:bottom w:val="single" w:sz="8" w:space="0" w:color="auto"/>
              <w:right w:val="single" w:sz="8" w:space="0" w:color="auto"/>
            </w:tcBorders>
          </w:tcPr>
          <w:p w:rsidR="00E3253B" w:rsidRPr="00E3253B" w:rsidRDefault="0062660D" w:rsidP="00E3253B">
            <w:pPr>
              <w:autoSpaceDE/>
              <w:autoSpaceDN/>
              <w:adjustRightInd/>
              <w:spacing w:after="0"/>
              <w:ind w:left="720"/>
              <w:contextualSpacing/>
              <w:jc w:val="right"/>
              <w:rPr>
                <w:rFonts w:ascii="Arial" w:eastAsia="Times New Roman" w:hAnsi="Arial" w:cs="Arial"/>
                <w:color w:val="auto"/>
                <w:lang w:eastAsia="en-GB"/>
              </w:rPr>
            </w:pPr>
            <w:r w:rsidRPr="00E3253B">
              <w:rPr>
                <w:rFonts w:ascii="Arial" w:eastAsia="Times New Roman" w:hAnsi="Arial" w:cs="Arial"/>
                <w:color w:val="auto"/>
                <w:lang w:eastAsia="en-GB"/>
              </w:rPr>
              <w:t>150</w:t>
            </w:r>
            <w:r>
              <w:rPr>
                <w:rFonts w:ascii="Arial" w:eastAsia="Times New Roman" w:hAnsi="Arial" w:cs="Arial"/>
                <w:color w:val="auto"/>
                <w:lang w:eastAsia="en-GB"/>
              </w:rPr>
              <w:t>,</w:t>
            </w:r>
            <w:r w:rsidRPr="00E3253B">
              <w:rPr>
                <w:rFonts w:ascii="Arial" w:eastAsia="Times New Roman" w:hAnsi="Arial" w:cs="Arial"/>
                <w:color w:val="auto"/>
                <w:lang w:eastAsia="en-GB"/>
              </w:rPr>
              <w:t>660</w:t>
            </w:r>
          </w:p>
        </w:tc>
      </w:tr>
      <w:tr w:rsidR="006A2C17" w:rsidTr="0015659B">
        <w:trPr>
          <w:trHeight w:val="493"/>
        </w:trPr>
        <w:tc>
          <w:tcPr>
            <w:tcW w:w="2155" w:type="dxa"/>
          </w:tcPr>
          <w:p w:rsidR="00E3253B" w:rsidRPr="00E3253B" w:rsidRDefault="0062660D" w:rsidP="00E3253B">
            <w:pPr>
              <w:autoSpaceDE/>
              <w:autoSpaceDN/>
              <w:adjustRightInd/>
              <w:spacing w:after="0"/>
              <w:ind w:left="284"/>
              <w:contextualSpacing/>
              <w:jc w:val="left"/>
              <w:rPr>
                <w:rFonts w:ascii="Arial" w:eastAsia="Times New Roman" w:hAnsi="Arial" w:cs="Arial"/>
                <w:color w:val="auto"/>
                <w:lang w:eastAsia="en-GB"/>
              </w:rPr>
            </w:pPr>
            <w:r w:rsidRPr="00E3253B">
              <w:rPr>
                <w:rFonts w:ascii="Arial" w:eastAsia="Times New Roman" w:hAnsi="Arial" w:cs="Arial"/>
                <w:color w:val="auto"/>
                <w:lang w:eastAsia="en-GB"/>
              </w:rPr>
              <w:t>Admitted bodies</w:t>
            </w:r>
          </w:p>
        </w:tc>
        <w:tc>
          <w:tcPr>
            <w:tcW w:w="2004" w:type="dxa"/>
            <w:tcBorders>
              <w:top w:val="nil"/>
              <w:left w:val="nil"/>
              <w:bottom w:val="single" w:sz="8" w:space="0" w:color="auto"/>
              <w:right w:val="single" w:sz="8" w:space="0" w:color="auto"/>
            </w:tcBorders>
          </w:tcPr>
          <w:p w:rsidR="00E3253B" w:rsidRPr="00E3253B" w:rsidRDefault="0062660D" w:rsidP="00E3253B">
            <w:pPr>
              <w:autoSpaceDE/>
              <w:autoSpaceDN/>
              <w:adjustRightInd/>
              <w:spacing w:after="0"/>
              <w:ind w:left="720"/>
              <w:contextualSpacing/>
              <w:jc w:val="right"/>
              <w:rPr>
                <w:rFonts w:ascii="Arial" w:eastAsia="Times New Roman" w:hAnsi="Arial" w:cs="Arial"/>
                <w:color w:val="auto"/>
                <w:lang w:eastAsia="en-GB"/>
              </w:rPr>
            </w:pPr>
            <w:r w:rsidRPr="00E3253B">
              <w:rPr>
                <w:rFonts w:ascii="Arial" w:eastAsia="Times New Roman" w:hAnsi="Arial" w:cs="Arial"/>
                <w:color w:val="auto"/>
                <w:lang w:eastAsia="en-GB"/>
              </w:rPr>
              <w:t>4,390</w:t>
            </w:r>
          </w:p>
        </w:tc>
        <w:tc>
          <w:tcPr>
            <w:tcW w:w="2220" w:type="dxa"/>
            <w:tcBorders>
              <w:top w:val="nil"/>
              <w:left w:val="nil"/>
              <w:bottom w:val="single" w:sz="8" w:space="0" w:color="auto"/>
              <w:right w:val="single" w:sz="8" w:space="0" w:color="auto"/>
            </w:tcBorders>
          </w:tcPr>
          <w:p w:rsidR="00E3253B" w:rsidRPr="00E3253B" w:rsidRDefault="0062660D" w:rsidP="00E3253B">
            <w:pPr>
              <w:autoSpaceDE/>
              <w:autoSpaceDN/>
              <w:adjustRightInd/>
              <w:spacing w:after="0"/>
              <w:ind w:left="720"/>
              <w:contextualSpacing/>
              <w:jc w:val="right"/>
              <w:rPr>
                <w:rFonts w:ascii="Arial" w:eastAsia="Times New Roman" w:hAnsi="Arial" w:cs="Arial"/>
                <w:color w:val="auto"/>
                <w:lang w:eastAsia="en-GB"/>
              </w:rPr>
            </w:pPr>
            <w:r w:rsidRPr="00E3253B">
              <w:rPr>
                <w:rFonts w:ascii="Arial" w:eastAsia="Times New Roman" w:hAnsi="Arial" w:cs="Arial"/>
                <w:color w:val="auto"/>
                <w:lang w:eastAsia="en-GB"/>
              </w:rPr>
              <w:t>4,268</w:t>
            </w:r>
          </w:p>
        </w:tc>
        <w:tc>
          <w:tcPr>
            <w:tcW w:w="2126" w:type="dxa"/>
            <w:tcBorders>
              <w:top w:val="nil"/>
              <w:left w:val="nil"/>
              <w:bottom w:val="single" w:sz="8" w:space="0" w:color="auto"/>
              <w:right w:val="single" w:sz="8" w:space="0" w:color="auto"/>
            </w:tcBorders>
          </w:tcPr>
          <w:p w:rsidR="00E3253B" w:rsidRPr="00E3253B" w:rsidRDefault="0062660D" w:rsidP="00E3253B">
            <w:pPr>
              <w:autoSpaceDE/>
              <w:autoSpaceDN/>
              <w:adjustRightInd/>
              <w:spacing w:after="0"/>
              <w:ind w:left="720"/>
              <w:contextualSpacing/>
              <w:jc w:val="right"/>
              <w:rPr>
                <w:rFonts w:ascii="Arial" w:eastAsia="Times New Roman" w:hAnsi="Arial" w:cs="Arial"/>
                <w:color w:val="auto"/>
                <w:lang w:eastAsia="en-GB"/>
              </w:rPr>
            </w:pPr>
            <w:r w:rsidRPr="00E3253B">
              <w:rPr>
                <w:rFonts w:ascii="Arial" w:eastAsia="Times New Roman" w:hAnsi="Arial" w:cs="Arial"/>
                <w:color w:val="auto"/>
                <w:lang w:eastAsia="en-GB"/>
              </w:rPr>
              <w:t>3</w:t>
            </w:r>
            <w:r>
              <w:rPr>
                <w:rFonts w:ascii="Arial" w:eastAsia="Times New Roman" w:hAnsi="Arial" w:cs="Arial"/>
                <w:color w:val="auto"/>
                <w:lang w:eastAsia="en-GB"/>
              </w:rPr>
              <w:t>,</w:t>
            </w:r>
            <w:r w:rsidRPr="00E3253B">
              <w:rPr>
                <w:rFonts w:ascii="Arial" w:eastAsia="Times New Roman" w:hAnsi="Arial" w:cs="Arial"/>
                <w:color w:val="auto"/>
                <w:lang w:eastAsia="en-GB"/>
              </w:rPr>
              <w:t>148</w:t>
            </w:r>
          </w:p>
        </w:tc>
        <w:tc>
          <w:tcPr>
            <w:tcW w:w="1843" w:type="dxa"/>
            <w:tcBorders>
              <w:top w:val="nil"/>
              <w:left w:val="nil"/>
              <w:bottom w:val="single" w:sz="8" w:space="0" w:color="auto"/>
              <w:right w:val="single" w:sz="8" w:space="0" w:color="auto"/>
            </w:tcBorders>
          </w:tcPr>
          <w:p w:rsidR="00E3253B" w:rsidRPr="00E3253B" w:rsidRDefault="0062660D" w:rsidP="00E3253B">
            <w:pPr>
              <w:autoSpaceDE/>
              <w:autoSpaceDN/>
              <w:adjustRightInd/>
              <w:spacing w:after="0"/>
              <w:ind w:left="720"/>
              <w:contextualSpacing/>
              <w:jc w:val="right"/>
              <w:rPr>
                <w:rFonts w:ascii="Arial" w:eastAsia="Times New Roman" w:hAnsi="Arial" w:cs="Arial"/>
                <w:color w:val="auto"/>
                <w:lang w:eastAsia="en-GB"/>
              </w:rPr>
            </w:pPr>
            <w:r w:rsidRPr="00E3253B">
              <w:rPr>
                <w:rFonts w:ascii="Arial" w:eastAsia="Times New Roman" w:hAnsi="Arial" w:cs="Arial"/>
                <w:color w:val="auto"/>
                <w:lang w:eastAsia="en-GB"/>
              </w:rPr>
              <w:t>11</w:t>
            </w:r>
            <w:r>
              <w:rPr>
                <w:rFonts w:ascii="Arial" w:eastAsia="Times New Roman" w:hAnsi="Arial" w:cs="Arial"/>
                <w:color w:val="auto"/>
                <w:lang w:eastAsia="en-GB"/>
              </w:rPr>
              <w:t>,</w:t>
            </w:r>
            <w:r w:rsidRPr="00E3253B">
              <w:rPr>
                <w:rFonts w:ascii="Arial" w:eastAsia="Times New Roman" w:hAnsi="Arial" w:cs="Arial"/>
                <w:color w:val="auto"/>
                <w:lang w:eastAsia="en-GB"/>
              </w:rPr>
              <w:t>806</w:t>
            </w:r>
          </w:p>
        </w:tc>
      </w:tr>
      <w:tr w:rsidR="006A2C17" w:rsidTr="0015659B">
        <w:trPr>
          <w:trHeight w:val="493"/>
        </w:trPr>
        <w:tc>
          <w:tcPr>
            <w:tcW w:w="2155" w:type="dxa"/>
          </w:tcPr>
          <w:p w:rsidR="00E3253B" w:rsidRPr="00E3253B" w:rsidRDefault="0062660D" w:rsidP="00E3253B">
            <w:pPr>
              <w:autoSpaceDE/>
              <w:autoSpaceDN/>
              <w:adjustRightInd/>
              <w:spacing w:after="0"/>
              <w:ind w:left="284"/>
              <w:contextualSpacing/>
              <w:jc w:val="left"/>
              <w:rPr>
                <w:rFonts w:ascii="Arial" w:eastAsia="Times New Roman" w:hAnsi="Arial" w:cs="Arial"/>
                <w:b/>
                <w:color w:val="auto"/>
                <w:lang w:eastAsia="en-GB"/>
              </w:rPr>
            </w:pPr>
            <w:r w:rsidRPr="00E3253B">
              <w:rPr>
                <w:rFonts w:ascii="Arial" w:eastAsia="Times New Roman" w:hAnsi="Arial" w:cs="Arial"/>
                <w:b/>
                <w:color w:val="auto"/>
                <w:lang w:eastAsia="en-GB"/>
              </w:rPr>
              <w:t>Total</w:t>
            </w:r>
          </w:p>
        </w:tc>
        <w:tc>
          <w:tcPr>
            <w:tcW w:w="2004" w:type="dxa"/>
          </w:tcPr>
          <w:p w:rsidR="00E3253B" w:rsidRPr="00E3253B" w:rsidRDefault="0062660D" w:rsidP="00E3253B">
            <w:pPr>
              <w:autoSpaceDE/>
              <w:autoSpaceDN/>
              <w:adjustRightInd/>
              <w:spacing w:after="0"/>
              <w:ind w:left="720"/>
              <w:contextualSpacing/>
              <w:jc w:val="right"/>
              <w:rPr>
                <w:rFonts w:ascii="Arial" w:eastAsia="Times New Roman" w:hAnsi="Arial" w:cs="Arial"/>
                <w:b/>
                <w:color w:val="auto"/>
                <w:lang w:eastAsia="en-GB"/>
              </w:rPr>
            </w:pPr>
            <w:r w:rsidRPr="00E3253B">
              <w:rPr>
                <w:rFonts w:ascii="Arial" w:eastAsia="Times New Roman" w:hAnsi="Arial" w:cs="Arial"/>
                <w:b/>
                <w:color w:val="auto"/>
                <w:lang w:eastAsia="en-GB"/>
              </w:rPr>
              <w:t>56,329</w:t>
            </w:r>
          </w:p>
        </w:tc>
        <w:tc>
          <w:tcPr>
            <w:tcW w:w="2220" w:type="dxa"/>
          </w:tcPr>
          <w:p w:rsidR="00E3253B" w:rsidRPr="00E3253B" w:rsidRDefault="0062660D" w:rsidP="00E3253B">
            <w:pPr>
              <w:autoSpaceDE/>
              <w:autoSpaceDN/>
              <w:adjustRightInd/>
              <w:spacing w:after="0"/>
              <w:ind w:left="720"/>
              <w:contextualSpacing/>
              <w:jc w:val="right"/>
              <w:rPr>
                <w:rFonts w:ascii="Arial" w:eastAsia="Times New Roman" w:hAnsi="Arial" w:cs="Arial"/>
                <w:b/>
                <w:color w:val="auto"/>
                <w:lang w:eastAsia="en-GB"/>
              </w:rPr>
            </w:pPr>
            <w:r w:rsidRPr="00E3253B">
              <w:rPr>
                <w:rFonts w:ascii="Arial" w:eastAsia="Times New Roman" w:hAnsi="Arial" w:cs="Arial"/>
                <w:b/>
                <w:color w:val="auto"/>
                <w:lang w:eastAsia="en-GB"/>
              </w:rPr>
              <w:t>61,630</w:t>
            </w:r>
          </w:p>
        </w:tc>
        <w:tc>
          <w:tcPr>
            <w:tcW w:w="2126" w:type="dxa"/>
          </w:tcPr>
          <w:p w:rsidR="00E3253B" w:rsidRPr="00E3253B" w:rsidRDefault="0062660D" w:rsidP="00E3253B">
            <w:pPr>
              <w:autoSpaceDE/>
              <w:autoSpaceDN/>
              <w:adjustRightInd/>
              <w:spacing w:after="0"/>
              <w:ind w:left="720"/>
              <w:contextualSpacing/>
              <w:jc w:val="right"/>
              <w:rPr>
                <w:rFonts w:ascii="Arial" w:eastAsia="Times New Roman" w:hAnsi="Arial" w:cs="Arial"/>
                <w:b/>
                <w:color w:val="auto"/>
                <w:lang w:eastAsia="en-GB"/>
              </w:rPr>
            </w:pPr>
            <w:r w:rsidRPr="00E3253B">
              <w:rPr>
                <w:rFonts w:ascii="Arial" w:eastAsia="Times New Roman" w:hAnsi="Arial" w:cs="Arial"/>
                <w:b/>
                <w:color w:val="auto"/>
                <w:lang w:eastAsia="en-GB"/>
              </w:rPr>
              <w:t>44,507</w:t>
            </w:r>
          </w:p>
        </w:tc>
        <w:tc>
          <w:tcPr>
            <w:tcW w:w="1843" w:type="dxa"/>
          </w:tcPr>
          <w:p w:rsidR="00E3253B" w:rsidRPr="00E3253B" w:rsidRDefault="0062660D" w:rsidP="00E3253B">
            <w:pPr>
              <w:autoSpaceDE/>
              <w:autoSpaceDN/>
              <w:adjustRightInd/>
              <w:spacing w:after="0"/>
              <w:ind w:left="720"/>
              <w:contextualSpacing/>
              <w:jc w:val="right"/>
              <w:rPr>
                <w:rFonts w:ascii="Arial" w:eastAsia="Times New Roman" w:hAnsi="Arial" w:cs="Arial"/>
                <w:b/>
                <w:color w:val="auto"/>
                <w:lang w:eastAsia="en-GB"/>
              </w:rPr>
            </w:pPr>
            <w:r w:rsidRPr="00E3253B">
              <w:rPr>
                <w:rFonts w:ascii="Arial" w:eastAsia="Times New Roman" w:hAnsi="Arial" w:cs="Arial"/>
                <w:b/>
                <w:color w:val="auto"/>
                <w:lang w:eastAsia="en-GB"/>
              </w:rPr>
              <w:t>162,466</w:t>
            </w:r>
          </w:p>
        </w:tc>
      </w:tr>
      <w:tr w:rsidR="006A2C17" w:rsidTr="0015659B">
        <w:trPr>
          <w:trHeight w:val="529"/>
        </w:trPr>
        <w:tc>
          <w:tcPr>
            <w:tcW w:w="2155" w:type="dxa"/>
          </w:tcPr>
          <w:p w:rsidR="00E3253B" w:rsidRPr="00E3253B" w:rsidRDefault="0062660D" w:rsidP="00E3253B">
            <w:pPr>
              <w:autoSpaceDE/>
              <w:autoSpaceDN/>
              <w:adjustRightInd/>
              <w:spacing w:after="0"/>
              <w:ind w:left="284"/>
              <w:contextualSpacing/>
              <w:jc w:val="left"/>
              <w:rPr>
                <w:rFonts w:ascii="Arial" w:eastAsia="Times New Roman" w:hAnsi="Arial" w:cs="Arial"/>
                <w:b/>
                <w:color w:val="auto"/>
                <w:lang w:eastAsia="en-GB"/>
              </w:rPr>
            </w:pPr>
            <w:r w:rsidRPr="00E3253B">
              <w:rPr>
                <w:rFonts w:ascii="Arial" w:eastAsia="Times New Roman" w:hAnsi="Arial" w:cs="Arial"/>
                <w:b/>
                <w:color w:val="auto"/>
                <w:lang w:eastAsia="en-GB"/>
              </w:rPr>
              <w:t>As at 31 March 2015</w:t>
            </w:r>
          </w:p>
        </w:tc>
        <w:tc>
          <w:tcPr>
            <w:tcW w:w="2004" w:type="dxa"/>
          </w:tcPr>
          <w:p w:rsidR="00E3253B" w:rsidRPr="00E3253B" w:rsidRDefault="0062660D" w:rsidP="00E3253B">
            <w:pPr>
              <w:autoSpaceDE/>
              <w:autoSpaceDN/>
              <w:adjustRightInd/>
              <w:spacing w:after="0"/>
              <w:ind w:left="720"/>
              <w:contextualSpacing/>
              <w:jc w:val="right"/>
              <w:rPr>
                <w:rFonts w:ascii="Arial" w:eastAsia="Times New Roman" w:hAnsi="Arial" w:cs="Arial"/>
                <w:b/>
                <w:color w:val="auto"/>
                <w:lang w:eastAsia="en-GB"/>
              </w:rPr>
            </w:pPr>
          </w:p>
        </w:tc>
        <w:tc>
          <w:tcPr>
            <w:tcW w:w="2220" w:type="dxa"/>
          </w:tcPr>
          <w:p w:rsidR="00E3253B" w:rsidRPr="00E3253B" w:rsidRDefault="0062660D" w:rsidP="00E3253B">
            <w:pPr>
              <w:autoSpaceDE/>
              <w:autoSpaceDN/>
              <w:adjustRightInd/>
              <w:spacing w:after="0"/>
              <w:ind w:left="720"/>
              <w:contextualSpacing/>
              <w:jc w:val="right"/>
              <w:rPr>
                <w:rFonts w:ascii="Arial" w:eastAsia="Times New Roman" w:hAnsi="Arial" w:cs="Arial"/>
                <w:b/>
                <w:color w:val="auto"/>
                <w:lang w:eastAsia="en-GB"/>
              </w:rPr>
            </w:pPr>
          </w:p>
        </w:tc>
        <w:tc>
          <w:tcPr>
            <w:tcW w:w="2126" w:type="dxa"/>
          </w:tcPr>
          <w:p w:rsidR="00E3253B" w:rsidRPr="00E3253B" w:rsidRDefault="0062660D" w:rsidP="00E3253B">
            <w:pPr>
              <w:autoSpaceDE/>
              <w:autoSpaceDN/>
              <w:adjustRightInd/>
              <w:spacing w:after="0"/>
              <w:ind w:left="720"/>
              <w:contextualSpacing/>
              <w:jc w:val="right"/>
              <w:rPr>
                <w:rFonts w:ascii="Arial" w:eastAsia="Times New Roman" w:hAnsi="Arial" w:cs="Arial"/>
                <w:b/>
                <w:color w:val="auto"/>
                <w:lang w:eastAsia="en-GB"/>
              </w:rPr>
            </w:pPr>
          </w:p>
        </w:tc>
        <w:tc>
          <w:tcPr>
            <w:tcW w:w="1843" w:type="dxa"/>
          </w:tcPr>
          <w:p w:rsidR="00E3253B" w:rsidRPr="00E3253B" w:rsidRDefault="0062660D" w:rsidP="00E3253B">
            <w:pPr>
              <w:autoSpaceDE/>
              <w:autoSpaceDN/>
              <w:adjustRightInd/>
              <w:spacing w:after="0"/>
              <w:ind w:left="720"/>
              <w:contextualSpacing/>
              <w:jc w:val="right"/>
              <w:rPr>
                <w:rFonts w:ascii="Arial" w:eastAsia="Times New Roman" w:hAnsi="Arial" w:cs="Arial"/>
                <w:b/>
                <w:color w:val="auto"/>
                <w:lang w:eastAsia="en-GB"/>
              </w:rPr>
            </w:pPr>
          </w:p>
        </w:tc>
      </w:tr>
      <w:tr w:rsidR="006A2C17" w:rsidTr="0015659B">
        <w:trPr>
          <w:trHeight w:val="487"/>
        </w:trPr>
        <w:tc>
          <w:tcPr>
            <w:tcW w:w="2155" w:type="dxa"/>
          </w:tcPr>
          <w:p w:rsidR="00E3253B" w:rsidRPr="00E3253B" w:rsidRDefault="0062660D" w:rsidP="00E3253B">
            <w:pPr>
              <w:autoSpaceDE/>
              <w:autoSpaceDN/>
              <w:adjustRightInd/>
              <w:spacing w:after="0"/>
              <w:ind w:left="284"/>
              <w:contextualSpacing/>
              <w:jc w:val="left"/>
              <w:rPr>
                <w:rFonts w:ascii="Arial" w:eastAsia="Times New Roman" w:hAnsi="Arial" w:cs="Arial"/>
                <w:color w:val="auto"/>
                <w:lang w:eastAsia="en-GB"/>
              </w:rPr>
            </w:pPr>
            <w:r w:rsidRPr="00E3253B">
              <w:rPr>
                <w:rFonts w:ascii="Arial" w:eastAsia="Times New Roman" w:hAnsi="Arial" w:cs="Arial"/>
                <w:color w:val="auto"/>
                <w:lang w:eastAsia="en-GB"/>
              </w:rPr>
              <w:t>Scheduled bodies</w:t>
            </w:r>
          </w:p>
        </w:tc>
        <w:tc>
          <w:tcPr>
            <w:tcW w:w="2004" w:type="dxa"/>
          </w:tcPr>
          <w:p w:rsidR="00E3253B" w:rsidRPr="00E3253B" w:rsidRDefault="0062660D" w:rsidP="00E3253B">
            <w:pPr>
              <w:autoSpaceDE/>
              <w:autoSpaceDN/>
              <w:adjustRightInd/>
              <w:spacing w:after="0"/>
              <w:ind w:left="720"/>
              <w:contextualSpacing/>
              <w:jc w:val="right"/>
              <w:rPr>
                <w:rFonts w:ascii="Arial" w:eastAsia="Times New Roman" w:hAnsi="Arial" w:cs="Arial"/>
                <w:color w:val="auto"/>
                <w:lang w:eastAsia="en-GB"/>
              </w:rPr>
            </w:pPr>
            <w:r w:rsidRPr="00E3253B">
              <w:rPr>
                <w:rFonts w:ascii="Arial" w:eastAsia="Times New Roman" w:hAnsi="Arial" w:cs="Arial"/>
                <w:color w:val="auto"/>
                <w:lang w:eastAsia="en-GB"/>
              </w:rPr>
              <w:t>49,357</w:t>
            </w:r>
          </w:p>
        </w:tc>
        <w:tc>
          <w:tcPr>
            <w:tcW w:w="2220" w:type="dxa"/>
          </w:tcPr>
          <w:p w:rsidR="00E3253B" w:rsidRPr="00E3253B" w:rsidRDefault="0062660D" w:rsidP="00E3253B">
            <w:pPr>
              <w:autoSpaceDE/>
              <w:autoSpaceDN/>
              <w:adjustRightInd/>
              <w:spacing w:after="0"/>
              <w:ind w:left="720"/>
              <w:contextualSpacing/>
              <w:jc w:val="right"/>
              <w:rPr>
                <w:rFonts w:ascii="Arial" w:eastAsia="Times New Roman" w:hAnsi="Arial" w:cs="Arial"/>
                <w:color w:val="auto"/>
                <w:lang w:eastAsia="en-GB"/>
              </w:rPr>
            </w:pPr>
            <w:r w:rsidRPr="00E3253B">
              <w:rPr>
                <w:rFonts w:ascii="Arial" w:eastAsia="Times New Roman" w:hAnsi="Arial" w:cs="Arial"/>
                <w:color w:val="auto"/>
                <w:lang w:eastAsia="en-GB"/>
              </w:rPr>
              <w:t>51,496</w:t>
            </w:r>
          </w:p>
        </w:tc>
        <w:tc>
          <w:tcPr>
            <w:tcW w:w="2126" w:type="dxa"/>
          </w:tcPr>
          <w:p w:rsidR="00E3253B" w:rsidRPr="00E3253B" w:rsidRDefault="0062660D" w:rsidP="00E3253B">
            <w:pPr>
              <w:autoSpaceDE/>
              <w:autoSpaceDN/>
              <w:adjustRightInd/>
              <w:spacing w:after="0"/>
              <w:ind w:left="720"/>
              <w:contextualSpacing/>
              <w:jc w:val="right"/>
              <w:rPr>
                <w:rFonts w:ascii="Arial" w:eastAsia="Times New Roman" w:hAnsi="Arial" w:cs="Arial"/>
                <w:color w:val="auto"/>
                <w:lang w:eastAsia="en-GB"/>
              </w:rPr>
            </w:pPr>
            <w:r w:rsidRPr="00E3253B">
              <w:rPr>
                <w:rFonts w:ascii="Arial" w:eastAsia="Times New Roman" w:hAnsi="Arial" w:cs="Arial"/>
                <w:color w:val="auto"/>
                <w:lang w:eastAsia="en-GB"/>
              </w:rPr>
              <w:t>40,340</w:t>
            </w:r>
          </w:p>
        </w:tc>
        <w:tc>
          <w:tcPr>
            <w:tcW w:w="1843" w:type="dxa"/>
          </w:tcPr>
          <w:p w:rsidR="00E3253B" w:rsidRPr="00E3253B" w:rsidRDefault="0062660D" w:rsidP="00E3253B">
            <w:pPr>
              <w:autoSpaceDE/>
              <w:autoSpaceDN/>
              <w:adjustRightInd/>
              <w:spacing w:after="0"/>
              <w:ind w:left="720"/>
              <w:contextualSpacing/>
              <w:jc w:val="right"/>
              <w:rPr>
                <w:rFonts w:ascii="Arial" w:eastAsia="Times New Roman" w:hAnsi="Arial" w:cs="Arial"/>
                <w:color w:val="auto"/>
                <w:lang w:eastAsia="en-GB"/>
              </w:rPr>
            </w:pPr>
            <w:r w:rsidRPr="00E3253B">
              <w:rPr>
                <w:rFonts w:ascii="Arial" w:eastAsia="Times New Roman" w:hAnsi="Arial" w:cs="Arial"/>
                <w:color w:val="auto"/>
                <w:lang w:eastAsia="en-GB"/>
              </w:rPr>
              <w:t>141,193</w:t>
            </w:r>
          </w:p>
        </w:tc>
      </w:tr>
      <w:tr w:rsidR="006A2C17" w:rsidTr="0015659B">
        <w:trPr>
          <w:trHeight w:val="493"/>
        </w:trPr>
        <w:tc>
          <w:tcPr>
            <w:tcW w:w="2155" w:type="dxa"/>
          </w:tcPr>
          <w:p w:rsidR="00E3253B" w:rsidRPr="00E3253B" w:rsidRDefault="0062660D" w:rsidP="00E3253B">
            <w:pPr>
              <w:autoSpaceDE/>
              <w:autoSpaceDN/>
              <w:adjustRightInd/>
              <w:spacing w:after="0"/>
              <w:ind w:left="284"/>
              <w:contextualSpacing/>
              <w:jc w:val="left"/>
              <w:rPr>
                <w:rFonts w:ascii="Arial" w:eastAsia="Times New Roman" w:hAnsi="Arial" w:cs="Arial"/>
                <w:color w:val="auto"/>
                <w:lang w:eastAsia="en-GB"/>
              </w:rPr>
            </w:pPr>
            <w:r w:rsidRPr="00E3253B">
              <w:rPr>
                <w:rFonts w:ascii="Arial" w:eastAsia="Times New Roman" w:hAnsi="Arial" w:cs="Arial"/>
                <w:color w:val="auto"/>
                <w:lang w:eastAsia="en-GB"/>
              </w:rPr>
              <w:t>Admitted bodies</w:t>
            </w:r>
          </w:p>
        </w:tc>
        <w:tc>
          <w:tcPr>
            <w:tcW w:w="2004" w:type="dxa"/>
          </w:tcPr>
          <w:p w:rsidR="00E3253B" w:rsidRPr="00E3253B" w:rsidRDefault="0062660D" w:rsidP="00E3253B">
            <w:pPr>
              <w:autoSpaceDE/>
              <w:autoSpaceDN/>
              <w:adjustRightInd/>
              <w:spacing w:after="0"/>
              <w:ind w:left="720"/>
              <w:contextualSpacing/>
              <w:jc w:val="right"/>
              <w:rPr>
                <w:rFonts w:ascii="Arial" w:eastAsia="Times New Roman" w:hAnsi="Arial" w:cs="Arial"/>
                <w:color w:val="auto"/>
                <w:lang w:eastAsia="en-GB"/>
              </w:rPr>
            </w:pPr>
            <w:r w:rsidRPr="00E3253B">
              <w:rPr>
                <w:rFonts w:ascii="Arial" w:eastAsia="Times New Roman" w:hAnsi="Arial" w:cs="Arial"/>
                <w:color w:val="auto"/>
                <w:lang w:eastAsia="en-GB"/>
              </w:rPr>
              <w:t>4,822</w:t>
            </w:r>
          </w:p>
        </w:tc>
        <w:tc>
          <w:tcPr>
            <w:tcW w:w="2220" w:type="dxa"/>
          </w:tcPr>
          <w:p w:rsidR="00E3253B" w:rsidRPr="00E3253B" w:rsidRDefault="0062660D" w:rsidP="00E3253B">
            <w:pPr>
              <w:autoSpaceDE/>
              <w:autoSpaceDN/>
              <w:adjustRightInd/>
              <w:spacing w:after="0"/>
              <w:ind w:left="720"/>
              <w:contextualSpacing/>
              <w:jc w:val="right"/>
              <w:rPr>
                <w:rFonts w:ascii="Arial" w:eastAsia="Times New Roman" w:hAnsi="Arial" w:cs="Arial"/>
                <w:color w:val="auto"/>
                <w:lang w:eastAsia="en-GB"/>
              </w:rPr>
            </w:pPr>
            <w:r w:rsidRPr="00E3253B">
              <w:rPr>
                <w:rFonts w:ascii="Arial" w:eastAsia="Times New Roman" w:hAnsi="Arial" w:cs="Arial"/>
                <w:color w:val="auto"/>
                <w:lang w:eastAsia="en-GB"/>
              </w:rPr>
              <w:t>4,317</w:t>
            </w:r>
          </w:p>
        </w:tc>
        <w:tc>
          <w:tcPr>
            <w:tcW w:w="2126" w:type="dxa"/>
          </w:tcPr>
          <w:p w:rsidR="00E3253B" w:rsidRPr="00E3253B" w:rsidRDefault="0062660D" w:rsidP="00E3253B">
            <w:pPr>
              <w:autoSpaceDE/>
              <w:autoSpaceDN/>
              <w:adjustRightInd/>
              <w:spacing w:after="0"/>
              <w:ind w:left="720"/>
              <w:contextualSpacing/>
              <w:jc w:val="right"/>
              <w:rPr>
                <w:rFonts w:ascii="Arial" w:eastAsia="Times New Roman" w:hAnsi="Arial" w:cs="Arial"/>
                <w:color w:val="auto"/>
                <w:lang w:eastAsia="en-GB"/>
              </w:rPr>
            </w:pPr>
            <w:r w:rsidRPr="00E3253B">
              <w:rPr>
                <w:rFonts w:ascii="Arial" w:eastAsia="Times New Roman" w:hAnsi="Arial" w:cs="Arial"/>
                <w:color w:val="auto"/>
                <w:lang w:eastAsia="en-GB"/>
              </w:rPr>
              <w:t>2,871</w:t>
            </w:r>
          </w:p>
        </w:tc>
        <w:tc>
          <w:tcPr>
            <w:tcW w:w="1843" w:type="dxa"/>
          </w:tcPr>
          <w:p w:rsidR="00E3253B" w:rsidRPr="00E3253B" w:rsidRDefault="0062660D" w:rsidP="00E3253B">
            <w:pPr>
              <w:autoSpaceDE/>
              <w:autoSpaceDN/>
              <w:adjustRightInd/>
              <w:spacing w:after="0"/>
              <w:ind w:left="720"/>
              <w:contextualSpacing/>
              <w:jc w:val="right"/>
              <w:rPr>
                <w:rFonts w:ascii="Arial" w:eastAsia="Times New Roman" w:hAnsi="Arial" w:cs="Arial"/>
                <w:color w:val="auto"/>
                <w:lang w:eastAsia="en-GB"/>
              </w:rPr>
            </w:pPr>
            <w:r w:rsidRPr="00E3253B">
              <w:rPr>
                <w:rFonts w:ascii="Arial" w:eastAsia="Times New Roman" w:hAnsi="Arial" w:cs="Arial"/>
                <w:color w:val="auto"/>
                <w:lang w:eastAsia="en-GB"/>
              </w:rPr>
              <w:t>12,010</w:t>
            </w:r>
          </w:p>
        </w:tc>
      </w:tr>
      <w:tr w:rsidR="006A2C17" w:rsidTr="0015659B">
        <w:trPr>
          <w:trHeight w:val="493"/>
        </w:trPr>
        <w:tc>
          <w:tcPr>
            <w:tcW w:w="2155" w:type="dxa"/>
          </w:tcPr>
          <w:p w:rsidR="00E3253B" w:rsidRPr="00E3253B" w:rsidRDefault="0062660D" w:rsidP="00E3253B">
            <w:pPr>
              <w:autoSpaceDE/>
              <w:autoSpaceDN/>
              <w:adjustRightInd/>
              <w:spacing w:after="0"/>
              <w:ind w:left="284"/>
              <w:contextualSpacing/>
              <w:jc w:val="left"/>
              <w:rPr>
                <w:rFonts w:ascii="Arial" w:eastAsia="Times New Roman" w:hAnsi="Arial" w:cs="Arial"/>
                <w:b/>
                <w:color w:val="auto"/>
                <w:lang w:eastAsia="en-GB"/>
              </w:rPr>
            </w:pPr>
            <w:r w:rsidRPr="00E3253B">
              <w:rPr>
                <w:rFonts w:ascii="Arial" w:eastAsia="Times New Roman" w:hAnsi="Arial" w:cs="Arial"/>
                <w:b/>
                <w:color w:val="auto"/>
                <w:lang w:eastAsia="en-GB"/>
              </w:rPr>
              <w:t>Total</w:t>
            </w:r>
          </w:p>
        </w:tc>
        <w:tc>
          <w:tcPr>
            <w:tcW w:w="2004" w:type="dxa"/>
          </w:tcPr>
          <w:p w:rsidR="00E3253B" w:rsidRPr="00E3253B" w:rsidRDefault="0062660D" w:rsidP="00E3253B">
            <w:pPr>
              <w:autoSpaceDE/>
              <w:autoSpaceDN/>
              <w:adjustRightInd/>
              <w:spacing w:after="0"/>
              <w:ind w:left="720"/>
              <w:contextualSpacing/>
              <w:jc w:val="right"/>
              <w:rPr>
                <w:rFonts w:ascii="Arial" w:eastAsia="Times New Roman" w:hAnsi="Arial" w:cs="Arial"/>
                <w:b/>
                <w:color w:val="auto"/>
                <w:lang w:eastAsia="en-GB"/>
              </w:rPr>
            </w:pPr>
            <w:r w:rsidRPr="00E3253B">
              <w:rPr>
                <w:rFonts w:ascii="Arial" w:eastAsia="Times New Roman" w:hAnsi="Arial" w:cs="Arial"/>
                <w:b/>
                <w:color w:val="auto"/>
                <w:lang w:eastAsia="en-GB"/>
              </w:rPr>
              <w:t>54,179</w:t>
            </w:r>
          </w:p>
        </w:tc>
        <w:tc>
          <w:tcPr>
            <w:tcW w:w="2220" w:type="dxa"/>
          </w:tcPr>
          <w:p w:rsidR="00E3253B" w:rsidRPr="00E3253B" w:rsidRDefault="0062660D" w:rsidP="00E3253B">
            <w:pPr>
              <w:autoSpaceDE/>
              <w:autoSpaceDN/>
              <w:adjustRightInd/>
              <w:spacing w:after="0"/>
              <w:ind w:left="720"/>
              <w:contextualSpacing/>
              <w:jc w:val="right"/>
              <w:rPr>
                <w:rFonts w:ascii="Arial" w:eastAsia="Times New Roman" w:hAnsi="Arial" w:cs="Arial"/>
                <w:b/>
                <w:color w:val="auto"/>
                <w:lang w:eastAsia="en-GB"/>
              </w:rPr>
            </w:pPr>
            <w:r w:rsidRPr="00E3253B">
              <w:rPr>
                <w:rFonts w:ascii="Arial" w:eastAsia="Times New Roman" w:hAnsi="Arial" w:cs="Arial"/>
                <w:b/>
                <w:color w:val="auto"/>
                <w:lang w:eastAsia="en-GB"/>
              </w:rPr>
              <w:t>55,813</w:t>
            </w:r>
          </w:p>
        </w:tc>
        <w:tc>
          <w:tcPr>
            <w:tcW w:w="2126" w:type="dxa"/>
          </w:tcPr>
          <w:p w:rsidR="00E3253B" w:rsidRPr="00E3253B" w:rsidRDefault="0062660D" w:rsidP="00E3253B">
            <w:pPr>
              <w:autoSpaceDE/>
              <w:autoSpaceDN/>
              <w:adjustRightInd/>
              <w:spacing w:after="0"/>
              <w:ind w:left="720"/>
              <w:contextualSpacing/>
              <w:jc w:val="right"/>
              <w:rPr>
                <w:rFonts w:ascii="Arial" w:eastAsia="Times New Roman" w:hAnsi="Arial" w:cs="Arial"/>
                <w:b/>
                <w:color w:val="auto"/>
                <w:lang w:eastAsia="en-GB"/>
              </w:rPr>
            </w:pPr>
            <w:r w:rsidRPr="00E3253B">
              <w:rPr>
                <w:rFonts w:ascii="Arial" w:eastAsia="Times New Roman" w:hAnsi="Arial" w:cs="Arial"/>
                <w:b/>
                <w:color w:val="auto"/>
                <w:lang w:eastAsia="en-GB"/>
              </w:rPr>
              <w:t>43,211</w:t>
            </w:r>
          </w:p>
        </w:tc>
        <w:tc>
          <w:tcPr>
            <w:tcW w:w="1843" w:type="dxa"/>
          </w:tcPr>
          <w:p w:rsidR="00E3253B" w:rsidRPr="00E3253B" w:rsidRDefault="0062660D" w:rsidP="00E3253B">
            <w:pPr>
              <w:autoSpaceDE/>
              <w:autoSpaceDN/>
              <w:adjustRightInd/>
              <w:spacing w:after="0"/>
              <w:ind w:left="720"/>
              <w:contextualSpacing/>
              <w:jc w:val="right"/>
              <w:rPr>
                <w:rFonts w:ascii="Arial" w:eastAsia="Times New Roman" w:hAnsi="Arial" w:cs="Arial"/>
                <w:b/>
                <w:color w:val="auto"/>
                <w:lang w:eastAsia="en-GB"/>
              </w:rPr>
            </w:pPr>
            <w:r w:rsidRPr="00E3253B">
              <w:rPr>
                <w:rFonts w:ascii="Arial" w:eastAsia="Times New Roman" w:hAnsi="Arial" w:cs="Arial"/>
                <w:b/>
                <w:color w:val="auto"/>
                <w:lang w:eastAsia="en-GB"/>
              </w:rPr>
              <w:t>153,203</w:t>
            </w:r>
          </w:p>
        </w:tc>
      </w:tr>
    </w:tbl>
    <w:p w:rsidR="00AB648B" w:rsidRDefault="0062660D" w:rsidP="00AB648B">
      <w:pPr>
        <w:autoSpaceDE/>
        <w:autoSpaceDN/>
        <w:adjustRightInd/>
        <w:spacing w:after="0"/>
        <w:jc w:val="left"/>
        <w:rPr>
          <w:rFonts w:eastAsia="Times New Roman" w:cs="Times New Roman"/>
          <w:color w:val="auto"/>
          <w:szCs w:val="20"/>
          <w:lang w:eastAsia="en-GB"/>
        </w:rPr>
      </w:pPr>
    </w:p>
    <w:p w:rsidR="00E3253B" w:rsidRPr="00AB648B" w:rsidRDefault="0062660D" w:rsidP="00AB648B">
      <w:pPr>
        <w:autoSpaceDE/>
        <w:autoSpaceDN/>
        <w:adjustRightInd/>
        <w:spacing w:after="0"/>
        <w:jc w:val="left"/>
        <w:rPr>
          <w:rFonts w:eastAsia="Times New Roman" w:cs="Times New Roman"/>
          <w:color w:val="auto"/>
          <w:szCs w:val="20"/>
          <w:lang w:eastAsia="en-GB"/>
        </w:rPr>
      </w:pPr>
    </w:p>
    <w:p w:rsidR="00127B56" w:rsidRDefault="0062660D" w:rsidP="00AB648B">
      <w:pPr>
        <w:autoSpaceDE/>
        <w:autoSpaceDN/>
        <w:adjustRightInd/>
        <w:spacing w:after="0"/>
        <w:jc w:val="left"/>
        <w:rPr>
          <w:rFonts w:eastAsia="Times New Roman" w:cs="Times New Roman"/>
          <w:color w:val="auto"/>
          <w:szCs w:val="20"/>
          <w:lang w:eastAsia="en-GB"/>
        </w:rPr>
      </w:pPr>
      <w:r>
        <w:rPr>
          <w:noProof/>
          <w:lang w:eastAsia="en-GB"/>
        </w:rPr>
        <w:drawing>
          <wp:inline distT="0" distB="0" distL="0" distR="0" wp14:anchorId="71BE162B" wp14:editId="246563E9">
            <wp:extent cx="6581553" cy="2181225"/>
            <wp:effectExtent l="0" t="0" r="1016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27B56" w:rsidRDefault="0062660D" w:rsidP="00AB648B">
      <w:pPr>
        <w:autoSpaceDE/>
        <w:autoSpaceDN/>
        <w:adjustRightInd/>
        <w:spacing w:after="0"/>
        <w:jc w:val="left"/>
        <w:rPr>
          <w:rFonts w:eastAsia="Times New Roman" w:cs="Times New Roman"/>
          <w:color w:val="auto"/>
          <w:szCs w:val="20"/>
          <w:lang w:eastAsia="en-GB"/>
        </w:rPr>
      </w:pPr>
    </w:p>
    <w:p w:rsidR="00127B56" w:rsidRDefault="0062660D" w:rsidP="00AB648B">
      <w:pPr>
        <w:autoSpaceDE/>
        <w:autoSpaceDN/>
        <w:adjustRightInd/>
        <w:spacing w:after="0"/>
        <w:jc w:val="left"/>
        <w:rPr>
          <w:rFonts w:eastAsia="Times New Roman" w:cs="Times New Roman"/>
          <w:color w:val="auto"/>
          <w:szCs w:val="20"/>
          <w:lang w:eastAsia="en-GB"/>
        </w:rPr>
      </w:pPr>
    </w:p>
    <w:p w:rsidR="00127B56" w:rsidRDefault="0062660D" w:rsidP="00AB648B">
      <w:pPr>
        <w:autoSpaceDE/>
        <w:autoSpaceDN/>
        <w:adjustRightInd/>
        <w:spacing w:after="0"/>
        <w:jc w:val="left"/>
        <w:rPr>
          <w:rFonts w:eastAsia="Times New Roman" w:cs="Times New Roman"/>
          <w:color w:val="auto"/>
          <w:szCs w:val="20"/>
          <w:lang w:eastAsia="en-GB"/>
        </w:rPr>
      </w:pPr>
    </w:p>
    <w:p w:rsidR="00127B56" w:rsidRDefault="0062660D" w:rsidP="00AB648B">
      <w:pPr>
        <w:autoSpaceDE/>
        <w:autoSpaceDN/>
        <w:adjustRightInd/>
        <w:spacing w:after="0"/>
        <w:jc w:val="left"/>
        <w:rPr>
          <w:rFonts w:eastAsia="Times New Roman" w:cs="Times New Roman"/>
          <w:color w:val="auto"/>
          <w:szCs w:val="20"/>
          <w:lang w:eastAsia="en-GB"/>
        </w:rPr>
      </w:pPr>
      <w:r>
        <w:rPr>
          <w:noProof/>
          <w:lang w:eastAsia="en-GB"/>
        </w:rPr>
        <w:drawing>
          <wp:inline distT="0" distB="0" distL="0" distR="0" wp14:anchorId="60B6B7E3" wp14:editId="5CB95BED">
            <wp:extent cx="6528391" cy="3190875"/>
            <wp:effectExtent l="0" t="0" r="63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27B56" w:rsidRDefault="0062660D" w:rsidP="00AB648B">
      <w:pPr>
        <w:autoSpaceDE/>
        <w:autoSpaceDN/>
        <w:adjustRightInd/>
        <w:spacing w:after="0"/>
        <w:jc w:val="left"/>
        <w:rPr>
          <w:rFonts w:eastAsia="Times New Roman" w:cs="Times New Roman"/>
          <w:color w:val="auto"/>
          <w:szCs w:val="20"/>
          <w:lang w:eastAsia="en-GB"/>
        </w:rPr>
      </w:pPr>
    </w:p>
    <w:p w:rsidR="00127B56" w:rsidRDefault="0062660D" w:rsidP="00127B56">
      <w:pPr>
        <w:autoSpaceDE/>
        <w:autoSpaceDN/>
        <w:adjustRightInd/>
        <w:spacing w:after="0"/>
        <w:ind w:left="567"/>
        <w:jc w:val="left"/>
        <w:rPr>
          <w:rFonts w:eastAsia="Times New Roman" w:cs="Times New Roman"/>
          <w:color w:val="auto"/>
          <w:szCs w:val="20"/>
          <w:lang w:eastAsia="en-GB"/>
        </w:rPr>
      </w:pPr>
    </w:p>
    <w:p w:rsidR="00127B56" w:rsidRDefault="0062660D" w:rsidP="00AB648B">
      <w:pPr>
        <w:autoSpaceDE/>
        <w:autoSpaceDN/>
        <w:adjustRightInd/>
        <w:spacing w:after="0"/>
        <w:jc w:val="left"/>
        <w:rPr>
          <w:rFonts w:eastAsia="Times New Roman" w:cs="Times New Roman"/>
          <w:color w:val="auto"/>
          <w:szCs w:val="20"/>
          <w:lang w:eastAsia="en-GB"/>
        </w:rPr>
      </w:pPr>
      <w:r>
        <w:rPr>
          <w:rFonts w:eastAsia="Times New Roman" w:cs="Times New Roman"/>
          <w:noProof/>
          <w:color w:val="auto"/>
          <w:szCs w:val="20"/>
          <w:lang w:eastAsia="en-GB"/>
        </w:rPr>
        <w:drawing>
          <wp:inline distT="0" distB="0" distL="0" distR="0" wp14:anchorId="4E08727B" wp14:editId="351CBB4A">
            <wp:extent cx="6560185" cy="3156319"/>
            <wp:effectExtent l="0" t="1905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27B56" w:rsidRDefault="0062660D" w:rsidP="00AB648B">
      <w:pPr>
        <w:autoSpaceDE/>
        <w:autoSpaceDN/>
        <w:adjustRightInd/>
        <w:spacing w:after="0"/>
        <w:jc w:val="left"/>
        <w:rPr>
          <w:rFonts w:eastAsia="Times New Roman" w:cs="Times New Roman"/>
          <w:color w:val="auto"/>
          <w:szCs w:val="20"/>
          <w:lang w:eastAsia="en-GB"/>
        </w:rPr>
      </w:pPr>
    </w:p>
    <w:p w:rsidR="00127B56" w:rsidRDefault="0062660D" w:rsidP="00AB648B">
      <w:pPr>
        <w:autoSpaceDE/>
        <w:autoSpaceDN/>
        <w:adjustRightInd/>
        <w:spacing w:after="0"/>
        <w:jc w:val="left"/>
        <w:rPr>
          <w:rFonts w:eastAsia="Times New Roman" w:cs="Times New Roman"/>
          <w:color w:val="auto"/>
          <w:szCs w:val="20"/>
          <w:lang w:eastAsia="en-GB"/>
        </w:rPr>
      </w:pPr>
    </w:p>
    <w:p w:rsidR="00A820F5" w:rsidRDefault="0062660D" w:rsidP="00AB648B">
      <w:pPr>
        <w:autoSpaceDE/>
        <w:autoSpaceDN/>
        <w:adjustRightInd/>
        <w:spacing w:after="0"/>
        <w:jc w:val="left"/>
        <w:rPr>
          <w:rFonts w:eastAsia="Times New Roman" w:cs="Times New Roman"/>
          <w:color w:val="auto"/>
          <w:szCs w:val="20"/>
          <w:lang w:eastAsia="en-GB"/>
        </w:rPr>
      </w:pPr>
    </w:p>
    <w:p w:rsidR="00A820F5" w:rsidRDefault="0062660D" w:rsidP="00AB648B">
      <w:pPr>
        <w:autoSpaceDE/>
        <w:autoSpaceDN/>
        <w:adjustRightInd/>
        <w:spacing w:after="0"/>
        <w:jc w:val="left"/>
        <w:rPr>
          <w:rFonts w:eastAsia="Times New Roman" w:cs="Times New Roman"/>
          <w:b/>
          <w:color w:val="auto"/>
          <w:sz w:val="28"/>
          <w:szCs w:val="28"/>
          <w:lang w:eastAsia="en-GB"/>
        </w:rPr>
      </w:pPr>
      <w:r w:rsidRPr="00AB648B">
        <w:rPr>
          <w:rFonts w:eastAsia="Times New Roman" w:cs="Times New Roman"/>
          <w:b/>
          <w:color w:val="auto"/>
          <w:sz w:val="28"/>
          <w:szCs w:val="28"/>
          <w:lang w:eastAsia="en-GB"/>
        </w:rPr>
        <w:t>Performance</w:t>
      </w:r>
    </w:p>
    <w:p w:rsidR="00E3253B" w:rsidRPr="00E3253B" w:rsidRDefault="0062660D" w:rsidP="00E3253B">
      <w:pPr>
        <w:autoSpaceDE/>
        <w:autoSpaceDN/>
        <w:adjustRightInd/>
        <w:spacing w:after="0"/>
        <w:jc w:val="left"/>
        <w:rPr>
          <w:rFonts w:eastAsia="Times New Roman" w:cs="Times New Roman"/>
          <w:color w:val="auto"/>
          <w:szCs w:val="20"/>
          <w:lang w:eastAsia="en-GB"/>
        </w:rPr>
      </w:pPr>
      <w:r w:rsidRPr="00E3253B">
        <w:rPr>
          <w:rFonts w:eastAsia="Times New Roman" w:cs="Times New Roman"/>
          <w:color w:val="auto"/>
          <w:szCs w:val="20"/>
          <w:lang w:eastAsia="en-GB"/>
        </w:rPr>
        <w:t>Lancashire County Council's Pension Fund Committee receives regular reports on the administration of the Fund ensuring that best practice standards are satisfied and met and to satisfy itself and justify to all stakeholders, including employers that the Fu</w:t>
      </w:r>
      <w:r w:rsidRPr="00E3253B">
        <w:rPr>
          <w:rFonts w:eastAsia="Times New Roman" w:cs="Times New Roman"/>
          <w:color w:val="auto"/>
          <w:szCs w:val="20"/>
          <w:lang w:eastAsia="en-GB"/>
        </w:rPr>
        <w:t xml:space="preserve">nd is being run on an efficient and effective basis.  A Service Level Agreement (SLA) exists between the Pension Fund and the service provider.  The SLA contains specific service level standards and corresponding service level targets and an </w:t>
      </w:r>
      <w:hyperlink r:id="rId19" w:history="1">
        <w:r w:rsidRPr="00E3253B">
          <w:rPr>
            <w:rFonts w:eastAsia="Times New Roman" w:cs="Times New Roman"/>
            <w:color w:val="0000FF"/>
            <w:szCs w:val="20"/>
            <w:u w:val="single"/>
            <w:lang w:eastAsia="en-GB"/>
          </w:rPr>
          <w:t>Annual Administration Report</w:t>
        </w:r>
      </w:hyperlink>
      <w:r w:rsidRPr="00E3253B">
        <w:rPr>
          <w:rFonts w:eastAsia="Times New Roman" w:cs="Times New Roman"/>
          <w:color w:val="auto"/>
          <w:szCs w:val="20"/>
          <w:lang w:eastAsia="en-GB"/>
        </w:rPr>
        <w:t xml:space="preserve"> is presented to the Pension Fund Committee.</w:t>
      </w:r>
    </w:p>
    <w:p w:rsidR="00E3253B" w:rsidRPr="00E3253B" w:rsidRDefault="0062660D" w:rsidP="00E3253B">
      <w:pPr>
        <w:autoSpaceDE/>
        <w:autoSpaceDN/>
        <w:adjustRightInd/>
        <w:spacing w:after="0"/>
        <w:jc w:val="left"/>
        <w:rPr>
          <w:rFonts w:eastAsia="Times New Roman" w:cs="Times New Roman"/>
          <w:color w:val="auto"/>
          <w:szCs w:val="20"/>
          <w:lang w:eastAsia="en-GB"/>
        </w:rPr>
      </w:pPr>
    </w:p>
    <w:p w:rsidR="00E3253B" w:rsidRPr="00E3253B" w:rsidRDefault="0062660D" w:rsidP="00E3253B">
      <w:pPr>
        <w:autoSpaceDE/>
        <w:autoSpaceDN/>
        <w:adjustRightInd/>
        <w:spacing w:after="0"/>
        <w:jc w:val="left"/>
        <w:rPr>
          <w:rFonts w:eastAsia="Times New Roman" w:cs="Times New Roman"/>
          <w:color w:val="auto"/>
          <w:szCs w:val="20"/>
          <w:lang w:eastAsia="en-GB"/>
        </w:rPr>
      </w:pPr>
      <w:r w:rsidRPr="00E3253B">
        <w:rPr>
          <w:rFonts w:eastAsia="Times New Roman" w:cs="Times New Roman"/>
          <w:color w:val="auto"/>
          <w:szCs w:val="20"/>
          <w:lang w:eastAsia="en-GB"/>
        </w:rPr>
        <w:t>YPS continues to exceed SLA targets and consistently exceeds its key performance indica</w:t>
      </w:r>
      <w:r w:rsidRPr="00E3253B">
        <w:rPr>
          <w:rFonts w:eastAsia="Times New Roman" w:cs="Times New Roman"/>
          <w:color w:val="auto"/>
          <w:szCs w:val="20"/>
          <w:lang w:eastAsia="en-GB"/>
        </w:rPr>
        <w:t>tor;</w:t>
      </w:r>
    </w:p>
    <w:p w:rsidR="00E3253B" w:rsidRPr="00E3253B" w:rsidRDefault="0062660D" w:rsidP="00E3253B">
      <w:pPr>
        <w:autoSpaceDE/>
        <w:autoSpaceDN/>
        <w:adjustRightInd/>
        <w:spacing w:after="0"/>
        <w:jc w:val="left"/>
        <w:rPr>
          <w:rFonts w:eastAsia="Times New Roman" w:cs="Times New Roman"/>
          <w:color w:val="auto"/>
          <w:szCs w:val="20"/>
          <w:lang w:eastAsia="en-GB"/>
        </w:rPr>
      </w:pPr>
    </w:p>
    <w:p w:rsidR="00E3253B" w:rsidRPr="00E3253B" w:rsidRDefault="0062660D" w:rsidP="00E3253B">
      <w:pPr>
        <w:autoSpaceDE/>
        <w:autoSpaceDN/>
        <w:adjustRightInd/>
        <w:spacing w:after="0"/>
        <w:jc w:val="center"/>
        <w:rPr>
          <w:rFonts w:eastAsia="Times New Roman" w:cs="Times New Roman"/>
          <w:b/>
          <w:i/>
          <w:color w:val="auto"/>
          <w:szCs w:val="20"/>
          <w:lang w:eastAsia="en-GB"/>
        </w:rPr>
      </w:pPr>
      <w:r w:rsidRPr="00E3253B">
        <w:rPr>
          <w:rFonts w:eastAsia="Times New Roman" w:cs="Times New Roman"/>
          <w:b/>
          <w:i/>
          <w:color w:val="auto"/>
          <w:szCs w:val="20"/>
          <w:lang w:eastAsia="en-GB"/>
        </w:rPr>
        <w:t>'</w:t>
      </w:r>
      <w:proofErr w:type="gramStart"/>
      <w:r w:rsidRPr="00E3253B">
        <w:rPr>
          <w:rFonts w:eastAsia="Times New Roman" w:cs="Times New Roman"/>
          <w:b/>
          <w:i/>
          <w:color w:val="auto"/>
          <w:szCs w:val="20"/>
          <w:lang w:eastAsia="en-GB"/>
        </w:rPr>
        <w:t>to</w:t>
      </w:r>
      <w:proofErr w:type="gramEnd"/>
      <w:r w:rsidRPr="00E3253B">
        <w:rPr>
          <w:rFonts w:eastAsia="Times New Roman" w:cs="Times New Roman"/>
          <w:b/>
          <w:i/>
          <w:color w:val="auto"/>
          <w:szCs w:val="20"/>
          <w:lang w:eastAsia="en-GB"/>
        </w:rPr>
        <w:t xml:space="preserve"> calculate and pay all retirement benefits within 10 working days'</w:t>
      </w:r>
    </w:p>
    <w:p w:rsidR="00E3253B" w:rsidRPr="00E3253B" w:rsidRDefault="0062660D" w:rsidP="00E3253B">
      <w:pPr>
        <w:autoSpaceDE/>
        <w:autoSpaceDN/>
        <w:adjustRightInd/>
        <w:spacing w:after="0"/>
        <w:jc w:val="center"/>
        <w:rPr>
          <w:rFonts w:eastAsia="Times New Roman" w:cs="Times New Roman"/>
          <w:i/>
          <w:color w:val="auto"/>
          <w:szCs w:val="20"/>
          <w:lang w:eastAsia="en-GB"/>
        </w:rPr>
      </w:pPr>
    </w:p>
    <w:p w:rsidR="00E3253B" w:rsidRPr="00E3253B" w:rsidRDefault="0062660D" w:rsidP="00E3253B">
      <w:pPr>
        <w:autoSpaceDE/>
        <w:autoSpaceDN/>
        <w:adjustRightInd/>
        <w:spacing w:after="0"/>
        <w:jc w:val="left"/>
        <w:rPr>
          <w:rFonts w:eastAsia="Times New Roman" w:cs="Times New Roman"/>
          <w:color w:val="auto"/>
          <w:szCs w:val="20"/>
          <w:lang w:eastAsia="en-GB"/>
        </w:rPr>
      </w:pPr>
      <w:r w:rsidRPr="00E3253B">
        <w:rPr>
          <w:rFonts w:eastAsia="Times New Roman" w:cs="Times New Roman"/>
          <w:color w:val="auto"/>
          <w:szCs w:val="20"/>
          <w:lang w:eastAsia="en-GB"/>
        </w:rPr>
        <w:t xml:space="preserve">Overall achievement against SLA targets over the year was 99%.  </w:t>
      </w:r>
    </w:p>
    <w:p w:rsidR="00E3253B" w:rsidRPr="00E3253B" w:rsidRDefault="0062660D" w:rsidP="00E3253B">
      <w:pPr>
        <w:autoSpaceDE/>
        <w:autoSpaceDN/>
        <w:adjustRightInd/>
        <w:spacing w:after="0"/>
        <w:jc w:val="left"/>
        <w:rPr>
          <w:rFonts w:eastAsia="Times New Roman" w:cs="Times New Roman"/>
          <w:color w:val="auto"/>
          <w:szCs w:val="20"/>
          <w:lang w:eastAsia="en-GB"/>
        </w:rPr>
      </w:pPr>
    </w:p>
    <w:p w:rsidR="00E3253B" w:rsidRPr="00E3253B" w:rsidRDefault="0062660D" w:rsidP="00E3253B">
      <w:pPr>
        <w:autoSpaceDE/>
        <w:autoSpaceDN/>
        <w:adjustRightInd/>
        <w:spacing w:after="0"/>
        <w:jc w:val="left"/>
        <w:rPr>
          <w:rFonts w:eastAsia="Times New Roman" w:cs="Times New Roman"/>
          <w:color w:val="auto"/>
          <w:szCs w:val="20"/>
          <w:lang w:eastAsia="en-GB"/>
        </w:rPr>
      </w:pPr>
      <w:r w:rsidRPr="00E3253B">
        <w:rPr>
          <w:rFonts w:eastAsia="Times New Roman" w:cs="Times New Roman"/>
          <w:color w:val="auto"/>
          <w:szCs w:val="20"/>
          <w:lang w:eastAsia="en-GB"/>
        </w:rPr>
        <w:t xml:space="preserve">Over the year online benefit statements were produced for active and deferred Scheme members. This was achieved in line with a new and challenging regulatory deadline of 31 August.  Annual newsletters are also posted online alongside statements.  </w:t>
      </w:r>
    </w:p>
    <w:p w:rsidR="00AB648B" w:rsidRPr="00AB648B" w:rsidRDefault="0062660D" w:rsidP="00AB648B">
      <w:pPr>
        <w:autoSpaceDE/>
        <w:autoSpaceDN/>
        <w:adjustRightInd/>
        <w:spacing w:after="0"/>
        <w:jc w:val="left"/>
        <w:rPr>
          <w:rFonts w:eastAsia="Times New Roman" w:cs="Times New Roman"/>
          <w:b/>
          <w:color w:val="auto"/>
          <w:sz w:val="28"/>
          <w:szCs w:val="28"/>
          <w:lang w:eastAsia="en-GB"/>
        </w:rPr>
      </w:pPr>
    </w:p>
    <w:p w:rsidR="00AB648B" w:rsidRPr="00AB648B" w:rsidRDefault="0062660D" w:rsidP="00AB648B">
      <w:pPr>
        <w:autoSpaceDE/>
        <w:autoSpaceDN/>
        <w:adjustRightInd/>
        <w:spacing w:after="0"/>
        <w:jc w:val="left"/>
        <w:rPr>
          <w:rFonts w:eastAsia="Times New Roman" w:cs="Times New Roman"/>
          <w:color w:val="auto"/>
          <w:szCs w:val="20"/>
          <w:lang w:eastAsia="en-GB"/>
        </w:rPr>
      </w:pPr>
    </w:p>
    <w:p w:rsidR="00AB648B" w:rsidRPr="00AB648B" w:rsidRDefault="0062660D" w:rsidP="00AB648B">
      <w:pPr>
        <w:autoSpaceDE/>
        <w:autoSpaceDN/>
        <w:adjustRightInd/>
        <w:spacing w:after="0"/>
        <w:jc w:val="left"/>
        <w:rPr>
          <w:rFonts w:eastAsia="Times New Roman" w:cs="Times New Roman"/>
          <w:b/>
          <w:color w:val="auto"/>
          <w:sz w:val="28"/>
          <w:szCs w:val="28"/>
          <w:lang w:eastAsia="en-GB"/>
        </w:rPr>
      </w:pPr>
      <w:r w:rsidRPr="00AB648B">
        <w:rPr>
          <w:rFonts w:eastAsia="Times New Roman" w:cs="Times New Roman"/>
          <w:b/>
          <w:color w:val="auto"/>
          <w:sz w:val="28"/>
          <w:szCs w:val="28"/>
          <w:lang w:eastAsia="en-GB"/>
        </w:rPr>
        <w:t>Custom</w:t>
      </w:r>
      <w:r w:rsidRPr="00AB648B">
        <w:rPr>
          <w:rFonts w:eastAsia="Times New Roman" w:cs="Times New Roman"/>
          <w:b/>
          <w:color w:val="auto"/>
          <w:sz w:val="28"/>
          <w:szCs w:val="28"/>
          <w:lang w:eastAsia="en-GB"/>
        </w:rPr>
        <w:t xml:space="preserve">er </w:t>
      </w:r>
      <w:r>
        <w:rPr>
          <w:rFonts w:eastAsia="Times New Roman" w:cs="Times New Roman"/>
          <w:b/>
          <w:color w:val="auto"/>
          <w:sz w:val="28"/>
          <w:szCs w:val="28"/>
          <w:lang w:eastAsia="en-GB"/>
        </w:rPr>
        <w:t>s</w:t>
      </w:r>
      <w:r w:rsidRPr="00AB648B">
        <w:rPr>
          <w:rFonts w:eastAsia="Times New Roman" w:cs="Times New Roman"/>
          <w:b/>
          <w:color w:val="auto"/>
          <w:sz w:val="28"/>
          <w:szCs w:val="28"/>
          <w:lang w:eastAsia="en-GB"/>
        </w:rPr>
        <w:t>ervice</w:t>
      </w:r>
    </w:p>
    <w:p w:rsidR="00E3253B" w:rsidRPr="00E3253B" w:rsidRDefault="0062660D" w:rsidP="00E3253B">
      <w:pPr>
        <w:autoSpaceDE/>
        <w:autoSpaceDN/>
        <w:adjustRightInd/>
        <w:spacing w:after="0"/>
        <w:jc w:val="left"/>
        <w:rPr>
          <w:rFonts w:eastAsia="Times New Roman" w:cs="Arial"/>
          <w:color w:val="auto"/>
          <w:lang w:eastAsia="en-GB"/>
        </w:rPr>
      </w:pPr>
      <w:r w:rsidRPr="00E3253B">
        <w:rPr>
          <w:rFonts w:eastAsia="Times New Roman" w:cs="Arial"/>
          <w:color w:val="auto"/>
          <w:lang w:eastAsia="en-GB"/>
        </w:rPr>
        <w:t>Each year the Service's dedicated Partnerships Team undertakes a variety of events, courses and presentations. In addition the team visits Scheme employers to maintain and improve working relationships. The Partnerships Team also undertakes annu</w:t>
      </w:r>
      <w:r w:rsidRPr="00E3253B">
        <w:rPr>
          <w:rFonts w:eastAsia="Times New Roman" w:cs="Arial"/>
          <w:color w:val="auto"/>
          <w:lang w:eastAsia="en-GB"/>
        </w:rPr>
        <w:t>al pension surgeries and pension drop-in sessions as well as facilitating an annual employer conference.</w:t>
      </w:r>
    </w:p>
    <w:p w:rsidR="00E3253B" w:rsidRPr="00E3253B" w:rsidRDefault="0062660D" w:rsidP="00E3253B">
      <w:pPr>
        <w:spacing w:after="0" w:line="240" w:lineRule="atLeast"/>
        <w:jc w:val="left"/>
        <w:rPr>
          <w:rFonts w:eastAsiaTheme="minorHAnsi" w:cs="Arial"/>
        </w:rPr>
      </w:pPr>
    </w:p>
    <w:p w:rsidR="00E3253B" w:rsidRPr="00E3253B" w:rsidRDefault="0062660D" w:rsidP="00E3253B">
      <w:pPr>
        <w:spacing w:after="0" w:line="240" w:lineRule="atLeast"/>
        <w:jc w:val="left"/>
        <w:rPr>
          <w:rFonts w:eastAsiaTheme="minorHAnsi" w:cs="Arial"/>
        </w:rPr>
      </w:pPr>
      <w:r w:rsidRPr="00E3253B">
        <w:rPr>
          <w:rFonts w:eastAsiaTheme="minorHAnsi" w:cs="Arial"/>
        </w:rPr>
        <w:t xml:space="preserve">This year the Team hosted the first annual Fund Members Meeting at the Guildhall in Preston on 11 November 2015 with over 250 members in attendance. </w:t>
      </w:r>
      <w:r w:rsidRPr="00E3253B">
        <w:rPr>
          <w:rFonts w:eastAsiaTheme="minorHAnsi" w:cs="Arial"/>
        </w:rPr>
        <w:t>The agenda included delivery of the Fund Annual Report</w:t>
      </w:r>
    </w:p>
    <w:p w:rsidR="00E3253B" w:rsidRPr="00E3253B" w:rsidRDefault="0062660D" w:rsidP="00E3253B">
      <w:pPr>
        <w:autoSpaceDE/>
        <w:autoSpaceDN/>
        <w:adjustRightInd/>
        <w:spacing w:after="0"/>
        <w:jc w:val="left"/>
        <w:rPr>
          <w:rFonts w:eastAsia="Times New Roman" w:cs="Arial"/>
          <w:color w:val="auto"/>
          <w:lang w:eastAsia="en-GB"/>
        </w:rPr>
      </w:pPr>
    </w:p>
    <w:p w:rsidR="00E3253B" w:rsidRPr="00E3253B" w:rsidRDefault="0062660D" w:rsidP="00E3253B">
      <w:pPr>
        <w:autoSpaceDE/>
        <w:autoSpaceDN/>
        <w:adjustRightInd/>
        <w:spacing w:after="0"/>
        <w:jc w:val="left"/>
        <w:rPr>
          <w:rFonts w:eastAsia="Times New Roman" w:cs="Arial"/>
          <w:color w:val="auto"/>
          <w:lang w:eastAsia="en-GB"/>
        </w:rPr>
      </w:pPr>
      <w:r w:rsidRPr="00E3253B">
        <w:rPr>
          <w:rFonts w:eastAsia="Times New Roman" w:cs="Arial"/>
          <w:color w:val="auto"/>
          <w:lang w:eastAsia="en-GB"/>
        </w:rPr>
        <w:t>A dedicated telephone helpdesk is the first point of contact for pension scheme members and employers.  Over the year 96% of calls were successfully answered against a target of 90%.</w:t>
      </w:r>
    </w:p>
    <w:p w:rsidR="00394C86" w:rsidRDefault="0062660D" w:rsidP="00A820F5">
      <w:pPr>
        <w:autoSpaceDE/>
        <w:autoSpaceDN/>
        <w:adjustRightInd/>
        <w:spacing w:after="0"/>
        <w:jc w:val="left"/>
        <w:rPr>
          <w:rFonts w:eastAsia="Times New Roman" w:cs="Times New Roman"/>
          <w:color w:val="auto"/>
          <w:szCs w:val="20"/>
          <w:lang w:eastAsia="en-GB"/>
        </w:rPr>
      </w:pPr>
    </w:p>
    <w:p w:rsidR="00AB648B" w:rsidRPr="00AB648B" w:rsidRDefault="0062660D" w:rsidP="00AB648B">
      <w:pPr>
        <w:autoSpaceDE/>
        <w:autoSpaceDN/>
        <w:adjustRightInd/>
        <w:spacing w:after="0"/>
        <w:jc w:val="left"/>
        <w:rPr>
          <w:rFonts w:eastAsia="Times New Roman" w:cs="Times New Roman"/>
          <w:color w:val="auto"/>
          <w:szCs w:val="20"/>
          <w:lang w:eastAsia="en-GB"/>
        </w:rPr>
      </w:pPr>
    </w:p>
    <w:p w:rsidR="00A820F5" w:rsidRPr="00A820F5" w:rsidRDefault="0062660D" w:rsidP="00A820F5">
      <w:pPr>
        <w:autoSpaceDE/>
        <w:autoSpaceDN/>
        <w:adjustRightInd/>
        <w:spacing w:after="0"/>
        <w:jc w:val="left"/>
        <w:rPr>
          <w:rFonts w:eastAsia="Times New Roman" w:cs="Times New Roman"/>
          <w:color w:val="auto"/>
          <w:szCs w:val="20"/>
          <w:lang w:eastAsia="en-GB"/>
        </w:rPr>
      </w:pPr>
      <w:r w:rsidRPr="00AB648B">
        <w:rPr>
          <w:rFonts w:eastAsia="Times New Roman" w:cs="Times New Roman"/>
          <w:b/>
          <w:color w:val="auto"/>
          <w:sz w:val="28"/>
          <w:szCs w:val="28"/>
          <w:lang w:eastAsia="en-GB"/>
        </w:rPr>
        <w:t xml:space="preserve">Legislative </w:t>
      </w:r>
      <w:r>
        <w:rPr>
          <w:rFonts w:eastAsia="Times New Roman" w:cs="Times New Roman"/>
          <w:b/>
          <w:color w:val="auto"/>
          <w:sz w:val="28"/>
          <w:szCs w:val="28"/>
          <w:lang w:eastAsia="en-GB"/>
        </w:rPr>
        <w:t>c</w:t>
      </w:r>
      <w:r w:rsidRPr="00AB648B">
        <w:rPr>
          <w:rFonts w:eastAsia="Times New Roman" w:cs="Times New Roman"/>
          <w:b/>
          <w:color w:val="auto"/>
          <w:sz w:val="28"/>
          <w:szCs w:val="28"/>
          <w:lang w:eastAsia="en-GB"/>
        </w:rPr>
        <w:t>hanges</w:t>
      </w:r>
    </w:p>
    <w:p w:rsidR="00E3253B" w:rsidRPr="00E3253B" w:rsidRDefault="0062660D" w:rsidP="00E3253B">
      <w:r w:rsidRPr="00E3253B">
        <w:t xml:space="preserve">2015/16 has been another year of significant change in the world of pension's law.  </w:t>
      </w:r>
    </w:p>
    <w:p w:rsidR="00E3253B" w:rsidRPr="00E3253B" w:rsidRDefault="0062660D" w:rsidP="00E3253B">
      <w:r w:rsidRPr="00E3253B">
        <w:t>At the 2014 Budget, the Chancellor announced huge changes allowing people with defined contribution pension savings greater freedom and choice as to how and when th</w:t>
      </w:r>
      <w:r w:rsidRPr="00E3253B">
        <w:t>ey may access those savings. The changes, in the main, took effect from April 2015. The LGPS gives ‘defined benefit’ savings rather than ‘defined contribution’ savings’ so the changes did not directly impact on our members. However, the changes had a numbe</w:t>
      </w:r>
      <w:r w:rsidRPr="00E3253B">
        <w:t xml:space="preserve">r of indirect impacts. To give one example, generally speaking, a member must now receive financial advice before they can transfer out their LGPS benefits to a defined contribution scheme. </w:t>
      </w:r>
    </w:p>
    <w:p w:rsidR="00E3253B" w:rsidRPr="00E3253B" w:rsidRDefault="0062660D" w:rsidP="00E3253B">
      <w:pPr>
        <w:rPr>
          <w:rFonts w:eastAsia="Times New Roman"/>
          <w:color w:val="auto"/>
          <w:lang w:eastAsia="en-GB"/>
        </w:rPr>
      </w:pPr>
      <w:r w:rsidRPr="00E3253B">
        <w:t>The new LGPS CARE scheme was introduced in April 2014 and further</w:t>
      </w:r>
      <w:r w:rsidRPr="00E3253B">
        <w:t xml:space="preserve"> changes were introduced in April 2015, as part of which a local pension board for each fund was set up and the Pensions Regulator began its new role of overseeing public sector pension schemes.</w:t>
      </w:r>
    </w:p>
    <w:p w:rsidR="00E3253B" w:rsidRPr="00E3253B" w:rsidRDefault="0062660D" w:rsidP="00E3253B">
      <w:pPr>
        <w:autoSpaceDE/>
        <w:autoSpaceDN/>
        <w:adjustRightInd/>
        <w:spacing w:after="0"/>
        <w:jc w:val="left"/>
        <w:rPr>
          <w:rFonts w:eastAsia="Times New Roman" w:cs="Arial"/>
          <w:color w:val="auto"/>
          <w:lang w:eastAsia="en-GB"/>
        </w:rPr>
      </w:pPr>
    </w:p>
    <w:p w:rsidR="00E3253B" w:rsidRPr="00E3253B" w:rsidRDefault="0062660D" w:rsidP="00E3253B">
      <w:pPr>
        <w:spacing w:after="0" w:line="240" w:lineRule="atLeast"/>
        <w:jc w:val="left"/>
        <w:rPr>
          <w:rFonts w:eastAsiaTheme="minorHAnsi" w:cs="Arial"/>
        </w:rPr>
      </w:pPr>
      <w:r w:rsidRPr="00E3253B">
        <w:rPr>
          <w:rFonts w:eastAsiaTheme="minorHAnsi" w:cs="Arial"/>
        </w:rPr>
        <w:t>During the first few months of operating the new CARE scheme</w:t>
      </w:r>
      <w:r w:rsidRPr="00E3253B">
        <w:rPr>
          <w:rFonts w:eastAsiaTheme="minorHAnsi" w:cs="Arial"/>
        </w:rPr>
        <w:t xml:space="preserve"> rules, LGPS funds had found that various parts were not working well in practise or needed further clarification. To address these issues, Government made The Local Government Pension Scheme (Amendment) Regulations 2015. The changes came into force on 11 </w:t>
      </w:r>
      <w:r w:rsidRPr="00E3253B">
        <w:rPr>
          <w:rFonts w:eastAsiaTheme="minorHAnsi" w:cs="Arial"/>
        </w:rPr>
        <w:t xml:space="preserve">April 2015, but in the main had effect back to April 2014. </w:t>
      </w:r>
    </w:p>
    <w:p w:rsidR="00AB648B" w:rsidRDefault="0062660D" w:rsidP="00AB648B">
      <w:pPr>
        <w:autoSpaceDE/>
        <w:autoSpaceDN/>
        <w:adjustRightInd/>
        <w:spacing w:after="0"/>
        <w:jc w:val="left"/>
        <w:rPr>
          <w:rFonts w:eastAsia="Times New Roman" w:cs="Times New Roman"/>
          <w:color w:val="auto"/>
          <w:szCs w:val="20"/>
          <w:lang w:eastAsia="en-GB"/>
        </w:rPr>
      </w:pPr>
    </w:p>
    <w:p w:rsidR="00E3253B" w:rsidRPr="00E3253B" w:rsidRDefault="0062660D" w:rsidP="00E3253B">
      <w:pPr>
        <w:autoSpaceDE/>
        <w:autoSpaceDN/>
        <w:adjustRightInd/>
        <w:spacing w:after="0"/>
        <w:jc w:val="left"/>
        <w:rPr>
          <w:rFonts w:eastAsia="Times New Roman" w:cs="Arial"/>
          <w:color w:val="auto"/>
          <w:lang w:eastAsia="en-GB"/>
        </w:rPr>
      </w:pPr>
      <w:r w:rsidRPr="00E3253B">
        <w:rPr>
          <w:rFonts w:cs="Arial"/>
        </w:rPr>
        <w:t>Government also announced further changes to pension tax relief. In particular, they have reduced the Lifetime Allowance from £1.25 million to £1 million and the Annual Allowance for high earners</w:t>
      </w:r>
      <w:r w:rsidRPr="00E3253B">
        <w:rPr>
          <w:rFonts w:cs="Arial"/>
        </w:rPr>
        <w:t>. Though these changes came into force in April 2016, there were some transitional changes to the Annual Allowance rules impacting on the 2015/16 year.</w:t>
      </w:r>
    </w:p>
    <w:p w:rsidR="00394C86" w:rsidRDefault="0062660D" w:rsidP="00AB648B">
      <w:pPr>
        <w:autoSpaceDE/>
        <w:autoSpaceDN/>
        <w:adjustRightInd/>
        <w:spacing w:after="0"/>
        <w:jc w:val="left"/>
        <w:rPr>
          <w:rFonts w:eastAsia="Times New Roman" w:cs="Times New Roman"/>
          <w:color w:val="auto"/>
          <w:szCs w:val="20"/>
          <w:lang w:eastAsia="en-GB"/>
        </w:rPr>
      </w:pPr>
    </w:p>
    <w:p w:rsidR="00394C86" w:rsidRPr="00AB648B" w:rsidRDefault="0062660D" w:rsidP="00AB648B">
      <w:pPr>
        <w:autoSpaceDE/>
        <w:autoSpaceDN/>
        <w:adjustRightInd/>
        <w:spacing w:after="0"/>
        <w:jc w:val="left"/>
        <w:rPr>
          <w:rFonts w:eastAsia="Times New Roman" w:cs="Times New Roman"/>
          <w:color w:val="auto"/>
          <w:szCs w:val="20"/>
          <w:lang w:eastAsia="en-GB"/>
        </w:rPr>
      </w:pPr>
    </w:p>
    <w:p w:rsidR="00AB648B" w:rsidRPr="00AB648B" w:rsidRDefault="0062660D" w:rsidP="00AB648B">
      <w:pPr>
        <w:autoSpaceDE/>
        <w:autoSpaceDN/>
        <w:adjustRightInd/>
        <w:spacing w:after="0"/>
        <w:jc w:val="left"/>
        <w:rPr>
          <w:rFonts w:eastAsia="Times New Roman" w:cs="Times New Roman"/>
          <w:b/>
          <w:color w:val="auto"/>
          <w:sz w:val="28"/>
          <w:szCs w:val="28"/>
          <w:lang w:eastAsia="en-GB"/>
        </w:rPr>
      </w:pPr>
      <w:r w:rsidRPr="00AB648B">
        <w:rPr>
          <w:rFonts w:eastAsia="Times New Roman" w:cs="Times New Roman"/>
          <w:b/>
          <w:color w:val="auto"/>
          <w:sz w:val="28"/>
          <w:szCs w:val="28"/>
          <w:lang w:eastAsia="en-GB"/>
        </w:rPr>
        <w:t>Service developments</w:t>
      </w:r>
    </w:p>
    <w:p w:rsidR="00E3253B" w:rsidRPr="00E3253B" w:rsidRDefault="0062660D" w:rsidP="00E3253B">
      <w:pPr>
        <w:spacing w:after="0" w:line="240" w:lineRule="atLeast"/>
        <w:jc w:val="left"/>
        <w:rPr>
          <w:rFonts w:eastAsiaTheme="minorHAnsi" w:cs="Arial"/>
        </w:rPr>
      </w:pPr>
      <w:r w:rsidRPr="00E3253B">
        <w:rPr>
          <w:rFonts w:eastAsiaTheme="minorHAnsi" w:cs="Arial"/>
        </w:rPr>
        <w:t>Since 1 April 2014 employers have been submitting monthly files to Your Pension Service, which replace many of the forms that they used to complete, and enable YPS to accurately post and reconcile contributions and pensionable pay to individual member reco</w:t>
      </w:r>
      <w:r w:rsidRPr="00E3253B">
        <w:rPr>
          <w:rFonts w:eastAsiaTheme="minorHAnsi" w:cs="Arial"/>
        </w:rPr>
        <w:t xml:space="preserve">rds. </w:t>
      </w:r>
    </w:p>
    <w:p w:rsidR="00E3253B" w:rsidRPr="00E3253B" w:rsidRDefault="0062660D" w:rsidP="00E3253B">
      <w:pPr>
        <w:spacing w:after="0" w:line="240" w:lineRule="atLeast"/>
        <w:jc w:val="left"/>
        <w:rPr>
          <w:rFonts w:eastAsiaTheme="minorHAnsi" w:cs="Arial"/>
        </w:rPr>
      </w:pPr>
    </w:p>
    <w:p w:rsidR="00E3253B" w:rsidRPr="00E3253B" w:rsidRDefault="0062660D" w:rsidP="00E3253B">
      <w:pPr>
        <w:spacing w:after="0" w:line="240" w:lineRule="atLeast"/>
        <w:jc w:val="left"/>
        <w:rPr>
          <w:rFonts w:eastAsiaTheme="minorHAnsi" w:cs="Arial"/>
        </w:rPr>
      </w:pPr>
      <w:r w:rsidRPr="00E3253B">
        <w:rPr>
          <w:rFonts w:eastAsiaTheme="minorHAnsi" w:cs="Arial"/>
        </w:rPr>
        <w:t>YPS use an internally designed system to do this which has helped to ensure that active member data is accurate and up to date, and that every member receives their correct pension pot entitlement. This system has also led to the successful producti</w:t>
      </w:r>
      <w:r w:rsidRPr="00E3253B">
        <w:rPr>
          <w:rFonts w:eastAsiaTheme="minorHAnsi" w:cs="Arial"/>
        </w:rPr>
        <w:t xml:space="preserve">on of online annual benefit statements within the new statutory deadline of 31 August. </w:t>
      </w:r>
    </w:p>
    <w:p w:rsidR="00E3253B" w:rsidRPr="00E3253B" w:rsidRDefault="0062660D" w:rsidP="00E3253B"/>
    <w:p w:rsidR="00E3253B" w:rsidRDefault="0062660D" w:rsidP="00E3253B">
      <w:pPr>
        <w:autoSpaceDE/>
        <w:autoSpaceDN/>
        <w:adjustRightInd/>
        <w:spacing w:after="0"/>
        <w:jc w:val="left"/>
        <w:rPr>
          <w:rFonts w:cs="Arial"/>
        </w:rPr>
      </w:pPr>
      <w:r w:rsidRPr="00E3253B">
        <w:rPr>
          <w:rFonts w:cs="Arial"/>
        </w:rPr>
        <w:t>It is also important to have up to date and accurate data in order to properly assess the liabilities of the Fund. Work is ongoing to ensure the continued submission o</w:t>
      </w:r>
      <w:r w:rsidRPr="00E3253B">
        <w:rPr>
          <w:rFonts w:cs="Arial"/>
        </w:rPr>
        <w:t xml:space="preserve">f monthly data files from employing organisations in readiness for the 2016 actuarial valuation. </w:t>
      </w:r>
    </w:p>
    <w:p w:rsidR="00E3253B" w:rsidRPr="00E3253B" w:rsidRDefault="0062660D" w:rsidP="00E3253B">
      <w:pPr>
        <w:autoSpaceDE/>
        <w:autoSpaceDN/>
        <w:adjustRightInd/>
        <w:spacing w:after="0"/>
        <w:jc w:val="left"/>
        <w:rPr>
          <w:rFonts w:cs="Arial"/>
        </w:rPr>
      </w:pPr>
    </w:p>
    <w:p w:rsidR="00AB648B" w:rsidRPr="00AB648B" w:rsidRDefault="0062660D" w:rsidP="00AB648B">
      <w:pPr>
        <w:autoSpaceDE/>
        <w:autoSpaceDN/>
        <w:adjustRightInd/>
        <w:spacing w:after="0"/>
        <w:jc w:val="left"/>
        <w:rPr>
          <w:rFonts w:eastAsia="Times New Roman" w:cs="Times New Roman"/>
          <w:b/>
          <w:color w:val="auto"/>
          <w:szCs w:val="20"/>
          <w:lang w:eastAsia="en-GB"/>
        </w:rPr>
      </w:pPr>
    </w:p>
    <w:p w:rsidR="00E3253B" w:rsidRPr="00B53A70" w:rsidRDefault="0062660D" w:rsidP="00E3253B">
      <w:pPr>
        <w:pStyle w:val="Pa0"/>
        <w:rPr>
          <w:rFonts w:ascii="Arial" w:hAnsi="Arial" w:cs="Arial"/>
          <w:color w:val="000000"/>
          <w:sz w:val="28"/>
          <w:szCs w:val="28"/>
        </w:rPr>
      </w:pPr>
      <w:r w:rsidRPr="00B53A70">
        <w:rPr>
          <w:rFonts w:ascii="Arial" w:hAnsi="Arial" w:cs="Arial"/>
          <w:b/>
          <w:color w:val="000000"/>
          <w:sz w:val="28"/>
          <w:szCs w:val="28"/>
        </w:rPr>
        <w:t>Online Services</w:t>
      </w:r>
    </w:p>
    <w:p w:rsidR="00E3253B" w:rsidRDefault="0062660D" w:rsidP="00E3253B">
      <w:pPr>
        <w:pStyle w:val="Pa0"/>
        <w:rPr>
          <w:rFonts w:ascii="Arial" w:hAnsi="Arial" w:cs="Arial"/>
          <w:color w:val="000000"/>
        </w:rPr>
      </w:pPr>
      <w:r w:rsidRPr="0000069A">
        <w:rPr>
          <w:rFonts w:ascii="Arial" w:hAnsi="Arial" w:cs="Arial"/>
          <w:color w:val="000000"/>
        </w:rPr>
        <w:t>My Pension Online is an online facility that was</w:t>
      </w:r>
      <w:r>
        <w:rPr>
          <w:rFonts w:ascii="Arial" w:hAnsi="Arial" w:cs="Arial"/>
          <w:color w:val="000000"/>
        </w:rPr>
        <w:t xml:space="preserve"> originally </w:t>
      </w:r>
      <w:r w:rsidRPr="0000069A">
        <w:rPr>
          <w:rFonts w:ascii="Arial" w:hAnsi="Arial" w:cs="Arial"/>
          <w:color w:val="000000"/>
        </w:rPr>
        <w:t>developed in 2012</w:t>
      </w:r>
      <w:r>
        <w:rPr>
          <w:rFonts w:ascii="Arial" w:hAnsi="Arial" w:cs="Arial"/>
          <w:color w:val="000000"/>
        </w:rPr>
        <w:t xml:space="preserve">. </w:t>
      </w:r>
      <w:r w:rsidRPr="0000069A">
        <w:rPr>
          <w:rFonts w:ascii="Arial" w:hAnsi="Arial" w:cs="Arial"/>
          <w:color w:val="000000"/>
        </w:rPr>
        <w:t xml:space="preserve">Through ‘My Pension Online’ members can view their details and also securely update any changes in contact details. As well as this members can run various pension estimates assisting with planning for retirement. </w:t>
      </w:r>
      <w:r>
        <w:rPr>
          <w:rFonts w:ascii="Arial" w:hAnsi="Arial" w:cs="Arial"/>
          <w:color w:val="000000"/>
        </w:rPr>
        <w:t>Pensioners can view their payslips and P60</w:t>
      </w:r>
      <w:r>
        <w:rPr>
          <w:rFonts w:ascii="Arial" w:hAnsi="Arial" w:cs="Arial"/>
          <w:color w:val="000000"/>
        </w:rPr>
        <w:t>'s online.</w:t>
      </w:r>
    </w:p>
    <w:p w:rsidR="00E3253B" w:rsidRDefault="0062660D" w:rsidP="00E3253B">
      <w:pPr>
        <w:pStyle w:val="Pa0"/>
        <w:rPr>
          <w:rFonts w:ascii="Arial" w:hAnsi="Arial" w:cs="Arial"/>
          <w:color w:val="000000"/>
        </w:rPr>
      </w:pPr>
    </w:p>
    <w:p w:rsidR="00E3253B" w:rsidRDefault="0062660D" w:rsidP="00E3253B">
      <w:pPr>
        <w:pStyle w:val="Pa0"/>
        <w:rPr>
          <w:rFonts w:ascii="Arial" w:hAnsi="Arial" w:cs="Arial"/>
          <w:color w:val="000000"/>
        </w:rPr>
      </w:pPr>
      <w:r w:rsidRPr="0000069A">
        <w:rPr>
          <w:rFonts w:ascii="Arial" w:hAnsi="Arial" w:cs="Arial"/>
          <w:color w:val="000000"/>
        </w:rPr>
        <w:t>Members can also view their annual benefit statement via My Pension Online. Other benefits of the system include: allowing members to view their nominated beneficiaries; access to a host of forms and guides and also means that Your Pension Serv</w:t>
      </w:r>
      <w:r w:rsidRPr="0000069A">
        <w:rPr>
          <w:rFonts w:ascii="Arial" w:hAnsi="Arial" w:cs="Arial"/>
          <w:color w:val="000000"/>
        </w:rPr>
        <w:t xml:space="preserve">ice can communicate with registered members via email. Currently over 45,000 members are registered online. </w:t>
      </w:r>
    </w:p>
    <w:p w:rsidR="00E3253B" w:rsidRPr="00E3253B" w:rsidRDefault="0062660D" w:rsidP="00E3253B">
      <w:pPr>
        <w:spacing w:after="0" w:line="240" w:lineRule="atLeast"/>
        <w:jc w:val="left"/>
        <w:rPr>
          <w:rFonts w:eastAsiaTheme="minorHAnsi" w:cs="Arial"/>
          <w:b/>
          <w:sz w:val="28"/>
          <w:szCs w:val="28"/>
        </w:rPr>
      </w:pPr>
      <w:r w:rsidRPr="00E3253B">
        <w:rPr>
          <w:rFonts w:eastAsiaTheme="minorHAnsi" w:cs="Arial"/>
          <w:b/>
          <w:sz w:val="28"/>
          <w:szCs w:val="28"/>
        </w:rPr>
        <w:t xml:space="preserve">Appeals  </w:t>
      </w:r>
    </w:p>
    <w:p w:rsidR="00E3253B" w:rsidRPr="00E3253B" w:rsidRDefault="0062660D" w:rsidP="00E3253B">
      <w:pPr>
        <w:spacing w:after="0" w:line="240" w:lineRule="atLeast"/>
        <w:jc w:val="left"/>
        <w:rPr>
          <w:rFonts w:eastAsiaTheme="minorHAnsi" w:cs="Arial"/>
        </w:rPr>
      </w:pPr>
      <w:r w:rsidRPr="00E3253B">
        <w:rPr>
          <w:rFonts w:eastAsiaTheme="minorHAnsi" w:cs="Arial"/>
        </w:rPr>
        <w:t>Fund Members who disagree with decisions taken by their employer or administering authority may appeal using the Internal Dispute Resolut</w:t>
      </w:r>
      <w:r w:rsidRPr="00E3253B">
        <w:rPr>
          <w:rFonts w:eastAsiaTheme="minorHAnsi" w:cs="Arial"/>
        </w:rPr>
        <w:t>ion Procedure (IDRP) under the LGPS rules. The IDRP is a formal appeal procedure which contains two stages. The first stage allows the person to ask the body who originally made the decision to review it, i.e. either the employer or the administering autho</w:t>
      </w:r>
      <w:r w:rsidRPr="00E3253B">
        <w:rPr>
          <w:rFonts w:eastAsiaTheme="minorHAnsi" w:cs="Arial"/>
        </w:rPr>
        <w:t xml:space="preserve">rity. The second stage allows the person, if they are not satisfied with the outcome at the first stage, to ask the Appeals Officer at the administering authority to review the disagreement. </w:t>
      </w:r>
    </w:p>
    <w:p w:rsidR="00E3253B" w:rsidRPr="00E3253B" w:rsidRDefault="0062660D" w:rsidP="00E3253B"/>
    <w:p w:rsidR="00E3253B" w:rsidRPr="00E3253B" w:rsidRDefault="0062660D" w:rsidP="00E3253B">
      <w:r w:rsidRPr="00E3253B">
        <w:t xml:space="preserve">Over the year 5 appeals have been received, 2 have been upheld </w:t>
      </w:r>
      <w:r w:rsidRPr="00E3253B">
        <w:t xml:space="preserve">and 3 cases were ongoing as at 31 March 2016. </w:t>
      </w:r>
      <w:r w:rsidRPr="00E3253B">
        <w:rPr>
          <w:rFonts w:cs="Arial"/>
        </w:rPr>
        <w:t xml:space="preserve">The majority of appeals relate to ill health. </w:t>
      </w:r>
    </w:p>
    <w:p w:rsidR="00E3253B" w:rsidRPr="00E3253B" w:rsidRDefault="0062660D" w:rsidP="00E3253B">
      <w:pPr>
        <w:autoSpaceDE/>
        <w:autoSpaceDN/>
        <w:adjustRightInd/>
        <w:spacing w:after="0"/>
        <w:jc w:val="left"/>
        <w:rPr>
          <w:rFonts w:cs="Swiss 72 1 BT"/>
          <w:sz w:val="23"/>
          <w:szCs w:val="23"/>
        </w:rPr>
      </w:pPr>
    </w:p>
    <w:p w:rsidR="00E3253B" w:rsidRPr="00E3253B" w:rsidRDefault="0062660D" w:rsidP="00E3253B">
      <w:pPr>
        <w:autoSpaceDE/>
        <w:autoSpaceDN/>
        <w:adjustRightInd/>
        <w:spacing w:after="0"/>
        <w:jc w:val="left"/>
        <w:rPr>
          <w:rFonts w:eastAsia="Times New Roman" w:cs="Times New Roman"/>
          <w:b/>
          <w:color w:val="auto"/>
          <w:szCs w:val="20"/>
          <w:lang w:eastAsia="en-GB"/>
        </w:rPr>
      </w:pPr>
      <w:r w:rsidRPr="00E3253B">
        <w:rPr>
          <w:rFonts w:eastAsia="Times New Roman" w:cs="Times New Roman"/>
          <w:b/>
          <w:color w:val="auto"/>
          <w:sz w:val="28"/>
          <w:szCs w:val="28"/>
          <w:lang w:eastAsia="en-GB"/>
        </w:rPr>
        <w:t>Charges</w:t>
      </w:r>
    </w:p>
    <w:p w:rsidR="00E3253B" w:rsidRPr="00E3253B" w:rsidRDefault="0062660D" w:rsidP="00E3253B">
      <w:pPr>
        <w:autoSpaceDE/>
        <w:autoSpaceDN/>
        <w:adjustRightInd/>
        <w:spacing w:after="0"/>
        <w:jc w:val="left"/>
        <w:rPr>
          <w:rFonts w:eastAsia="Times New Roman" w:cs="Times New Roman"/>
          <w:color w:val="auto"/>
          <w:szCs w:val="20"/>
          <w:lang w:eastAsia="en-GB"/>
        </w:rPr>
      </w:pPr>
      <w:r w:rsidRPr="00E3253B">
        <w:rPr>
          <w:rFonts w:eastAsia="Times New Roman" w:cs="Times New Roman"/>
          <w:color w:val="auto"/>
          <w:szCs w:val="20"/>
          <w:lang w:eastAsia="en-GB"/>
        </w:rPr>
        <w:t>YPS makes a charge to Lancashire County Pension Fund on a per member basis which is restricted to the lower quartile as reported in national government LG</w:t>
      </w:r>
      <w:r w:rsidRPr="00E3253B">
        <w:rPr>
          <w:rFonts w:eastAsia="Times New Roman" w:cs="Times New Roman"/>
          <w:color w:val="auto"/>
          <w:szCs w:val="20"/>
          <w:lang w:eastAsia="en-GB"/>
        </w:rPr>
        <w:t>PS benchmarking returns.  The on-going level of charge to the Fund is kept under review.</w:t>
      </w:r>
    </w:p>
    <w:p w:rsidR="00E3253B" w:rsidRPr="00E3253B" w:rsidRDefault="0062660D" w:rsidP="00E3253B"/>
    <w:p w:rsidR="007B5569" w:rsidRDefault="0062660D" w:rsidP="00521C81">
      <w:pPr>
        <w:autoSpaceDE/>
        <w:autoSpaceDN/>
        <w:adjustRightInd/>
        <w:spacing w:after="0"/>
        <w:jc w:val="left"/>
      </w:pPr>
    </w:p>
    <w:p w:rsidR="00E3253B" w:rsidRPr="00E3253B" w:rsidRDefault="0062660D" w:rsidP="00E3253B">
      <w:pPr>
        <w:spacing w:after="0"/>
        <w:rPr>
          <w:rFonts w:eastAsia="Times New Roman" w:cs="Arial"/>
          <w:b/>
          <w:lang w:eastAsia="en-GB"/>
        </w:rPr>
      </w:pPr>
      <w:r w:rsidRPr="00E3253B">
        <w:rPr>
          <w:rFonts w:eastAsia="Times New Roman" w:cs="Arial"/>
          <w:b/>
          <w:sz w:val="28"/>
          <w:szCs w:val="28"/>
          <w:lang w:eastAsia="en-GB"/>
        </w:rPr>
        <w:t>Other information</w:t>
      </w:r>
    </w:p>
    <w:p w:rsidR="00E3253B" w:rsidRPr="00E3253B" w:rsidRDefault="0062660D" w:rsidP="00E3253B">
      <w:pPr>
        <w:spacing w:after="0"/>
        <w:rPr>
          <w:rFonts w:eastAsia="Times New Roman" w:cs="Arial"/>
          <w:szCs w:val="20"/>
          <w:lang w:eastAsia="en-GB"/>
        </w:rPr>
      </w:pPr>
      <w:r w:rsidRPr="00E3253B">
        <w:rPr>
          <w:rFonts w:eastAsia="Times New Roman" w:cs="Arial"/>
          <w:szCs w:val="20"/>
          <w:lang w:eastAsia="en-GB"/>
        </w:rPr>
        <w:t xml:space="preserve">For further information relating to the administration of the scheme please refer to the </w:t>
      </w:r>
      <w:hyperlink r:id="rId20" w:history="1">
        <w:r w:rsidRPr="00E3253B">
          <w:rPr>
            <w:rFonts w:eastAsia="Times New Roman" w:cs="Arial"/>
            <w:color w:val="0000FF"/>
            <w:szCs w:val="20"/>
            <w:u w:val="single"/>
            <w:lang w:eastAsia="en-GB"/>
          </w:rPr>
          <w:t>Communication Policy Statement</w:t>
        </w:r>
      </w:hyperlink>
      <w:r w:rsidRPr="00E3253B">
        <w:rPr>
          <w:rFonts w:eastAsia="Times New Roman" w:cs="Arial"/>
          <w:szCs w:val="20"/>
          <w:lang w:eastAsia="en-GB"/>
        </w:rPr>
        <w:t xml:space="preserve"> and the </w:t>
      </w:r>
      <w:hyperlink r:id="rId21" w:history="1">
        <w:r w:rsidRPr="00E3253B">
          <w:rPr>
            <w:rFonts w:eastAsia="Times New Roman" w:cs="Arial"/>
            <w:color w:val="0000FF"/>
            <w:szCs w:val="20"/>
            <w:u w:val="single"/>
            <w:lang w:eastAsia="en-GB"/>
          </w:rPr>
          <w:t>Pensions Administration Strategy Statement</w:t>
        </w:r>
      </w:hyperlink>
      <w:r w:rsidRPr="00E3253B">
        <w:rPr>
          <w:rFonts w:eastAsia="Times New Roman" w:cs="Arial"/>
          <w:szCs w:val="20"/>
          <w:lang w:eastAsia="en-GB"/>
        </w:rPr>
        <w:t xml:space="preserve">.  </w:t>
      </w:r>
    </w:p>
    <w:p w:rsidR="00E3253B" w:rsidRPr="00E3253B" w:rsidRDefault="0062660D" w:rsidP="00E3253B">
      <w:pPr>
        <w:autoSpaceDE/>
        <w:autoSpaceDN/>
        <w:adjustRightInd/>
        <w:spacing w:after="0"/>
        <w:jc w:val="left"/>
        <w:rPr>
          <w:rFonts w:eastAsia="Times New Roman" w:cs="Times New Roman"/>
          <w:color w:val="auto"/>
          <w:szCs w:val="20"/>
          <w:lang w:eastAsia="en-GB"/>
        </w:rPr>
      </w:pPr>
    </w:p>
    <w:p w:rsidR="00E3253B" w:rsidRPr="00E3253B" w:rsidRDefault="0062660D" w:rsidP="00E3253B">
      <w:pPr>
        <w:tabs>
          <w:tab w:val="left" w:pos="1080"/>
        </w:tabs>
        <w:autoSpaceDE/>
        <w:autoSpaceDN/>
        <w:adjustRightInd/>
        <w:spacing w:after="80"/>
        <w:jc w:val="left"/>
        <w:rPr>
          <w:rFonts w:eastAsia="Times New Roman" w:cs="Arial"/>
          <w:szCs w:val="20"/>
          <w:lang w:eastAsia="en-GB"/>
        </w:rPr>
      </w:pPr>
      <w:r w:rsidRPr="00E3253B">
        <w:rPr>
          <w:rFonts w:eastAsia="Times New Roman" w:cs="Arial"/>
          <w:szCs w:val="20"/>
          <w:lang w:eastAsia="en-GB"/>
        </w:rPr>
        <w:t>Your Pension S</w:t>
      </w:r>
      <w:r w:rsidRPr="00E3253B">
        <w:rPr>
          <w:rFonts w:eastAsia="Times New Roman" w:cs="Arial"/>
          <w:szCs w:val="20"/>
          <w:lang w:eastAsia="en-GB"/>
        </w:rPr>
        <w:t>ervice can be contacted at:</w:t>
      </w:r>
    </w:p>
    <w:p w:rsidR="00E3253B" w:rsidRPr="00E3253B" w:rsidRDefault="0062660D" w:rsidP="00E3253B">
      <w:pPr>
        <w:spacing w:after="0"/>
        <w:jc w:val="left"/>
        <w:rPr>
          <w:rFonts w:eastAsia="Times New Roman" w:cs="Arial"/>
          <w:bCs/>
          <w:szCs w:val="20"/>
          <w:lang w:eastAsia="en-GB"/>
        </w:rPr>
      </w:pPr>
      <w:r w:rsidRPr="00E3253B">
        <w:rPr>
          <w:rFonts w:eastAsia="Times New Roman" w:cs="Arial"/>
          <w:bCs/>
          <w:szCs w:val="20"/>
          <w:lang w:eastAsia="en-GB"/>
        </w:rPr>
        <w:t xml:space="preserve">PO Box 100 </w:t>
      </w:r>
    </w:p>
    <w:p w:rsidR="00E3253B" w:rsidRPr="00E3253B" w:rsidRDefault="0062660D" w:rsidP="00E3253B">
      <w:pPr>
        <w:spacing w:after="0"/>
        <w:jc w:val="left"/>
        <w:rPr>
          <w:rFonts w:eastAsia="Times New Roman" w:cs="Arial"/>
          <w:bCs/>
          <w:szCs w:val="20"/>
          <w:lang w:eastAsia="en-GB"/>
        </w:rPr>
      </w:pPr>
      <w:r w:rsidRPr="00E3253B">
        <w:rPr>
          <w:rFonts w:eastAsia="Times New Roman" w:cs="Arial"/>
          <w:bCs/>
          <w:szCs w:val="20"/>
          <w:lang w:eastAsia="en-GB"/>
        </w:rPr>
        <w:t xml:space="preserve">County Hall </w:t>
      </w:r>
    </w:p>
    <w:p w:rsidR="00E3253B" w:rsidRPr="00E3253B" w:rsidRDefault="0062660D" w:rsidP="00E3253B">
      <w:pPr>
        <w:spacing w:after="0"/>
        <w:jc w:val="left"/>
        <w:rPr>
          <w:rFonts w:eastAsia="Times New Roman" w:cs="Arial"/>
          <w:bCs/>
          <w:szCs w:val="20"/>
          <w:lang w:eastAsia="en-GB"/>
        </w:rPr>
      </w:pPr>
      <w:r w:rsidRPr="00E3253B">
        <w:rPr>
          <w:rFonts w:eastAsia="Times New Roman" w:cs="Arial"/>
          <w:bCs/>
          <w:szCs w:val="20"/>
          <w:lang w:eastAsia="en-GB"/>
        </w:rPr>
        <w:t xml:space="preserve">Preston </w:t>
      </w:r>
    </w:p>
    <w:p w:rsidR="00E3253B" w:rsidRPr="00E3253B" w:rsidRDefault="0062660D" w:rsidP="00E3253B">
      <w:pPr>
        <w:spacing w:after="0"/>
        <w:jc w:val="left"/>
        <w:rPr>
          <w:rFonts w:eastAsia="Times New Roman" w:cs="Arial"/>
          <w:bCs/>
          <w:szCs w:val="20"/>
          <w:lang w:eastAsia="en-GB"/>
        </w:rPr>
      </w:pPr>
      <w:r w:rsidRPr="00E3253B">
        <w:rPr>
          <w:rFonts w:eastAsia="Times New Roman" w:cs="Arial"/>
          <w:bCs/>
          <w:szCs w:val="20"/>
          <w:lang w:eastAsia="en-GB"/>
        </w:rPr>
        <w:t>PR1 0LD</w:t>
      </w:r>
    </w:p>
    <w:p w:rsidR="00E3253B" w:rsidRPr="00E3253B" w:rsidRDefault="0062660D" w:rsidP="00E3253B">
      <w:pPr>
        <w:spacing w:after="0"/>
        <w:jc w:val="left"/>
        <w:rPr>
          <w:rFonts w:eastAsia="Times New Roman" w:cs="Arial"/>
          <w:bCs/>
          <w:szCs w:val="20"/>
          <w:lang w:eastAsia="en-GB"/>
        </w:rPr>
      </w:pPr>
      <w:r w:rsidRPr="00E3253B">
        <w:rPr>
          <w:rFonts w:eastAsia="Times New Roman" w:cs="Arial"/>
          <w:bCs/>
          <w:szCs w:val="20"/>
          <w:lang w:eastAsia="en-GB"/>
        </w:rPr>
        <w:t>Telephone:  0300 123 6717</w:t>
      </w:r>
    </w:p>
    <w:p w:rsidR="00E3253B" w:rsidRPr="00E3253B" w:rsidRDefault="0062660D" w:rsidP="00E3253B">
      <w:pPr>
        <w:spacing w:after="0"/>
        <w:jc w:val="left"/>
        <w:rPr>
          <w:rFonts w:eastAsia="Times New Roman" w:cs="Arial"/>
          <w:bCs/>
          <w:szCs w:val="20"/>
          <w:lang w:eastAsia="en-GB"/>
        </w:rPr>
      </w:pPr>
      <w:r w:rsidRPr="00E3253B">
        <w:rPr>
          <w:rFonts w:eastAsia="Times New Roman" w:cs="Arial"/>
          <w:bCs/>
          <w:szCs w:val="20"/>
          <w:lang w:eastAsia="en-GB"/>
        </w:rPr>
        <w:t>E-mail: AskPensions@localpensionspartnership.org.uk</w:t>
      </w:r>
    </w:p>
    <w:p w:rsidR="00E3253B" w:rsidRDefault="0062660D" w:rsidP="00E3253B">
      <w:pPr>
        <w:autoSpaceDE/>
        <w:autoSpaceDN/>
        <w:adjustRightInd/>
        <w:spacing w:after="0"/>
        <w:jc w:val="left"/>
        <w:sectPr w:rsidR="00E3253B" w:rsidSect="00270387">
          <w:pgSz w:w="11900" w:h="16840" w:code="9"/>
          <w:pgMar w:top="720" w:right="720" w:bottom="720" w:left="720" w:header="283" w:footer="283" w:gutter="0"/>
          <w:cols w:space="292"/>
          <w:docGrid w:linePitch="326"/>
        </w:sectPr>
      </w:pPr>
      <w:hyperlink r:id="rId22" w:history="1">
        <w:r w:rsidRPr="00E3253B">
          <w:rPr>
            <w:rFonts w:eastAsia="Times New Roman" w:cs="Times New Roman"/>
            <w:color w:val="0000FF"/>
            <w:szCs w:val="20"/>
            <w:u w:val="single"/>
            <w:lang w:eastAsia="en-GB"/>
          </w:rPr>
          <w:t>http://www.yourpensionservice.org.uk</w:t>
        </w:r>
      </w:hyperlink>
    </w:p>
    <w:p w:rsidR="00AB648B" w:rsidRPr="00016FC1" w:rsidRDefault="0062660D" w:rsidP="00F504EE">
      <w:pPr>
        <w:numPr>
          <w:ilvl w:val="0"/>
          <w:numId w:val="14"/>
        </w:numPr>
        <w:autoSpaceDE/>
        <w:autoSpaceDN/>
        <w:adjustRightInd/>
        <w:spacing w:after="0"/>
        <w:jc w:val="left"/>
        <w:rPr>
          <w:rFonts w:eastAsia="Times New Roman" w:cs="Arial"/>
          <w:b/>
          <w:snapToGrid w:val="0"/>
          <w:color w:val="auto"/>
          <w:sz w:val="32"/>
          <w:szCs w:val="32"/>
        </w:rPr>
      </w:pPr>
      <w:r>
        <w:tab/>
      </w:r>
      <w:r w:rsidRPr="00016FC1">
        <w:rPr>
          <w:rFonts w:eastAsia="Times New Roman" w:cs="Arial"/>
          <w:b/>
          <w:snapToGrid w:val="0"/>
          <w:color w:val="auto"/>
          <w:sz w:val="32"/>
          <w:szCs w:val="32"/>
          <w:lang w:eastAsia="en-GB"/>
        </w:rPr>
        <w:t>Knowledge &amp; Skills Framework</w:t>
      </w:r>
      <w:r w:rsidRPr="00016FC1">
        <w:rPr>
          <w:rFonts w:eastAsia="Times New Roman" w:cs="Arial"/>
          <w:b/>
          <w:snapToGrid w:val="0"/>
          <w:color w:val="auto"/>
          <w:sz w:val="32"/>
          <w:szCs w:val="32"/>
        </w:rPr>
        <w:t xml:space="preserve"> </w:t>
      </w:r>
    </w:p>
    <w:p w:rsidR="00AB648B" w:rsidRPr="00AB648B" w:rsidRDefault="0062660D" w:rsidP="00AB648B">
      <w:pPr>
        <w:autoSpaceDE/>
        <w:autoSpaceDN/>
        <w:adjustRightInd/>
        <w:spacing w:after="0"/>
        <w:ind w:left="360"/>
        <w:jc w:val="left"/>
        <w:rPr>
          <w:rFonts w:eastAsia="Times New Roman" w:cs="Times New Roman"/>
          <w:b/>
          <w:snapToGrid w:val="0"/>
          <w:color w:val="auto"/>
          <w:sz w:val="28"/>
          <w:szCs w:val="28"/>
        </w:rPr>
      </w:pPr>
    </w:p>
    <w:p w:rsidR="000B10DD" w:rsidRPr="000B10DD" w:rsidRDefault="0062660D" w:rsidP="000B10DD">
      <w:pPr>
        <w:autoSpaceDE/>
        <w:autoSpaceDN/>
        <w:adjustRightInd/>
        <w:spacing w:after="0"/>
        <w:jc w:val="left"/>
        <w:rPr>
          <w:rFonts w:eastAsia="Times New Roman" w:cs="Arial"/>
          <w:color w:val="auto"/>
          <w:lang w:eastAsia="en-GB"/>
        </w:rPr>
      </w:pPr>
      <w:r w:rsidRPr="000B10DD">
        <w:rPr>
          <w:rFonts w:eastAsia="Times New Roman" w:cs="Arial"/>
          <w:snapToGrid w:val="0"/>
          <w:color w:val="auto"/>
        </w:rPr>
        <w:t xml:space="preserve">There is a requirement for all those </w:t>
      </w:r>
      <w:r w:rsidRPr="000B10DD">
        <w:rPr>
          <w:rFonts w:eastAsia="Times New Roman" w:cs="Arial"/>
          <w:color w:val="auto"/>
          <w:lang w:eastAsia="en-GB"/>
        </w:rPr>
        <w:t xml:space="preserve">involved in the management and oversight of public sector pension funds (whether members or officers) to ensure they achieve the level of knowledge and skill necessary for performing their duties and responsibilities effectively. </w:t>
      </w:r>
    </w:p>
    <w:p w:rsidR="000B10DD" w:rsidRPr="000B10DD" w:rsidRDefault="0062660D" w:rsidP="000B10DD">
      <w:pPr>
        <w:autoSpaceDE/>
        <w:autoSpaceDN/>
        <w:adjustRightInd/>
        <w:spacing w:after="0"/>
        <w:jc w:val="left"/>
        <w:rPr>
          <w:rFonts w:eastAsia="Times New Roman" w:cs="Arial"/>
          <w:color w:val="auto"/>
          <w:lang w:eastAsia="en-GB"/>
        </w:rPr>
      </w:pPr>
    </w:p>
    <w:p w:rsidR="000B10DD" w:rsidRPr="00016FC1" w:rsidRDefault="0062660D" w:rsidP="000B10DD">
      <w:pPr>
        <w:autoSpaceDE/>
        <w:autoSpaceDN/>
        <w:adjustRightInd/>
        <w:spacing w:after="0"/>
        <w:jc w:val="left"/>
        <w:rPr>
          <w:rFonts w:eastAsia="Times New Roman" w:cs="Arial"/>
          <w:b/>
          <w:snapToGrid w:val="0"/>
          <w:color w:val="auto"/>
          <w:sz w:val="28"/>
          <w:szCs w:val="28"/>
        </w:rPr>
      </w:pPr>
      <w:r w:rsidRPr="00016FC1">
        <w:rPr>
          <w:rFonts w:eastAsia="Times New Roman" w:cs="Arial"/>
          <w:b/>
          <w:snapToGrid w:val="0"/>
          <w:color w:val="auto"/>
          <w:sz w:val="28"/>
          <w:szCs w:val="28"/>
        </w:rPr>
        <w:t>CIPFA Pensions Finance K</w:t>
      </w:r>
      <w:r w:rsidRPr="00016FC1">
        <w:rPr>
          <w:rFonts w:eastAsia="Times New Roman" w:cs="Arial"/>
          <w:b/>
          <w:snapToGrid w:val="0"/>
          <w:color w:val="auto"/>
          <w:sz w:val="28"/>
          <w:szCs w:val="28"/>
        </w:rPr>
        <w:t>nowledge and Skills Framework</w:t>
      </w:r>
    </w:p>
    <w:p w:rsidR="000B10DD" w:rsidRPr="000B10DD" w:rsidRDefault="0062660D" w:rsidP="000B10DD">
      <w:pPr>
        <w:spacing w:after="0"/>
        <w:jc w:val="left"/>
        <w:rPr>
          <w:rFonts w:eastAsia="Times New Roman" w:cs="Arial"/>
          <w:color w:val="auto"/>
          <w:lang w:eastAsia="en-GB"/>
        </w:rPr>
      </w:pPr>
      <w:r w:rsidRPr="000B10DD">
        <w:rPr>
          <w:rFonts w:eastAsiaTheme="minorHAnsi" w:cs="Arial"/>
          <w:color w:val="auto"/>
        </w:rPr>
        <w:t>The</w:t>
      </w:r>
      <w:r w:rsidRPr="000B10DD">
        <w:rPr>
          <w:rFonts w:eastAsia="Times New Roman" w:cs="Arial"/>
          <w:color w:val="auto"/>
          <w:lang w:eastAsia="en-GB"/>
        </w:rPr>
        <w:t xml:space="preserve"> Chartered Institute of Public Finance and Accountancy (CIPFA) first published a code of practice on public sector pensions finance knowledge and skills in October 2011 in response to recommendations by Lord Hutton within t</w:t>
      </w:r>
      <w:r w:rsidRPr="000B10DD">
        <w:rPr>
          <w:rFonts w:eastAsia="Times New Roman" w:cs="Arial"/>
          <w:color w:val="auto"/>
          <w:lang w:eastAsia="en-GB"/>
        </w:rPr>
        <w:t xml:space="preserve">he final report of the </w:t>
      </w:r>
      <w:r w:rsidRPr="000B10DD">
        <w:rPr>
          <w:rFonts w:eastAsiaTheme="minorHAnsi" w:cs="Arial"/>
          <w:color w:val="auto"/>
        </w:rPr>
        <w:t>Independent Public Service</w:t>
      </w:r>
      <w:r w:rsidRPr="000B10DD">
        <w:rPr>
          <w:rFonts w:eastAsia="Times New Roman" w:cs="Arial"/>
          <w:color w:val="auto"/>
          <w:lang w:eastAsia="en-GB"/>
        </w:rPr>
        <w:t xml:space="preserve"> </w:t>
      </w:r>
      <w:r w:rsidRPr="000B10DD">
        <w:rPr>
          <w:rFonts w:eastAsiaTheme="minorHAnsi" w:cs="Arial"/>
          <w:color w:val="auto"/>
        </w:rPr>
        <w:t xml:space="preserve">Pensions Commission. </w:t>
      </w:r>
      <w:r w:rsidRPr="000B10DD">
        <w:rPr>
          <w:rFonts w:eastAsia="Times New Roman" w:cs="Arial"/>
          <w:color w:val="auto"/>
          <w:lang w:eastAsia="en-GB"/>
        </w:rPr>
        <w:t xml:space="preserve"> The code was revised in 2013 to reflect the provisions of the Public Service Pensions Act 2013 and remains a definitive guide to expected standards.  The Code of Practice works in conj</w:t>
      </w:r>
      <w:r w:rsidRPr="000B10DD">
        <w:rPr>
          <w:rFonts w:eastAsia="Times New Roman" w:cs="Arial"/>
          <w:color w:val="auto"/>
          <w:lang w:eastAsia="en-GB"/>
        </w:rPr>
        <w:t xml:space="preserve">unction with detailed Knowledge and Skills Frameworks (KSF) also published by CIPFA which support knowledge and skills development by all those involved in the management and oversight of public sector pension funds. </w:t>
      </w:r>
    </w:p>
    <w:p w:rsidR="000B10DD" w:rsidRPr="000B10DD" w:rsidRDefault="0062660D" w:rsidP="000B10DD">
      <w:pPr>
        <w:spacing w:after="0"/>
        <w:jc w:val="left"/>
        <w:rPr>
          <w:rFonts w:eastAsia="Times New Roman" w:cs="Arial"/>
          <w:color w:val="auto"/>
          <w:lang w:eastAsia="en-GB"/>
        </w:rPr>
      </w:pPr>
    </w:p>
    <w:p w:rsidR="000B10DD" w:rsidRPr="000B10DD" w:rsidRDefault="0062660D" w:rsidP="000B10DD">
      <w:pPr>
        <w:spacing w:after="0"/>
        <w:jc w:val="left"/>
        <w:rPr>
          <w:rFonts w:eastAsia="Times New Roman" w:cs="Arial"/>
          <w:color w:val="auto"/>
          <w:lang w:eastAsia="en-GB"/>
        </w:rPr>
      </w:pPr>
      <w:r w:rsidRPr="000B10DD">
        <w:rPr>
          <w:rFonts w:eastAsia="Times New Roman" w:cs="Arial"/>
          <w:color w:val="auto"/>
          <w:lang w:eastAsia="en-GB"/>
        </w:rPr>
        <w:t>During 2015 a new KSF focussed on the</w:t>
      </w:r>
      <w:r w:rsidRPr="000B10DD">
        <w:rPr>
          <w:rFonts w:eastAsia="Times New Roman" w:cs="Arial"/>
          <w:color w:val="auto"/>
          <w:lang w:eastAsia="en-GB"/>
        </w:rPr>
        <w:t xml:space="preserve"> </w:t>
      </w:r>
      <w:r w:rsidRPr="000B10DD">
        <w:rPr>
          <w:rFonts w:cs="Arial"/>
        </w:rPr>
        <w:t xml:space="preserve">knowledge </w:t>
      </w:r>
      <w:r w:rsidRPr="000B10DD">
        <w:rPr>
          <w:rFonts w:eastAsia="Times New Roman" w:cs="Arial"/>
          <w:color w:val="auto"/>
          <w:lang w:eastAsia="en-GB"/>
        </w:rPr>
        <w:t>requirements of</w:t>
      </w:r>
      <w:r w:rsidRPr="000B10DD">
        <w:rPr>
          <w:rFonts w:cs="Arial"/>
        </w:rPr>
        <w:t xml:space="preserve"> </w:t>
      </w:r>
      <w:r w:rsidRPr="000B10DD">
        <w:rPr>
          <w:rFonts w:eastAsia="Times New Roman" w:cs="Arial"/>
          <w:color w:val="auto"/>
          <w:lang w:eastAsia="en-GB"/>
        </w:rPr>
        <w:t xml:space="preserve">Local Pension Board members has been introduced reflecting </w:t>
      </w:r>
      <w:r w:rsidRPr="000B10DD">
        <w:rPr>
          <w:rFonts w:cs="Arial"/>
        </w:rPr>
        <w:t xml:space="preserve">the Pensions Regulator Code of Practice No 14 which came into force in April 2015. </w:t>
      </w:r>
      <w:r w:rsidRPr="000B10DD">
        <w:rPr>
          <w:rFonts w:eastAsia="Times New Roman" w:cs="Arial"/>
          <w:color w:val="auto"/>
          <w:lang w:eastAsia="en-GB"/>
        </w:rPr>
        <w:t xml:space="preserve"> </w:t>
      </w:r>
    </w:p>
    <w:p w:rsidR="000B10DD" w:rsidRPr="000B10DD" w:rsidRDefault="0062660D" w:rsidP="000B10DD">
      <w:pPr>
        <w:spacing w:after="0"/>
        <w:jc w:val="left"/>
        <w:rPr>
          <w:rFonts w:eastAsia="Times New Roman" w:cs="Arial"/>
          <w:color w:val="auto"/>
          <w:lang w:eastAsia="en-GB"/>
        </w:rPr>
      </w:pPr>
    </w:p>
    <w:p w:rsidR="000B10DD" w:rsidRPr="000B10DD" w:rsidRDefault="0062660D" w:rsidP="000B10DD">
      <w:pPr>
        <w:spacing w:after="0"/>
        <w:jc w:val="left"/>
        <w:rPr>
          <w:rFonts w:eastAsia="Times New Roman" w:cs="Arial"/>
          <w:color w:val="auto"/>
          <w:lang w:eastAsia="en-GB"/>
        </w:rPr>
      </w:pPr>
      <w:r w:rsidRPr="000B10DD">
        <w:rPr>
          <w:rFonts w:cs="Arial"/>
          <w:iCs/>
        </w:rPr>
        <w:t>CIPFA</w:t>
      </w:r>
      <w:r w:rsidRPr="000B10DD">
        <w:rPr>
          <w:rFonts w:cs="Arial"/>
        </w:rPr>
        <w:t xml:space="preserve"> </w:t>
      </w:r>
      <w:r w:rsidRPr="000B10DD">
        <w:rPr>
          <w:rFonts w:cs="Arial"/>
          <w:iCs/>
        </w:rPr>
        <w:t xml:space="preserve">has </w:t>
      </w:r>
      <w:r w:rsidRPr="000B10DD">
        <w:rPr>
          <w:rFonts w:cs="Arial"/>
        </w:rPr>
        <w:t xml:space="preserve">identified a syllabus of 8 core areas of knowledge across </w:t>
      </w:r>
      <w:r w:rsidRPr="000B10DD">
        <w:rPr>
          <w:rFonts w:cs="Arial"/>
          <w:iCs/>
        </w:rPr>
        <w:t xml:space="preserve">the KSFs it has </w:t>
      </w:r>
      <w:r w:rsidRPr="000B10DD">
        <w:rPr>
          <w:rFonts w:cs="Arial"/>
          <w:iCs/>
        </w:rPr>
        <w:t>published to date</w:t>
      </w:r>
      <w:r w:rsidRPr="000B10DD">
        <w:rPr>
          <w:rFonts w:cs="Arial"/>
        </w:rPr>
        <w:t>:</w:t>
      </w:r>
    </w:p>
    <w:p w:rsidR="000B10DD" w:rsidRPr="000B10DD" w:rsidRDefault="0062660D" w:rsidP="000B10DD">
      <w:pPr>
        <w:spacing w:after="0"/>
        <w:ind w:right="656"/>
        <w:jc w:val="left"/>
        <w:rPr>
          <w:rFonts w:eastAsia="Cambria" w:cs="Arial"/>
          <w:lang w:eastAsia="en-GB"/>
        </w:rPr>
      </w:pPr>
    </w:p>
    <w:p w:rsidR="000B10DD" w:rsidRPr="000B10DD" w:rsidRDefault="0062660D" w:rsidP="00CD7572">
      <w:pPr>
        <w:numPr>
          <w:ilvl w:val="0"/>
          <w:numId w:val="32"/>
        </w:numPr>
        <w:spacing w:after="0"/>
        <w:jc w:val="left"/>
        <w:rPr>
          <w:rFonts w:eastAsia="Cambria" w:cs="Arial"/>
          <w:lang w:eastAsia="en-GB"/>
        </w:rPr>
      </w:pPr>
      <w:r w:rsidRPr="000B10DD">
        <w:rPr>
          <w:rFonts w:eastAsia="Cambria" w:cs="Arial"/>
          <w:lang w:eastAsia="en-GB"/>
        </w:rPr>
        <w:t xml:space="preserve">pensions legislation; </w:t>
      </w:r>
    </w:p>
    <w:p w:rsidR="000B10DD" w:rsidRPr="000B10DD" w:rsidRDefault="0062660D" w:rsidP="00CD7572">
      <w:pPr>
        <w:numPr>
          <w:ilvl w:val="0"/>
          <w:numId w:val="32"/>
        </w:numPr>
        <w:spacing w:after="0"/>
        <w:jc w:val="left"/>
        <w:rPr>
          <w:rFonts w:eastAsia="Cambria" w:cs="Arial"/>
          <w:lang w:eastAsia="en-GB"/>
        </w:rPr>
      </w:pPr>
      <w:r w:rsidRPr="000B10DD">
        <w:rPr>
          <w:rFonts w:eastAsia="Cambria" w:cs="Arial"/>
          <w:lang w:eastAsia="en-GB"/>
        </w:rPr>
        <w:t xml:space="preserve">public sector pensions governance; </w:t>
      </w:r>
    </w:p>
    <w:p w:rsidR="000B10DD" w:rsidRPr="000B10DD" w:rsidRDefault="0062660D" w:rsidP="00CD7572">
      <w:pPr>
        <w:numPr>
          <w:ilvl w:val="0"/>
          <w:numId w:val="32"/>
        </w:numPr>
        <w:spacing w:after="0"/>
        <w:jc w:val="left"/>
        <w:rPr>
          <w:rFonts w:eastAsia="Cambria" w:cs="Arial"/>
          <w:lang w:eastAsia="en-GB"/>
        </w:rPr>
      </w:pPr>
      <w:r w:rsidRPr="000B10DD">
        <w:rPr>
          <w:rFonts w:eastAsia="Cambria" w:cs="Arial"/>
          <w:lang w:eastAsia="en-GB"/>
        </w:rPr>
        <w:t xml:space="preserve">pensions administration; </w:t>
      </w:r>
    </w:p>
    <w:p w:rsidR="000B10DD" w:rsidRPr="000B10DD" w:rsidRDefault="0062660D" w:rsidP="00CD7572">
      <w:pPr>
        <w:numPr>
          <w:ilvl w:val="0"/>
          <w:numId w:val="32"/>
        </w:numPr>
        <w:spacing w:after="0"/>
        <w:jc w:val="left"/>
        <w:rPr>
          <w:rFonts w:eastAsia="Cambria" w:cs="Arial"/>
          <w:lang w:eastAsia="en-GB"/>
        </w:rPr>
      </w:pPr>
      <w:r w:rsidRPr="000B10DD">
        <w:rPr>
          <w:rFonts w:eastAsia="Cambria" w:cs="Arial"/>
          <w:lang w:eastAsia="en-GB"/>
        </w:rPr>
        <w:t xml:space="preserve">pensions accounting and auditing standards; </w:t>
      </w:r>
    </w:p>
    <w:p w:rsidR="000B10DD" w:rsidRPr="000B10DD" w:rsidRDefault="0062660D" w:rsidP="00CD7572">
      <w:pPr>
        <w:numPr>
          <w:ilvl w:val="0"/>
          <w:numId w:val="32"/>
        </w:numPr>
        <w:spacing w:after="0"/>
        <w:jc w:val="left"/>
        <w:rPr>
          <w:rFonts w:eastAsia="Cambria" w:cs="Arial"/>
          <w:lang w:eastAsia="en-GB"/>
        </w:rPr>
      </w:pPr>
      <w:r w:rsidRPr="000B10DD">
        <w:rPr>
          <w:rFonts w:eastAsia="Cambria" w:cs="Arial"/>
          <w:lang w:eastAsia="en-GB"/>
        </w:rPr>
        <w:t xml:space="preserve">financial services procurement and relationship management; </w:t>
      </w:r>
    </w:p>
    <w:p w:rsidR="000B10DD" w:rsidRPr="000B10DD" w:rsidRDefault="0062660D" w:rsidP="00CD7572">
      <w:pPr>
        <w:numPr>
          <w:ilvl w:val="0"/>
          <w:numId w:val="32"/>
        </w:numPr>
        <w:spacing w:after="0"/>
        <w:jc w:val="left"/>
        <w:rPr>
          <w:rFonts w:eastAsia="Cambria" w:cs="Arial"/>
          <w:lang w:eastAsia="en-GB"/>
        </w:rPr>
      </w:pPr>
      <w:r w:rsidRPr="000B10DD">
        <w:rPr>
          <w:rFonts w:eastAsia="Cambria" w:cs="Arial"/>
          <w:lang w:eastAsia="en-GB"/>
        </w:rPr>
        <w:t xml:space="preserve">investment performance and risk management; </w:t>
      </w:r>
    </w:p>
    <w:p w:rsidR="000B10DD" w:rsidRPr="000B10DD" w:rsidRDefault="0062660D" w:rsidP="00CD7572">
      <w:pPr>
        <w:numPr>
          <w:ilvl w:val="0"/>
          <w:numId w:val="32"/>
        </w:numPr>
        <w:spacing w:after="0"/>
        <w:jc w:val="left"/>
        <w:rPr>
          <w:rFonts w:eastAsia="Cambria" w:cs="Arial"/>
          <w:lang w:eastAsia="en-GB"/>
        </w:rPr>
      </w:pPr>
      <w:r w:rsidRPr="000B10DD">
        <w:rPr>
          <w:rFonts w:eastAsia="Cambria" w:cs="Arial"/>
          <w:lang w:eastAsia="en-GB"/>
        </w:rPr>
        <w:t xml:space="preserve">financial markets and product knowledge; </w:t>
      </w:r>
    </w:p>
    <w:p w:rsidR="000B10DD" w:rsidRPr="000B10DD" w:rsidRDefault="0062660D" w:rsidP="00CD7572">
      <w:pPr>
        <w:numPr>
          <w:ilvl w:val="0"/>
          <w:numId w:val="32"/>
        </w:numPr>
        <w:spacing w:after="0"/>
        <w:jc w:val="left"/>
        <w:rPr>
          <w:rFonts w:eastAsia="Cambria" w:cs="Arial"/>
          <w:lang w:eastAsia="en-GB"/>
        </w:rPr>
      </w:pPr>
      <w:proofErr w:type="gramStart"/>
      <w:r w:rsidRPr="000B10DD">
        <w:rPr>
          <w:rFonts w:eastAsia="Cambria" w:cs="Arial"/>
          <w:lang w:eastAsia="en-GB"/>
        </w:rPr>
        <w:t>actuarial</w:t>
      </w:r>
      <w:proofErr w:type="gramEnd"/>
      <w:r w:rsidRPr="000B10DD">
        <w:rPr>
          <w:rFonts w:eastAsia="Cambria" w:cs="Arial"/>
          <w:lang w:eastAsia="en-GB"/>
        </w:rPr>
        <w:t xml:space="preserve"> methods, standards and practices. </w:t>
      </w:r>
    </w:p>
    <w:p w:rsidR="00AB648B" w:rsidRPr="00AB648B" w:rsidRDefault="0062660D" w:rsidP="00AB648B">
      <w:pPr>
        <w:autoSpaceDE/>
        <w:autoSpaceDN/>
        <w:adjustRightInd/>
        <w:spacing w:after="0"/>
        <w:jc w:val="left"/>
        <w:rPr>
          <w:rFonts w:eastAsia="Times New Roman" w:cs="Arial"/>
          <w:b/>
          <w:snapToGrid w:val="0"/>
          <w:color w:val="auto"/>
        </w:rPr>
      </w:pPr>
    </w:p>
    <w:p w:rsidR="00AB648B" w:rsidRPr="00AB648B" w:rsidRDefault="0062660D" w:rsidP="00AB648B">
      <w:pPr>
        <w:autoSpaceDE/>
        <w:autoSpaceDN/>
        <w:adjustRightInd/>
        <w:spacing w:after="0"/>
        <w:jc w:val="left"/>
        <w:rPr>
          <w:rFonts w:eastAsia="Times New Roman" w:cs="Arial"/>
          <w:color w:val="auto"/>
          <w:szCs w:val="20"/>
          <w:lang w:eastAsia="en-GB"/>
        </w:rPr>
      </w:pPr>
    </w:p>
    <w:p w:rsidR="00AB648B" w:rsidRPr="00AB648B" w:rsidRDefault="0062660D" w:rsidP="000B10DD">
      <w:pPr>
        <w:spacing w:after="0"/>
        <w:jc w:val="left"/>
        <w:rPr>
          <w:rFonts w:eastAsia="Times New Roman" w:cs="Arial"/>
          <w:b/>
          <w:color w:val="auto"/>
          <w:lang w:eastAsia="en-GB"/>
        </w:rPr>
      </w:pPr>
      <w:r>
        <w:rPr>
          <w:rFonts w:eastAsia="Times New Roman" w:cs="Arial"/>
          <w:b/>
          <w:color w:val="auto"/>
          <w:sz w:val="28"/>
          <w:szCs w:val="28"/>
          <w:lang w:eastAsia="en-GB"/>
        </w:rPr>
        <w:t>Training a</w:t>
      </w:r>
      <w:r w:rsidRPr="00016FC1">
        <w:rPr>
          <w:rFonts w:eastAsia="Times New Roman" w:cs="Arial"/>
          <w:b/>
          <w:color w:val="auto"/>
          <w:sz w:val="28"/>
          <w:szCs w:val="28"/>
          <w:lang w:eastAsia="en-GB"/>
        </w:rPr>
        <w:t>pproach</w:t>
      </w:r>
    </w:p>
    <w:p w:rsidR="000B10DD" w:rsidRPr="000B10DD" w:rsidRDefault="0062660D" w:rsidP="000B10DD">
      <w:pPr>
        <w:autoSpaceDE/>
        <w:autoSpaceDN/>
        <w:adjustRightInd/>
        <w:spacing w:after="0"/>
        <w:jc w:val="left"/>
        <w:rPr>
          <w:rFonts w:eastAsia="Times New Roman" w:cs="Arial"/>
          <w:color w:val="auto"/>
          <w:lang w:eastAsia="en-GB"/>
        </w:rPr>
      </w:pPr>
      <w:r w:rsidRPr="000B10DD">
        <w:rPr>
          <w:rFonts w:eastAsia="Times New Roman" w:cs="Arial"/>
          <w:color w:val="auto"/>
          <w:lang w:eastAsia="en-GB"/>
        </w:rPr>
        <w:t xml:space="preserve">Since its adoption of the CIPFA Code of Practice in February 2012 the Pension Fund Committee has reviewed the Fund's training approach </w:t>
      </w:r>
      <w:r w:rsidRPr="000B10DD">
        <w:rPr>
          <w:rFonts w:eastAsia="Times New Roman" w:cs="Arial"/>
          <w:color w:val="auto"/>
          <w:lang w:val="en-US" w:eastAsia="en-GB"/>
        </w:rPr>
        <w:t>at regular int</w:t>
      </w:r>
      <w:r w:rsidRPr="000B10DD">
        <w:rPr>
          <w:rFonts w:eastAsia="Times New Roman" w:cs="Arial"/>
          <w:color w:val="auto"/>
          <w:lang w:val="en-US" w:eastAsia="en-GB"/>
        </w:rPr>
        <w:t>ervals</w:t>
      </w:r>
      <w:r w:rsidRPr="000B10DD">
        <w:rPr>
          <w:rFonts w:eastAsia="Times New Roman" w:cs="Arial"/>
          <w:color w:val="auto"/>
          <w:lang w:eastAsia="en-GB"/>
        </w:rPr>
        <w:t xml:space="preserve">. During 2015/16 the Committee approved a refreshed Training Policy for the Fund aimed at </w:t>
      </w:r>
      <w:r w:rsidRPr="000B10DD">
        <w:rPr>
          <w:rFonts w:cs="Arial"/>
        </w:rPr>
        <w:t>ensuring the Fund is overseen by individuals who:</w:t>
      </w:r>
    </w:p>
    <w:p w:rsidR="000B10DD" w:rsidRPr="000B10DD" w:rsidRDefault="0062660D" w:rsidP="000B10DD">
      <w:pPr>
        <w:spacing w:after="0"/>
        <w:ind w:right="656"/>
        <w:jc w:val="left"/>
        <w:rPr>
          <w:rFonts w:eastAsia="Cambria" w:cs="Arial"/>
          <w:lang w:eastAsia="en-GB"/>
        </w:rPr>
      </w:pPr>
    </w:p>
    <w:p w:rsidR="000B10DD" w:rsidRPr="000B10DD" w:rsidRDefault="0062660D" w:rsidP="00CD7572">
      <w:pPr>
        <w:numPr>
          <w:ilvl w:val="0"/>
          <w:numId w:val="33"/>
        </w:numPr>
        <w:spacing w:after="0"/>
        <w:ind w:right="656" w:hanging="720"/>
        <w:jc w:val="left"/>
        <w:rPr>
          <w:rFonts w:eastAsia="Cambria" w:cs="Arial"/>
          <w:lang w:eastAsia="en-GB"/>
        </w:rPr>
      </w:pPr>
      <w:r w:rsidRPr="000B10DD">
        <w:rPr>
          <w:rFonts w:cs="Arial"/>
        </w:rPr>
        <w:t>have appropriate levels of knowledge and skill;</w:t>
      </w:r>
      <w:r w:rsidRPr="000B10DD">
        <w:rPr>
          <w:rFonts w:eastAsia="Cambria" w:cs="Arial"/>
          <w:lang w:eastAsia="en-GB"/>
        </w:rPr>
        <w:t xml:space="preserve"> </w:t>
      </w:r>
    </w:p>
    <w:p w:rsidR="000B10DD" w:rsidRPr="000B10DD" w:rsidRDefault="0062660D" w:rsidP="00CD7572">
      <w:pPr>
        <w:numPr>
          <w:ilvl w:val="0"/>
          <w:numId w:val="33"/>
        </w:numPr>
        <w:spacing w:after="0"/>
        <w:ind w:hanging="720"/>
        <w:jc w:val="left"/>
        <w:rPr>
          <w:rFonts w:eastAsia="Cambria" w:cs="Arial"/>
          <w:lang w:eastAsia="en-GB"/>
        </w:rPr>
      </w:pPr>
      <w:r w:rsidRPr="000B10DD">
        <w:rPr>
          <w:rFonts w:eastAsia="Cambria" w:cs="Arial"/>
          <w:lang w:eastAsia="en-GB"/>
        </w:rPr>
        <w:t xml:space="preserve">understand and comply with legislative and other requirements; </w:t>
      </w:r>
    </w:p>
    <w:p w:rsidR="000B10DD" w:rsidRPr="000B10DD" w:rsidRDefault="0062660D" w:rsidP="00CD7572">
      <w:pPr>
        <w:numPr>
          <w:ilvl w:val="0"/>
          <w:numId w:val="33"/>
        </w:numPr>
        <w:spacing w:after="0"/>
        <w:ind w:right="656" w:hanging="720"/>
        <w:jc w:val="left"/>
        <w:rPr>
          <w:rFonts w:eastAsia="Cambria" w:cs="Arial"/>
          <w:lang w:eastAsia="en-GB"/>
        </w:rPr>
      </w:pPr>
      <w:r w:rsidRPr="000B10DD">
        <w:rPr>
          <w:rFonts w:eastAsia="Cambria" w:cs="Arial"/>
          <w:lang w:eastAsia="en-GB"/>
        </w:rPr>
        <w:t xml:space="preserve">act with integrity; </w:t>
      </w:r>
    </w:p>
    <w:p w:rsidR="000B10DD" w:rsidRPr="000B10DD" w:rsidRDefault="0062660D" w:rsidP="00CD7572">
      <w:pPr>
        <w:numPr>
          <w:ilvl w:val="0"/>
          <w:numId w:val="33"/>
        </w:numPr>
        <w:spacing w:after="0"/>
        <w:ind w:right="656" w:hanging="720"/>
        <w:jc w:val="left"/>
        <w:rPr>
          <w:rFonts w:eastAsia="Cambria" w:cs="Arial"/>
          <w:lang w:eastAsia="en-GB"/>
        </w:rPr>
      </w:pPr>
      <w:proofErr w:type="gramStart"/>
      <w:r w:rsidRPr="000B10DD">
        <w:rPr>
          <w:rFonts w:eastAsia="Cambria" w:cs="Arial"/>
          <w:lang w:eastAsia="en-GB"/>
        </w:rPr>
        <w:t>are</w:t>
      </w:r>
      <w:proofErr w:type="gramEnd"/>
      <w:r w:rsidRPr="000B10DD">
        <w:rPr>
          <w:rFonts w:eastAsia="Cambria" w:cs="Arial"/>
          <w:lang w:eastAsia="en-GB"/>
        </w:rPr>
        <w:t xml:space="preserve"> accountable to the Fund’s stakeholders for their decisions.</w:t>
      </w:r>
    </w:p>
    <w:p w:rsidR="000B10DD" w:rsidRPr="000B10DD" w:rsidRDefault="0062660D" w:rsidP="000B10DD">
      <w:pPr>
        <w:autoSpaceDE/>
        <w:autoSpaceDN/>
        <w:adjustRightInd/>
        <w:spacing w:after="0"/>
        <w:jc w:val="left"/>
        <w:rPr>
          <w:rFonts w:eastAsia="Times New Roman" w:cs="Arial"/>
          <w:color w:val="auto"/>
          <w:lang w:eastAsia="en-GB"/>
        </w:rPr>
      </w:pPr>
    </w:p>
    <w:p w:rsidR="000B10DD" w:rsidRPr="000B10DD" w:rsidRDefault="0062660D" w:rsidP="000B10DD">
      <w:pPr>
        <w:spacing w:after="0"/>
        <w:ind w:right="656"/>
        <w:jc w:val="left"/>
        <w:rPr>
          <w:rFonts w:eastAsia="Cambria" w:cs="Arial"/>
          <w:lang w:eastAsia="en-GB"/>
        </w:rPr>
      </w:pPr>
      <w:r w:rsidRPr="000B10DD">
        <w:rPr>
          <w:rFonts w:eastAsia="Times New Roman" w:cs="Arial"/>
          <w:color w:val="auto"/>
          <w:lang w:eastAsia="en-GB"/>
        </w:rPr>
        <w:t xml:space="preserve">The new Policy recognises that the </w:t>
      </w:r>
      <w:r w:rsidRPr="000B10DD">
        <w:rPr>
          <w:rFonts w:eastAsia="Cambria" w:cs="Arial"/>
          <w:lang w:eastAsia="en-GB"/>
        </w:rPr>
        <w:t>competency and performance of senior Officers is assessed under the County Council's Performance Development Review (PDR) process and continuing professional development (CPD) frameworks which uphold the required standards. The new Training Policy therefor</w:t>
      </w:r>
      <w:r w:rsidRPr="000B10DD">
        <w:rPr>
          <w:rFonts w:eastAsia="Cambria" w:cs="Arial"/>
          <w:lang w:eastAsia="en-GB"/>
        </w:rPr>
        <w:t xml:space="preserve">e focusses on the needs of Pension Fund Committee and Lancashire Pension Board members, supporting them to attain levels of knowledge and understanding which underpin robust decision-making and effective oversight. </w:t>
      </w:r>
    </w:p>
    <w:p w:rsidR="000B10DD" w:rsidRPr="000B10DD" w:rsidRDefault="0062660D" w:rsidP="000B10DD">
      <w:pPr>
        <w:autoSpaceDE/>
        <w:autoSpaceDN/>
        <w:adjustRightInd/>
        <w:spacing w:after="0"/>
        <w:jc w:val="left"/>
        <w:rPr>
          <w:rFonts w:eastAsia="Times New Roman" w:cs="Arial"/>
          <w:i/>
          <w:color w:val="auto"/>
          <w:lang w:eastAsia="en-GB"/>
        </w:rPr>
      </w:pPr>
    </w:p>
    <w:p w:rsidR="000B10DD" w:rsidRPr="000B10DD" w:rsidRDefault="0062660D" w:rsidP="000B10DD">
      <w:pPr>
        <w:spacing w:after="0" w:line="242" w:lineRule="auto"/>
        <w:ind w:right="656"/>
        <w:rPr>
          <w:rFonts w:cs="Arial"/>
        </w:rPr>
      </w:pPr>
      <w:r w:rsidRPr="000B10DD">
        <w:rPr>
          <w:rFonts w:cs="Arial"/>
        </w:rPr>
        <w:t xml:space="preserve">The refreshed Training Policy provides </w:t>
      </w:r>
      <w:r w:rsidRPr="000B10DD">
        <w:rPr>
          <w:rFonts w:cs="Arial"/>
        </w:rPr>
        <w:t>a framework for ensuring members receive appropriate support (both collectively and individually) for gaining the knowledge and</w:t>
      </w:r>
      <w:r>
        <w:rPr>
          <w:rFonts w:cs="Arial"/>
        </w:rPr>
        <w:t xml:space="preserve"> </w:t>
      </w:r>
      <w:r w:rsidRPr="000B10DD">
        <w:rPr>
          <w:rFonts w:cs="Arial"/>
        </w:rPr>
        <w:t xml:space="preserve">understanding they need. Training is </w:t>
      </w:r>
      <w:r w:rsidRPr="000B10DD">
        <w:rPr>
          <w:rFonts w:eastAsia="Times New Roman" w:cs="Arial"/>
          <w:color w:val="auto"/>
          <w:lang w:eastAsia="en-GB"/>
        </w:rPr>
        <w:t>responsive to</w:t>
      </w:r>
      <w:r w:rsidRPr="000B10DD">
        <w:rPr>
          <w:rFonts w:cs="Arial"/>
        </w:rPr>
        <w:t xml:space="preserve"> the learning needs of individuals in their different roles and members have</w:t>
      </w:r>
      <w:r w:rsidRPr="000B10DD">
        <w:rPr>
          <w:rFonts w:eastAsia="Times New Roman" w:cs="Arial"/>
          <w:color w:val="auto"/>
          <w:lang w:eastAsia="en-GB"/>
        </w:rPr>
        <w:t xml:space="preserve"> r</w:t>
      </w:r>
      <w:r w:rsidRPr="000B10DD">
        <w:rPr>
          <w:rFonts w:eastAsia="Times New Roman" w:cs="Arial"/>
          <w:color w:val="auto"/>
          <w:lang w:eastAsia="en-GB"/>
        </w:rPr>
        <w:t xml:space="preserve">egular opportunities to build skills and knowledge through </w:t>
      </w:r>
      <w:r w:rsidRPr="000B10DD">
        <w:rPr>
          <w:rFonts w:cs="Arial"/>
        </w:rPr>
        <w:t xml:space="preserve">a range of </w:t>
      </w:r>
      <w:r w:rsidRPr="000B10DD">
        <w:rPr>
          <w:rFonts w:eastAsia="Cambria" w:cs="Arial"/>
          <w:lang w:eastAsia="en-GB"/>
        </w:rPr>
        <w:t xml:space="preserve">methods and approaches including: </w:t>
      </w:r>
    </w:p>
    <w:p w:rsidR="000B10DD" w:rsidRPr="000B10DD" w:rsidRDefault="0062660D" w:rsidP="000B10DD">
      <w:pPr>
        <w:spacing w:after="0"/>
        <w:ind w:right="656"/>
        <w:jc w:val="left"/>
        <w:rPr>
          <w:rFonts w:eastAsia="Cambria" w:cs="Arial"/>
          <w:lang w:eastAsia="en-GB"/>
        </w:rPr>
      </w:pPr>
    </w:p>
    <w:p w:rsidR="000B10DD" w:rsidRPr="000B10DD" w:rsidRDefault="0062660D" w:rsidP="00CD7572">
      <w:pPr>
        <w:numPr>
          <w:ilvl w:val="0"/>
          <w:numId w:val="34"/>
        </w:numPr>
        <w:tabs>
          <w:tab w:val="left" w:pos="709"/>
        </w:tabs>
        <w:spacing w:after="0"/>
        <w:ind w:left="0" w:right="656" w:firstLine="0"/>
        <w:jc w:val="left"/>
        <w:rPr>
          <w:rFonts w:eastAsia="Cambria" w:cs="Arial"/>
          <w:lang w:eastAsia="en-GB"/>
        </w:rPr>
      </w:pPr>
      <w:r w:rsidRPr="000B10DD">
        <w:rPr>
          <w:rFonts w:eastAsia="Cambria" w:cs="Arial"/>
          <w:lang w:eastAsia="en-GB"/>
        </w:rPr>
        <w:t xml:space="preserve">in-house training from officers and/or external advisors </w:t>
      </w:r>
    </w:p>
    <w:p w:rsidR="000B10DD" w:rsidRPr="000B10DD" w:rsidRDefault="0062660D" w:rsidP="00CD7572">
      <w:pPr>
        <w:numPr>
          <w:ilvl w:val="0"/>
          <w:numId w:val="34"/>
        </w:numPr>
        <w:tabs>
          <w:tab w:val="left" w:pos="709"/>
        </w:tabs>
        <w:spacing w:after="0"/>
        <w:ind w:left="0" w:right="656" w:firstLine="0"/>
        <w:jc w:val="left"/>
        <w:rPr>
          <w:rFonts w:eastAsia="Cambria" w:cs="Arial"/>
          <w:lang w:eastAsia="en-GB"/>
        </w:rPr>
      </w:pPr>
      <w:r w:rsidRPr="000B10DD">
        <w:rPr>
          <w:rFonts w:eastAsia="Cambria" w:cs="Arial"/>
          <w:lang w:eastAsia="en-GB"/>
        </w:rPr>
        <w:t xml:space="preserve">external training events by recognised bodies </w:t>
      </w:r>
    </w:p>
    <w:p w:rsidR="000B10DD" w:rsidRPr="000B10DD" w:rsidRDefault="0062660D" w:rsidP="00CD7572">
      <w:pPr>
        <w:numPr>
          <w:ilvl w:val="0"/>
          <w:numId w:val="34"/>
        </w:numPr>
        <w:tabs>
          <w:tab w:val="left" w:pos="709"/>
        </w:tabs>
        <w:spacing w:after="0"/>
        <w:ind w:left="0" w:right="656" w:firstLine="0"/>
        <w:jc w:val="left"/>
        <w:rPr>
          <w:rFonts w:eastAsia="Cambria" w:cs="Arial"/>
          <w:lang w:eastAsia="en-GB"/>
        </w:rPr>
      </w:pPr>
      <w:r w:rsidRPr="000B10DD">
        <w:rPr>
          <w:rFonts w:eastAsia="Cambria" w:cs="Arial"/>
          <w:lang w:eastAsia="en-GB"/>
        </w:rPr>
        <w:t>attendance at external seminars and conferenc</w:t>
      </w:r>
      <w:r w:rsidRPr="000B10DD">
        <w:rPr>
          <w:rFonts w:eastAsia="Cambria" w:cs="Arial"/>
          <w:lang w:eastAsia="en-GB"/>
        </w:rPr>
        <w:t xml:space="preserve">es </w:t>
      </w:r>
    </w:p>
    <w:p w:rsidR="000B10DD" w:rsidRPr="000B10DD" w:rsidRDefault="0062660D" w:rsidP="00CD7572">
      <w:pPr>
        <w:numPr>
          <w:ilvl w:val="0"/>
          <w:numId w:val="34"/>
        </w:numPr>
        <w:tabs>
          <w:tab w:val="left" w:pos="709"/>
        </w:tabs>
        <w:spacing w:after="0"/>
        <w:ind w:right="656" w:hanging="720"/>
        <w:jc w:val="left"/>
        <w:rPr>
          <w:rFonts w:eastAsia="Cambria" w:cs="Arial"/>
          <w:lang w:eastAsia="en-GB"/>
        </w:rPr>
      </w:pPr>
      <w:r w:rsidRPr="000B10DD">
        <w:rPr>
          <w:rFonts w:eastAsia="Cambria" w:cs="Arial"/>
          <w:lang w:eastAsia="en-GB"/>
        </w:rPr>
        <w:t>practical support and guidance through recommended reading and targeted information</w:t>
      </w:r>
    </w:p>
    <w:p w:rsidR="000B10DD" w:rsidRPr="000B10DD" w:rsidRDefault="0062660D" w:rsidP="00CD7572">
      <w:pPr>
        <w:numPr>
          <w:ilvl w:val="0"/>
          <w:numId w:val="34"/>
        </w:numPr>
        <w:tabs>
          <w:tab w:val="left" w:pos="709"/>
        </w:tabs>
        <w:spacing w:after="0"/>
        <w:ind w:right="656" w:hanging="720"/>
        <w:jc w:val="left"/>
        <w:rPr>
          <w:rFonts w:eastAsia="Cambria" w:cs="Arial"/>
          <w:lang w:eastAsia="en-GB"/>
        </w:rPr>
      </w:pPr>
      <w:r w:rsidRPr="000B10DD">
        <w:rPr>
          <w:rFonts w:eastAsia="Cambria" w:cs="Arial"/>
          <w:lang w:eastAsia="en-GB"/>
        </w:rPr>
        <w:t xml:space="preserve">key documents/learning materials made accessible via an online Virtual Reading Room </w:t>
      </w:r>
    </w:p>
    <w:p w:rsidR="000B10DD" w:rsidRPr="000B10DD" w:rsidRDefault="0062660D" w:rsidP="00CD7572">
      <w:pPr>
        <w:numPr>
          <w:ilvl w:val="0"/>
          <w:numId w:val="34"/>
        </w:numPr>
        <w:tabs>
          <w:tab w:val="left" w:pos="709"/>
        </w:tabs>
        <w:spacing w:after="0"/>
        <w:ind w:right="656" w:hanging="720"/>
        <w:jc w:val="left"/>
        <w:rPr>
          <w:rFonts w:eastAsia="Cambria" w:cs="Arial"/>
          <w:lang w:eastAsia="en-GB"/>
        </w:rPr>
      </w:pPr>
      <w:proofErr w:type="gramStart"/>
      <w:r w:rsidRPr="000B10DD">
        <w:rPr>
          <w:rFonts w:eastAsia="Cambria" w:cs="Arial"/>
          <w:lang w:eastAsia="en-GB"/>
        </w:rPr>
        <w:t>access</w:t>
      </w:r>
      <w:proofErr w:type="gramEnd"/>
      <w:r w:rsidRPr="000B10DD">
        <w:rPr>
          <w:rFonts w:eastAsia="Cambria" w:cs="Arial"/>
          <w:lang w:eastAsia="en-GB"/>
        </w:rPr>
        <w:t xml:space="preserve"> to on-line training and assessment modules via the Pensions Regulators Trust</w:t>
      </w:r>
      <w:r w:rsidRPr="000B10DD">
        <w:rPr>
          <w:rFonts w:eastAsia="Cambria" w:cs="Arial"/>
          <w:lang w:eastAsia="en-GB"/>
        </w:rPr>
        <w:t>ee Toolkit.</w:t>
      </w:r>
    </w:p>
    <w:p w:rsidR="000B10DD" w:rsidRPr="000B10DD" w:rsidRDefault="0062660D" w:rsidP="000B10DD">
      <w:pPr>
        <w:spacing w:after="0"/>
        <w:jc w:val="left"/>
        <w:rPr>
          <w:rFonts w:eastAsia="Times New Roman" w:cs="Arial"/>
          <w:color w:val="auto"/>
          <w:lang w:eastAsia="en-GB"/>
        </w:rPr>
      </w:pPr>
    </w:p>
    <w:p w:rsidR="000B10DD" w:rsidRPr="000B10DD" w:rsidRDefault="0062660D" w:rsidP="000B10DD">
      <w:pPr>
        <w:spacing w:after="0"/>
        <w:jc w:val="left"/>
        <w:rPr>
          <w:rFonts w:eastAsia="Times New Roman" w:cs="Arial"/>
          <w:color w:val="auto"/>
          <w:lang w:eastAsia="en-GB"/>
        </w:rPr>
      </w:pPr>
      <w:r w:rsidRPr="000B10DD">
        <w:rPr>
          <w:rFonts w:cs="Arial"/>
        </w:rPr>
        <w:t xml:space="preserve">Committee and Board members are personally responsible for identifying gaps in their knowledge which could prevent them performing their duties effectively. They </w:t>
      </w:r>
      <w:r w:rsidRPr="000B10DD">
        <w:rPr>
          <w:rFonts w:eastAsia="Times New Roman" w:cs="Arial"/>
          <w:color w:val="auto"/>
          <w:lang w:eastAsia="en-GB"/>
        </w:rPr>
        <w:t>are expected to undertake self-directed learning to complement the training provi</w:t>
      </w:r>
      <w:r w:rsidRPr="000B10DD">
        <w:rPr>
          <w:rFonts w:eastAsia="Times New Roman" w:cs="Arial"/>
          <w:color w:val="auto"/>
          <w:lang w:eastAsia="en-GB"/>
        </w:rPr>
        <w:t xml:space="preserve">ded and to seek additional support and advice from fund officers as required. </w:t>
      </w:r>
    </w:p>
    <w:p w:rsidR="000B10DD" w:rsidRPr="000B10DD" w:rsidRDefault="0062660D" w:rsidP="000B10DD">
      <w:pPr>
        <w:keepNext/>
        <w:autoSpaceDE/>
        <w:autoSpaceDN/>
        <w:adjustRightInd/>
        <w:spacing w:after="0"/>
        <w:jc w:val="left"/>
        <w:outlineLvl w:val="4"/>
        <w:rPr>
          <w:rFonts w:eastAsia="Times New Roman" w:cs="Arial"/>
          <w:b/>
          <w:color w:val="auto"/>
          <w:lang w:eastAsia="en-GB"/>
        </w:rPr>
      </w:pPr>
    </w:p>
    <w:p w:rsidR="000B10DD" w:rsidRPr="000B10DD" w:rsidRDefault="0062660D" w:rsidP="000B10DD">
      <w:pPr>
        <w:autoSpaceDE/>
        <w:autoSpaceDN/>
        <w:adjustRightInd/>
        <w:spacing w:after="0"/>
        <w:jc w:val="left"/>
        <w:rPr>
          <w:rFonts w:eastAsia="Times New Roman" w:cs="Arial"/>
          <w:color w:val="auto"/>
          <w:lang w:eastAsia="en-GB"/>
        </w:rPr>
      </w:pPr>
      <w:r w:rsidRPr="000B10DD">
        <w:rPr>
          <w:rFonts w:eastAsia="Times New Roman" w:cs="Arial"/>
          <w:color w:val="auto"/>
          <w:lang w:eastAsia="en-GB"/>
        </w:rPr>
        <w:t>Details of training provided internally and attended externally by members during 2015/16 are given below:</w:t>
      </w:r>
    </w:p>
    <w:tbl>
      <w:tblPr>
        <w:tblStyle w:val="TableGrid31"/>
        <w:tblW w:w="10598" w:type="dxa"/>
        <w:tblLayout w:type="fixed"/>
        <w:tblLook w:val="04A0" w:firstRow="1" w:lastRow="0" w:firstColumn="1" w:lastColumn="0" w:noHBand="0" w:noVBand="1"/>
      </w:tblPr>
      <w:tblGrid>
        <w:gridCol w:w="1696"/>
        <w:gridCol w:w="3090"/>
        <w:gridCol w:w="2439"/>
        <w:gridCol w:w="1955"/>
        <w:gridCol w:w="1418"/>
      </w:tblGrid>
      <w:tr w:rsidR="006A2C17" w:rsidTr="0015659B">
        <w:tc>
          <w:tcPr>
            <w:tcW w:w="1696"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Date</w:t>
            </w:r>
          </w:p>
        </w:tc>
        <w:tc>
          <w:tcPr>
            <w:tcW w:w="3090"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Subject</w:t>
            </w:r>
          </w:p>
        </w:tc>
        <w:tc>
          <w:tcPr>
            <w:tcW w:w="2439"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Training provider</w:t>
            </w:r>
          </w:p>
        </w:tc>
        <w:tc>
          <w:tcPr>
            <w:tcW w:w="1955"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Venue</w:t>
            </w:r>
          </w:p>
        </w:tc>
        <w:tc>
          <w:tcPr>
            <w:tcW w:w="1418"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Number of attendees</w:t>
            </w:r>
          </w:p>
        </w:tc>
      </w:tr>
      <w:tr w:rsidR="006A2C17" w:rsidTr="0015659B">
        <w:tc>
          <w:tcPr>
            <w:tcW w:w="1696" w:type="dxa"/>
          </w:tcPr>
          <w:p w:rsidR="000B10DD" w:rsidRPr="000B10DD" w:rsidRDefault="0062660D" w:rsidP="000B10DD">
            <w:pPr>
              <w:autoSpaceDE/>
              <w:autoSpaceDN/>
              <w:adjustRightInd/>
              <w:spacing w:after="0"/>
              <w:rPr>
                <w:rFonts w:ascii="Arial" w:eastAsia="Times New Roman" w:hAnsi="Arial" w:cs="Arial"/>
                <w:color w:val="auto"/>
                <w:lang w:eastAsia="en-GB"/>
              </w:rPr>
            </w:pPr>
            <w:r w:rsidRPr="000B10DD">
              <w:rPr>
                <w:rFonts w:ascii="Arial" w:eastAsia="Times New Roman" w:hAnsi="Arial" w:cs="Arial"/>
                <w:color w:val="auto"/>
                <w:lang w:eastAsia="en-GB"/>
              </w:rPr>
              <w:t>5/06/2015</w:t>
            </w:r>
          </w:p>
        </w:tc>
        <w:tc>
          <w:tcPr>
            <w:tcW w:w="3090"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Top 5 Pension Fund Discretions</w:t>
            </w:r>
          </w:p>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(Pensions Administration)</w:t>
            </w:r>
          </w:p>
        </w:tc>
        <w:tc>
          <w:tcPr>
            <w:tcW w:w="2439"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Internal – Your Pensions Service</w:t>
            </w:r>
          </w:p>
        </w:tc>
        <w:tc>
          <w:tcPr>
            <w:tcW w:w="1955"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Winckley House - Preston</w:t>
            </w:r>
          </w:p>
        </w:tc>
        <w:tc>
          <w:tcPr>
            <w:tcW w:w="1418" w:type="dxa"/>
          </w:tcPr>
          <w:p w:rsidR="000B10DD" w:rsidRPr="000B10DD" w:rsidRDefault="0062660D" w:rsidP="000B10DD">
            <w:pPr>
              <w:autoSpaceDE/>
              <w:autoSpaceDN/>
              <w:adjustRightInd/>
              <w:spacing w:after="0"/>
              <w:jc w:val="center"/>
              <w:rPr>
                <w:rFonts w:ascii="Arial" w:eastAsia="Times New Roman" w:hAnsi="Arial" w:cs="Arial"/>
                <w:color w:val="auto"/>
                <w:lang w:eastAsia="en-GB"/>
              </w:rPr>
            </w:pPr>
            <w:r w:rsidRPr="000B10DD">
              <w:rPr>
                <w:rFonts w:ascii="Arial" w:eastAsia="Times New Roman" w:hAnsi="Arial" w:cs="Arial"/>
                <w:color w:val="auto"/>
                <w:lang w:eastAsia="en-GB"/>
              </w:rPr>
              <w:t>20</w:t>
            </w:r>
          </w:p>
        </w:tc>
      </w:tr>
      <w:tr w:rsidR="006A2C17" w:rsidTr="0015659B">
        <w:tc>
          <w:tcPr>
            <w:tcW w:w="1696" w:type="dxa"/>
          </w:tcPr>
          <w:p w:rsidR="000B10DD" w:rsidRPr="000B10DD" w:rsidRDefault="0062660D" w:rsidP="000B10DD">
            <w:pPr>
              <w:autoSpaceDE/>
              <w:autoSpaceDN/>
              <w:adjustRightInd/>
              <w:spacing w:after="0"/>
              <w:rPr>
                <w:rFonts w:ascii="Arial" w:eastAsia="Times New Roman" w:hAnsi="Arial" w:cs="Arial"/>
                <w:color w:val="auto"/>
                <w:lang w:eastAsia="en-GB"/>
              </w:rPr>
            </w:pPr>
            <w:r w:rsidRPr="000B10DD">
              <w:rPr>
                <w:rFonts w:ascii="Arial" w:eastAsia="Times New Roman" w:hAnsi="Arial" w:cs="Arial"/>
                <w:color w:val="auto"/>
                <w:lang w:eastAsia="en-GB"/>
              </w:rPr>
              <w:t>18/06/2015</w:t>
            </w:r>
          </w:p>
        </w:tc>
        <w:tc>
          <w:tcPr>
            <w:tcW w:w="3090"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Initial Training for Pension Board Members</w:t>
            </w:r>
          </w:p>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(Governance)</w:t>
            </w:r>
          </w:p>
        </w:tc>
        <w:tc>
          <w:tcPr>
            <w:tcW w:w="2439"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Hymans Robertson</w:t>
            </w:r>
          </w:p>
        </w:tc>
        <w:tc>
          <w:tcPr>
            <w:tcW w:w="1955"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County Hall, Preston</w:t>
            </w:r>
          </w:p>
        </w:tc>
        <w:tc>
          <w:tcPr>
            <w:tcW w:w="1418" w:type="dxa"/>
          </w:tcPr>
          <w:p w:rsidR="000B10DD" w:rsidRPr="000B10DD" w:rsidRDefault="0062660D" w:rsidP="000B10DD">
            <w:pPr>
              <w:autoSpaceDE/>
              <w:autoSpaceDN/>
              <w:adjustRightInd/>
              <w:spacing w:after="0"/>
              <w:jc w:val="center"/>
              <w:rPr>
                <w:rFonts w:ascii="Arial" w:eastAsia="Times New Roman" w:hAnsi="Arial" w:cs="Arial"/>
                <w:color w:val="auto"/>
                <w:lang w:eastAsia="en-GB"/>
              </w:rPr>
            </w:pPr>
            <w:r w:rsidRPr="000B10DD">
              <w:rPr>
                <w:rFonts w:ascii="Arial" w:eastAsia="Times New Roman" w:hAnsi="Arial" w:cs="Arial"/>
                <w:color w:val="auto"/>
                <w:lang w:eastAsia="en-GB"/>
              </w:rPr>
              <w:t>9</w:t>
            </w:r>
          </w:p>
        </w:tc>
      </w:tr>
      <w:tr w:rsidR="006A2C17" w:rsidTr="0015659B">
        <w:tc>
          <w:tcPr>
            <w:tcW w:w="1696"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24/09/2015</w:t>
            </w:r>
          </w:p>
        </w:tc>
        <w:tc>
          <w:tcPr>
            <w:tcW w:w="3090"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 xml:space="preserve">Pension Fund </w:t>
            </w:r>
            <w:r w:rsidRPr="000B10DD">
              <w:rPr>
                <w:rFonts w:ascii="Arial" w:eastAsia="Times New Roman" w:hAnsi="Arial" w:cs="Arial"/>
                <w:color w:val="auto"/>
                <w:lang w:eastAsia="en-GB"/>
              </w:rPr>
              <w:t>Basics (Pensions Administration)</w:t>
            </w:r>
          </w:p>
        </w:tc>
        <w:tc>
          <w:tcPr>
            <w:tcW w:w="2439"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Internal – Your Pensions Service</w:t>
            </w:r>
          </w:p>
        </w:tc>
        <w:tc>
          <w:tcPr>
            <w:tcW w:w="1955"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County Hall, Preston</w:t>
            </w:r>
          </w:p>
        </w:tc>
        <w:tc>
          <w:tcPr>
            <w:tcW w:w="1418" w:type="dxa"/>
          </w:tcPr>
          <w:p w:rsidR="000B10DD" w:rsidRPr="000B10DD" w:rsidRDefault="0062660D" w:rsidP="000B10DD">
            <w:pPr>
              <w:autoSpaceDE/>
              <w:autoSpaceDN/>
              <w:adjustRightInd/>
              <w:spacing w:after="0"/>
              <w:jc w:val="center"/>
              <w:rPr>
                <w:rFonts w:ascii="Arial" w:eastAsia="Times New Roman" w:hAnsi="Arial" w:cs="Arial"/>
                <w:color w:val="auto"/>
                <w:lang w:eastAsia="en-GB"/>
              </w:rPr>
            </w:pPr>
            <w:r w:rsidRPr="000B10DD">
              <w:rPr>
                <w:rFonts w:ascii="Arial" w:eastAsia="Times New Roman" w:hAnsi="Arial" w:cs="Arial"/>
                <w:color w:val="auto"/>
                <w:lang w:eastAsia="en-GB"/>
              </w:rPr>
              <w:t>12</w:t>
            </w:r>
          </w:p>
        </w:tc>
      </w:tr>
      <w:tr w:rsidR="006A2C17" w:rsidTr="0015659B">
        <w:tc>
          <w:tcPr>
            <w:tcW w:w="1696"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25/09/2015</w:t>
            </w:r>
          </w:p>
        </w:tc>
        <w:tc>
          <w:tcPr>
            <w:tcW w:w="3090"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Introduction to the Local Government Pension Scheme (Governance, Legislation)</w:t>
            </w:r>
          </w:p>
        </w:tc>
        <w:tc>
          <w:tcPr>
            <w:tcW w:w="2439"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CIPFA Pensions Network</w:t>
            </w:r>
          </w:p>
        </w:tc>
        <w:tc>
          <w:tcPr>
            <w:tcW w:w="1955"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Northern Trust Offices</w:t>
            </w:r>
          </w:p>
        </w:tc>
        <w:tc>
          <w:tcPr>
            <w:tcW w:w="1418" w:type="dxa"/>
          </w:tcPr>
          <w:p w:rsidR="000B10DD" w:rsidRPr="000B10DD" w:rsidRDefault="0062660D" w:rsidP="000B10DD">
            <w:pPr>
              <w:autoSpaceDE/>
              <w:autoSpaceDN/>
              <w:adjustRightInd/>
              <w:spacing w:after="0"/>
              <w:jc w:val="center"/>
              <w:rPr>
                <w:rFonts w:ascii="Arial" w:eastAsia="Times New Roman" w:hAnsi="Arial" w:cs="Arial"/>
                <w:color w:val="auto"/>
                <w:lang w:eastAsia="en-GB"/>
              </w:rPr>
            </w:pPr>
            <w:r w:rsidRPr="000B10DD">
              <w:rPr>
                <w:rFonts w:ascii="Arial" w:eastAsia="Times New Roman" w:hAnsi="Arial" w:cs="Arial"/>
                <w:color w:val="auto"/>
                <w:lang w:eastAsia="en-GB"/>
              </w:rPr>
              <w:t>2</w:t>
            </w:r>
          </w:p>
        </w:tc>
      </w:tr>
      <w:tr w:rsidR="006A2C17" w:rsidTr="0015659B">
        <w:tc>
          <w:tcPr>
            <w:tcW w:w="1696"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30/09/2015</w:t>
            </w:r>
          </w:p>
        </w:tc>
        <w:tc>
          <w:tcPr>
            <w:tcW w:w="3090"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 xml:space="preserve">2016 Fund </w:t>
            </w:r>
            <w:r w:rsidRPr="000B10DD">
              <w:rPr>
                <w:rFonts w:ascii="Arial" w:eastAsia="Times New Roman" w:hAnsi="Arial" w:cs="Arial"/>
                <w:color w:val="auto"/>
                <w:lang w:eastAsia="en-GB"/>
              </w:rPr>
              <w:t>Valuation (Actuarial Methods)</w:t>
            </w:r>
          </w:p>
        </w:tc>
        <w:tc>
          <w:tcPr>
            <w:tcW w:w="2439"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Mercers</w:t>
            </w:r>
          </w:p>
        </w:tc>
        <w:tc>
          <w:tcPr>
            <w:tcW w:w="1955"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County Hall, Preston</w:t>
            </w:r>
          </w:p>
        </w:tc>
        <w:tc>
          <w:tcPr>
            <w:tcW w:w="1418" w:type="dxa"/>
          </w:tcPr>
          <w:p w:rsidR="000B10DD" w:rsidRPr="000B10DD" w:rsidRDefault="0062660D" w:rsidP="000B10DD">
            <w:pPr>
              <w:autoSpaceDE/>
              <w:autoSpaceDN/>
              <w:adjustRightInd/>
              <w:spacing w:after="0"/>
              <w:jc w:val="center"/>
              <w:rPr>
                <w:rFonts w:ascii="Arial" w:eastAsia="Times New Roman" w:hAnsi="Arial" w:cs="Arial"/>
                <w:color w:val="auto"/>
                <w:lang w:eastAsia="en-GB"/>
              </w:rPr>
            </w:pPr>
            <w:r w:rsidRPr="000B10DD">
              <w:rPr>
                <w:rFonts w:ascii="Arial" w:eastAsia="Times New Roman" w:hAnsi="Arial" w:cs="Arial"/>
                <w:color w:val="auto"/>
                <w:lang w:eastAsia="en-GB"/>
              </w:rPr>
              <w:t>14</w:t>
            </w:r>
          </w:p>
        </w:tc>
      </w:tr>
      <w:tr w:rsidR="006A2C17" w:rsidTr="0015659B">
        <w:tc>
          <w:tcPr>
            <w:tcW w:w="1696"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01/10/2015</w:t>
            </w:r>
          </w:p>
        </w:tc>
        <w:tc>
          <w:tcPr>
            <w:tcW w:w="3090"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CIPFA Pensions Network Seminar</w:t>
            </w:r>
          </w:p>
        </w:tc>
        <w:tc>
          <w:tcPr>
            <w:tcW w:w="2439"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CIPFA</w:t>
            </w:r>
          </w:p>
        </w:tc>
        <w:tc>
          <w:tcPr>
            <w:tcW w:w="1955"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Midland Hotel- Manchester</w:t>
            </w:r>
          </w:p>
        </w:tc>
        <w:tc>
          <w:tcPr>
            <w:tcW w:w="1418" w:type="dxa"/>
          </w:tcPr>
          <w:p w:rsidR="000B10DD" w:rsidRPr="000B10DD" w:rsidRDefault="0062660D" w:rsidP="000B10DD">
            <w:pPr>
              <w:autoSpaceDE/>
              <w:autoSpaceDN/>
              <w:adjustRightInd/>
              <w:spacing w:after="0"/>
              <w:jc w:val="center"/>
              <w:rPr>
                <w:rFonts w:ascii="Arial" w:eastAsia="Times New Roman" w:hAnsi="Arial" w:cs="Arial"/>
                <w:color w:val="auto"/>
                <w:lang w:eastAsia="en-GB"/>
              </w:rPr>
            </w:pPr>
            <w:r w:rsidRPr="000B10DD">
              <w:rPr>
                <w:rFonts w:ascii="Arial" w:eastAsia="Times New Roman" w:hAnsi="Arial" w:cs="Arial"/>
                <w:color w:val="auto"/>
                <w:lang w:eastAsia="en-GB"/>
              </w:rPr>
              <w:t>1</w:t>
            </w:r>
          </w:p>
        </w:tc>
      </w:tr>
      <w:tr w:rsidR="006A2C17" w:rsidTr="0015659B">
        <w:tc>
          <w:tcPr>
            <w:tcW w:w="1696"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14/10/2015 -16/10/2015</w:t>
            </w:r>
          </w:p>
        </w:tc>
        <w:tc>
          <w:tcPr>
            <w:tcW w:w="3090"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NAPF Annual Conference</w:t>
            </w:r>
          </w:p>
        </w:tc>
        <w:tc>
          <w:tcPr>
            <w:tcW w:w="2439"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NAPF</w:t>
            </w:r>
          </w:p>
        </w:tc>
        <w:tc>
          <w:tcPr>
            <w:tcW w:w="1955"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Manchester</w:t>
            </w:r>
          </w:p>
        </w:tc>
        <w:tc>
          <w:tcPr>
            <w:tcW w:w="1418" w:type="dxa"/>
          </w:tcPr>
          <w:p w:rsidR="000B10DD" w:rsidRPr="000B10DD" w:rsidRDefault="0062660D" w:rsidP="000B10DD">
            <w:pPr>
              <w:autoSpaceDE/>
              <w:autoSpaceDN/>
              <w:adjustRightInd/>
              <w:spacing w:after="0"/>
              <w:jc w:val="center"/>
              <w:rPr>
                <w:rFonts w:ascii="Arial" w:eastAsia="Times New Roman" w:hAnsi="Arial" w:cs="Arial"/>
                <w:color w:val="auto"/>
                <w:lang w:eastAsia="en-GB"/>
              </w:rPr>
            </w:pPr>
            <w:r w:rsidRPr="000B10DD">
              <w:rPr>
                <w:rFonts w:ascii="Arial" w:eastAsia="Times New Roman" w:hAnsi="Arial" w:cs="Arial"/>
                <w:color w:val="auto"/>
                <w:lang w:eastAsia="en-GB"/>
              </w:rPr>
              <w:t>3</w:t>
            </w:r>
          </w:p>
        </w:tc>
      </w:tr>
      <w:tr w:rsidR="006A2C17" w:rsidTr="0015659B">
        <w:tc>
          <w:tcPr>
            <w:tcW w:w="1696" w:type="dxa"/>
          </w:tcPr>
          <w:p w:rsidR="000B10DD" w:rsidRPr="000B10DD" w:rsidRDefault="0062660D" w:rsidP="000B10DD">
            <w:pPr>
              <w:autoSpaceDE/>
              <w:autoSpaceDN/>
              <w:adjustRightInd/>
              <w:spacing w:after="0"/>
              <w:rPr>
                <w:rFonts w:ascii="Arial" w:eastAsia="Times New Roman" w:hAnsi="Arial" w:cs="Arial"/>
                <w:color w:val="auto"/>
                <w:lang w:eastAsia="en-GB"/>
              </w:rPr>
            </w:pPr>
            <w:r w:rsidRPr="000B10DD">
              <w:rPr>
                <w:rFonts w:ascii="Arial" w:eastAsia="Times New Roman" w:hAnsi="Arial" w:cs="Arial"/>
                <w:color w:val="auto"/>
                <w:lang w:eastAsia="en-GB"/>
              </w:rPr>
              <w:t>16/10/2105</w:t>
            </w:r>
          </w:p>
        </w:tc>
        <w:tc>
          <w:tcPr>
            <w:tcW w:w="3090"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LGPS Investment Pooling Event</w:t>
            </w:r>
          </w:p>
        </w:tc>
        <w:tc>
          <w:tcPr>
            <w:tcW w:w="2439"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 xml:space="preserve">Local </w:t>
            </w:r>
            <w:r w:rsidRPr="000B10DD">
              <w:rPr>
                <w:rFonts w:ascii="Arial" w:eastAsia="Times New Roman" w:hAnsi="Arial" w:cs="Arial"/>
                <w:color w:val="auto"/>
                <w:lang w:eastAsia="en-GB"/>
              </w:rPr>
              <w:t>Govt. Assoc.</w:t>
            </w:r>
          </w:p>
        </w:tc>
        <w:tc>
          <w:tcPr>
            <w:tcW w:w="1955"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LGA House, London</w:t>
            </w:r>
          </w:p>
        </w:tc>
        <w:tc>
          <w:tcPr>
            <w:tcW w:w="1418" w:type="dxa"/>
          </w:tcPr>
          <w:p w:rsidR="000B10DD" w:rsidRPr="000B10DD" w:rsidRDefault="0062660D" w:rsidP="000B10DD">
            <w:pPr>
              <w:autoSpaceDE/>
              <w:autoSpaceDN/>
              <w:adjustRightInd/>
              <w:spacing w:after="0"/>
              <w:jc w:val="center"/>
              <w:rPr>
                <w:rFonts w:ascii="Arial" w:eastAsia="Times New Roman" w:hAnsi="Arial" w:cs="Arial"/>
                <w:color w:val="auto"/>
                <w:lang w:eastAsia="en-GB"/>
              </w:rPr>
            </w:pPr>
            <w:r w:rsidRPr="000B10DD">
              <w:rPr>
                <w:rFonts w:ascii="Arial" w:eastAsia="Times New Roman" w:hAnsi="Arial" w:cs="Arial"/>
                <w:color w:val="auto"/>
                <w:lang w:eastAsia="en-GB"/>
              </w:rPr>
              <w:t>1</w:t>
            </w:r>
          </w:p>
        </w:tc>
      </w:tr>
      <w:tr w:rsidR="006A2C17" w:rsidTr="0015659B">
        <w:tc>
          <w:tcPr>
            <w:tcW w:w="1696"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20/10/2015 -</w:t>
            </w:r>
          </w:p>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22/10/2015</w:t>
            </w:r>
          </w:p>
        </w:tc>
        <w:tc>
          <w:tcPr>
            <w:tcW w:w="3090"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13</w:t>
            </w:r>
            <w:r w:rsidRPr="000B10DD">
              <w:rPr>
                <w:rFonts w:ascii="Arial" w:eastAsia="Times New Roman" w:hAnsi="Arial" w:cs="Arial"/>
                <w:color w:val="auto"/>
                <w:vertAlign w:val="superscript"/>
                <w:lang w:eastAsia="en-GB"/>
              </w:rPr>
              <w:t>th</w:t>
            </w:r>
            <w:r w:rsidRPr="000B10DD">
              <w:rPr>
                <w:rFonts w:ascii="Arial" w:eastAsia="Times New Roman" w:hAnsi="Arial" w:cs="Arial"/>
                <w:color w:val="auto"/>
                <w:lang w:eastAsia="en-GB"/>
              </w:rPr>
              <w:t xml:space="preserve"> Annual Local Govt. Pension Investment Forum</w:t>
            </w:r>
          </w:p>
        </w:tc>
        <w:tc>
          <w:tcPr>
            <w:tcW w:w="2439"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IBC</w:t>
            </w:r>
          </w:p>
        </w:tc>
        <w:tc>
          <w:tcPr>
            <w:tcW w:w="1955"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Guoman Tower, London.</w:t>
            </w:r>
          </w:p>
        </w:tc>
        <w:tc>
          <w:tcPr>
            <w:tcW w:w="1418" w:type="dxa"/>
          </w:tcPr>
          <w:p w:rsidR="000B10DD" w:rsidRPr="000B10DD" w:rsidRDefault="0062660D" w:rsidP="000B10DD">
            <w:pPr>
              <w:autoSpaceDE/>
              <w:autoSpaceDN/>
              <w:adjustRightInd/>
              <w:spacing w:after="0"/>
              <w:jc w:val="center"/>
              <w:rPr>
                <w:rFonts w:ascii="Arial" w:eastAsia="Times New Roman" w:hAnsi="Arial" w:cs="Arial"/>
                <w:color w:val="auto"/>
                <w:lang w:eastAsia="en-GB"/>
              </w:rPr>
            </w:pPr>
            <w:r w:rsidRPr="000B10DD">
              <w:rPr>
                <w:rFonts w:ascii="Arial" w:eastAsia="Times New Roman" w:hAnsi="Arial" w:cs="Arial"/>
                <w:color w:val="auto"/>
                <w:lang w:eastAsia="en-GB"/>
              </w:rPr>
              <w:t>4</w:t>
            </w:r>
          </w:p>
        </w:tc>
      </w:tr>
      <w:tr w:rsidR="006A2C17" w:rsidTr="0015659B">
        <w:tc>
          <w:tcPr>
            <w:tcW w:w="1696"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29/10/2015</w:t>
            </w:r>
          </w:p>
        </w:tc>
        <w:tc>
          <w:tcPr>
            <w:tcW w:w="3090"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 xml:space="preserve">Pensions Reform </w:t>
            </w:r>
          </w:p>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(Pension Legislation)</w:t>
            </w:r>
          </w:p>
        </w:tc>
        <w:tc>
          <w:tcPr>
            <w:tcW w:w="2439"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Internal – Your Pensions Service</w:t>
            </w:r>
          </w:p>
        </w:tc>
        <w:tc>
          <w:tcPr>
            <w:tcW w:w="1955"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County Hall, Preston</w:t>
            </w:r>
          </w:p>
        </w:tc>
        <w:tc>
          <w:tcPr>
            <w:tcW w:w="1418" w:type="dxa"/>
          </w:tcPr>
          <w:p w:rsidR="000B10DD" w:rsidRPr="000B10DD" w:rsidRDefault="0062660D" w:rsidP="000B10DD">
            <w:pPr>
              <w:autoSpaceDE/>
              <w:autoSpaceDN/>
              <w:adjustRightInd/>
              <w:spacing w:after="0"/>
              <w:jc w:val="center"/>
              <w:rPr>
                <w:rFonts w:ascii="Arial" w:eastAsia="Times New Roman" w:hAnsi="Arial" w:cs="Arial"/>
                <w:color w:val="auto"/>
                <w:lang w:eastAsia="en-GB"/>
              </w:rPr>
            </w:pPr>
            <w:r w:rsidRPr="000B10DD">
              <w:rPr>
                <w:rFonts w:ascii="Arial" w:eastAsia="Times New Roman" w:hAnsi="Arial" w:cs="Arial"/>
                <w:color w:val="auto"/>
                <w:lang w:eastAsia="en-GB"/>
              </w:rPr>
              <w:t>16</w:t>
            </w:r>
          </w:p>
        </w:tc>
      </w:tr>
      <w:tr w:rsidR="006A2C17" w:rsidTr="0015659B">
        <w:tc>
          <w:tcPr>
            <w:tcW w:w="1696"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3/11/2015</w:t>
            </w:r>
          </w:p>
        </w:tc>
        <w:tc>
          <w:tcPr>
            <w:tcW w:w="3090"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NAPF Local Authority Forum</w:t>
            </w:r>
          </w:p>
        </w:tc>
        <w:tc>
          <w:tcPr>
            <w:tcW w:w="2439"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NAPF</w:t>
            </w:r>
          </w:p>
        </w:tc>
        <w:tc>
          <w:tcPr>
            <w:tcW w:w="1955"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Cheapside House, London</w:t>
            </w:r>
          </w:p>
        </w:tc>
        <w:tc>
          <w:tcPr>
            <w:tcW w:w="1418" w:type="dxa"/>
          </w:tcPr>
          <w:p w:rsidR="000B10DD" w:rsidRPr="000B10DD" w:rsidRDefault="0062660D" w:rsidP="000B10DD">
            <w:pPr>
              <w:autoSpaceDE/>
              <w:autoSpaceDN/>
              <w:adjustRightInd/>
              <w:spacing w:after="0"/>
              <w:jc w:val="center"/>
              <w:rPr>
                <w:rFonts w:ascii="Arial" w:eastAsia="Times New Roman" w:hAnsi="Arial" w:cs="Arial"/>
                <w:color w:val="auto"/>
                <w:lang w:eastAsia="en-GB"/>
              </w:rPr>
            </w:pPr>
            <w:r w:rsidRPr="000B10DD">
              <w:rPr>
                <w:rFonts w:ascii="Arial" w:eastAsia="Times New Roman" w:hAnsi="Arial" w:cs="Arial"/>
                <w:color w:val="auto"/>
                <w:lang w:eastAsia="en-GB"/>
              </w:rPr>
              <w:t>1</w:t>
            </w:r>
          </w:p>
        </w:tc>
      </w:tr>
      <w:tr w:rsidR="006A2C17" w:rsidTr="0015659B">
        <w:tc>
          <w:tcPr>
            <w:tcW w:w="1696"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10/11/2015</w:t>
            </w:r>
          </w:p>
        </w:tc>
        <w:tc>
          <w:tcPr>
            <w:tcW w:w="3090"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Meeting the Financial Challenge of Local Govt. Pensions</w:t>
            </w:r>
          </w:p>
        </w:tc>
        <w:tc>
          <w:tcPr>
            <w:tcW w:w="2439"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LGA</w:t>
            </w:r>
          </w:p>
        </w:tc>
        <w:tc>
          <w:tcPr>
            <w:tcW w:w="1955"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Local Government House</w:t>
            </w:r>
          </w:p>
        </w:tc>
        <w:tc>
          <w:tcPr>
            <w:tcW w:w="1418" w:type="dxa"/>
          </w:tcPr>
          <w:p w:rsidR="000B10DD" w:rsidRPr="000B10DD" w:rsidRDefault="0062660D" w:rsidP="000B10DD">
            <w:pPr>
              <w:autoSpaceDE/>
              <w:autoSpaceDN/>
              <w:adjustRightInd/>
              <w:spacing w:after="0"/>
              <w:jc w:val="center"/>
              <w:rPr>
                <w:rFonts w:ascii="Arial" w:eastAsia="Times New Roman" w:hAnsi="Arial" w:cs="Arial"/>
                <w:color w:val="auto"/>
                <w:lang w:eastAsia="en-GB"/>
              </w:rPr>
            </w:pPr>
            <w:r w:rsidRPr="000B10DD">
              <w:rPr>
                <w:rFonts w:ascii="Arial" w:eastAsia="Times New Roman" w:hAnsi="Arial" w:cs="Arial"/>
                <w:color w:val="auto"/>
                <w:lang w:eastAsia="en-GB"/>
              </w:rPr>
              <w:t>2</w:t>
            </w:r>
          </w:p>
        </w:tc>
      </w:tr>
    </w:tbl>
    <w:p w:rsidR="00AB648B" w:rsidRDefault="0062660D" w:rsidP="000B10DD">
      <w:pPr>
        <w:tabs>
          <w:tab w:val="left" w:pos="975"/>
        </w:tabs>
        <w:rPr>
          <w:rFonts w:cs="Arial"/>
        </w:rPr>
      </w:pPr>
    </w:p>
    <w:tbl>
      <w:tblPr>
        <w:tblStyle w:val="TableGrid32"/>
        <w:tblW w:w="10598" w:type="dxa"/>
        <w:tblLayout w:type="fixed"/>
        <w:tblLook w:val="04A0" w:firstRow="1" w:lastRow="0" w:firstColumn="1" w:lastColumn="0" w:noHBand="0" w:noVBand="1"/>
      </w:tblPr>
      <w:tblGrid>
        <w:gridCol w:w="1696"/>
        <w:gridCol w:w="3090"/>
        <w:gridCol w:w="2439"/>
        <w:gridCol w:w="1955"/>
        <w:gridCol w:w="1418"/>
      </w:tblGrid>
      <w:tr w:rsidR="006A2C17" w:rsidTr="0015659B">
        <w:tc>
          <w:tcPr>
            <w:tcW w:w="1696"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19/11/2015</w:t>
            </w:r>
          </w:p>
        </w:tc>
        <w:tc>
          <w:tcPr>
            <w:tcW w:w="3090"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Risk and Valuation Part 1</w:t>
            </w:r>
          </w:p>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(Risk, Actuarial Methods)</w:t>
            </w:r>
          </w:p>
        </w:tc>
        <w:tc>
          <w:tcPr>
            <w:tcW w:w="2439"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Internal – Your Pensions Service</w:t>
            </w:r>
          </w:p>
        </w:tc>
        <w:tc>
          <w:tcPr>
            <w:tcW w:w="1955"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County Hall, Preston</w:t>
            </w:r>
          </w:p>
        </w:tc>
        <w:tc>
          <w:tcPr>
            <w:tcW w:w="1418" w:type="dxa"/>
          </w:tcPr>
          <w:p w:rsidR="000B10DD" w:rsidRPr="000B10DD" w:rsidRDefault="0062660D" w:rsidP="000B10DD">
            <w:pPr>
              <w:autoSpaceDE/>
              <w:autoSpaceDN/>
              <w:adjustRightInd/>
              <w:spacing w:after="0"/>
              <w:jc w:val="center"/>
              <w:rPr>
                <w:rFonts w:ascii="Arial" w:eastAsia="Times New Roman" w:hAnsi="Arial" w:cs="Arial"/>
                <w:color w:val="auto"/>
                <w:lang w:eastAsia="en-GB"/>
              </w:rPr>
            </w:pPr>
            <w:r w:rsidRPr="000B10DD">
              <w:rPr>
                <w:rFonts w:ascii="Arial" w:eastAsia="Times New Roman" w:hAnsi="Arial" w:cs="Arial"/>
                <w:color w:val="auto"/>
                <w:lang w:eastAsia="en-GB"/>
              </w:rPr>
              <w:t>20</w:t>
            </w:r>
          </w:p>
        </w:tc>
      </w:tr>
      <w:tr w:rsidR="006A2C17" w:rsidTr="0015659B">
        <w:tc>
          <w:tcPr>
            <w:tcW w:w="1696"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27/11/2015</w:t>
            </w:r>
          </w:p>
        </w:tc>
        <w:tc>
          <w:tcPr>
            <w:tcW w:w="3090"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A Direct Investment – Vasco (procurement &amp; relationships, risk management)</w:t>
            </w:r>
          </w:p>
        </w:tc>
        <w:tc>
          <w:tcPr>
            <w:tcW w:w="2439"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Internal – LCPF Investment Team</w:t>
            </w:r>
          </w:p>
        </w:tc>
        <w:tc>
          <w:tcPr>
            <w:tcW w:w="1955"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County Hall, Preston</w:t>
            </w:r>
          </w:p>
        </w:tc>
        <w:tc>
          <w:tcPr>
            <w:tcW w:w="1418" w:type="dxa"/>
          </w:tcPr>
          <w:p w:rsidR="000B10DD" w:rsidRPr="000B10DD" w:rsidRDefault="0062660D" w:rsidP="000B10DD">
            <w:pPr>
              <w:autoSpaceDE/>
              <w:autoSpaceDN/>
              <w:adjustRightInd/>
              <w:spacing w:after="0"/>
              <w:jc w:val="center"/>
              <w:rPr>
                <w:rFonts w:ascii="Arial" w:eastAsia="Times New Roman" w:hAnsi="Arial" w:cs="Arial"/>
                <w:color w:val="auto"/>
                <w:lang w:eastAsia="en-GB"/>
              </w:rPr>
            </w:pPr>
            <w:r w:rsidRPr="000B10DD">
              <w:rPr>
                <w:rFonts w:ascii="Arial" w:eastAsia="Times New Roman" w:hAnsi="Arial" w:cs="Arial"/>
                <w:color w:val="auto"/>
                <w:lang w:eastAsia="en-GB"/>
              </w:rPr>
              <w:t>16</w:t>
            </w:r>
          </w:p>
        </w:tc>
      </w:tr>
      <w:tr w:rsidR="006A2C17" w:rsidTr="0015659B">
        <w:tc>
          <w:tcPr>
            <w:tcW w:w="1696"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2/12/2015 – 4/12/2015</w:t>
            </w:r>
          </w:p>
        </w:tc>
        <w:tc>
          <w:tcPr>
            <w:tcW w:w="3090"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LAPFF Annual Conference</w:t>
            </w:r>
          </w:p>
        </w:tc>
        <w:tc>
          <w:tcPr>
            <w:tcW w:w="2439"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LAPFF</w:t>
            </w:r>
          </w:p>
        </w:tc>
        <w:tc>
          <w:tcPr>
            <w:tcW w:w="1955"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Highcliff Marriot, Bournemouth</w:t>
            </w:r>
          </w:p>
        </w:tc>
        <w:tc>
          <w:tcPr>
            <w:tcW w:w="1418" w:type="dxa"/>
          </w:tcPr>
          <w:p w:rsidR="000B10DD" w:rsidRPr="000B10DD" w:rsidRDefault="0062660D" w:rsidP="000B10DD">
            <w:pPr>
              <w:autoSpaceDE/>
              <w:autoSpaceDN/>
              <w:adjustRightInd/>
              <w:spacing w:after="0"/>
              <w:jc w:val="center"/>
              <w:rPr>
                <w:rFonts w:ascii="Arial" w:eastAsia="Times New Roman" w:hAnsi="Arial" w:cs="Arial"/>
                <w:color w:val="auto"/>
                <w:lang w:eastAsia="en-GB"/>
              </w:rPr>
            </w:pPr>
            <w:r w:rsidRPr="000B10DD">
              <w:rPr>
                <w:rFonts w:ascii="Arial" w:eastAsia="Times New Roman" w:hAnsi="Arial" w:cs="Arial"/>
                <w:color w:val="auto"/>
                <w:lang w:eastAsia="en-GB"/>
              </w:rPr>
              <w:t>2</w:t>
            </w:r>
          </w:p>
        </w:tc>
      </w:tr>
      <w:tr w:rsidR="006A2C17" w:rsidTr="0015659B">
        <w:tc>
          <w:tcPr>
            <w:tcW w:w="1696"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27/01/2016</w:t>
            </w:r>
          </w:p>
        </w:tc>
        <w:tc>
          <w:tcPr>
            <w:tcW w:w="3090"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CIPFA Pensions Summit</w:t>
            </w:r>
          </w:p>
        </w:tc>
        <w:tc>
          <w:tcPr>
            <w:tcW w:w="2439"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CIPFA</w:t>
            </w:r>
          </w:p>
        </w:tc>
        <w:tc>
          <w:tcPr>
            <w:tcW w:w="1955"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Canary Wharf, London</w:t>
            </w:r>
          </w:p>
        </w:tc>
        <w:tc>
          <w:tcPr>
            <w:tcW w:w="1418" w:type="dxa"/>
          </w:tcPr>
          <w:p w:rsidR="000B10DD" w:rsidRPr="000B10DD" w:rsidRDefault="0062660D" w:rsidP="000B10DD">
            <w:pPr>
              <w:autoSpaceDE/>
              <w:autoSpaceDN/>
              <w:adjustRightInd/>
              <w:spacing w:after="0"/>
              <w:jc w:val="center"/>
              <w:rPr>
                <w:rFonts w:ascii="Arial" w:eastAsia="Times New Roman" w:hAnsi="Arial" w:cs="Arial"/>
                <w:color w:val="auto"/>
                <w:lang w:eastAsia="en-GB"/>
              </w:rPr>
            </w:pPr>
            <w:r w:rsidRPr="000B10DD">
              <w:rPr>
                <w:rFonts w:ascii="Arial" w:eastAsia="Times New Roman" w:hAnsi="Arial" w:cs="Arial"/>
                <w:color w:val="auto"/>
                <w:lang w:eastAsia="en-GB"/>
              </w:rPr>
              <w:t>1</w:t>
            </w:r>
          </w:p>
        </w:tc>
      </w:tr>
      <w:tr w:rsidR="006A2C17" w:rsidTr="0015659B">
        <w:tc>
          <w:tcPr>
            <w:tcW w:w="1696"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28/01/2016</w:t>
            </w:r>
          </w:p>
        </w:tc>
        <w:tc>
          <w:tcPr>
            <w:tcW w:w="3090"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Risk and Valuation Part 2</w:t>
            </w:r>
          </w:p>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(Risk, Actuarial Methods)</w:t>
            </w:r>
          </w:p>
        </w:tc>
        <w:tc>
          <w:tcPr>
            <w:tcW w:w="2439"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Internal – Your Pensions Service</w:t>
            </w:r>
          </w:p>
        </w:tc>
        <w:tc>
          <w:tcPr>
            <w:tcW w:w="1955"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County Hall, Preston</w:t>
            </w:r>
          </w:p>
        </w:tc>
        <w:tc>
          <w:tcPr>
            <w:tcW w:w="1418" w:type="dxa"/>
          </w:tcPr>
          <w:p w:rsidR="000B10DD" w:rsidRPr="000B10DD" w:rsidRDefault="0062660D" w:rsidP="000B10DD">
            <w:pPr>
              <w:autoSpaceDE/>
              <w:autoSpaceDN/>
              <w:adjustRightInd/>
              <w:spacing w:after="0"/>
              <w:jc w:val="center"/>
              <w:rPr>
                <w:rFonts w:ascii="Arial" w:eastAsia="Times New Roman" w:hAnsi="Arial" w:cs="Arial"/>
                <w:color w:val="auto"/>
                <w:lang w:eastAsia="en-GB"/>
              </w:rPr>
            </w:pPr>
            <w:r w:rsidRPr="000B10DD">
              <w:rPr>
                <w:rFonts w:ascii="Arial" w:eastAsia="Times New Roman" w:hAnsi="Arial" w:cs="Arial"/>
                <w:color w:val="auto"/>
                <w:lang w:eastAsia="en-GB"/>
              </w:rPr>
              <w:t>16</w:t>
            </w:r>
          </w:p>
        </w:tc>
      </w:tr>
      <w:tr w:rsidR="006A2C17" w:rsidTr="0015659B">
        <w:tc>
          <w:tcPr>
            <w:tcW w:w="1696"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04/02/2016</w:t>
            </w:r>
          </w:p>
        </w:tc>
        <w:tc>
          <w:tcPr>
            <w:tcW w:w="3090"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LAPF Strategic Investment Forum 2016</w:t>
            </w:r>
          </w:p>
        </w:tc>
        <w:tc>
          <w:tcPr>
            <w:tcW w:w="2439"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LAPF</w:t>
            </w:r>
          </w:p>
        </w:tc>
        <w:tc>
          <w:tcPr>
            <w:tcW w:w="1955"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proofErr w:type="spellStart"/>
            <w:r w:rsidRPr="000B10DD">
              <w:rPr>
                <w:rFonts w:ascii="Arial" w:eastAsia="Times New Roman" w:hAnsi="Arial" w:cs="Arial"/>
                <w:color w:val="auto"/>
                <w:lang w:eastAsia="en-GB"/>
              </w:rPr>
              <w:t>Andaz</w:t>
            </w:r>
            <w:proofErr w:type="spellEnd"/>
            <w:r w:rsidRPr="000B10DD">
              <w:rPr>
                <w:rFonts w:ascii="Arial" w:eastAsia="Times New Roman" w:hAnsi="Arial" w:cs="Arial"/>
                <w:color w:val="auto"/>
                <w:lang w:eastAsia="en-GB"/>
              </w:rPr>
              <w:t xml:space="preserve"> Hotel, London</w:t>
            </w:r>
          </w:p>
        </w:tc>
        <w:tc>
          <w:tcPr>
            <w:tcW w:w="1418" w:type="dxa"/>
          </w:tcPr>
          <w:p w:rsidR="000B10DD" w:rsidRPr="000B10DD" w:rsidRDefault="0062660D" w:rsidP="000B10DD">
            <w:pPr>
              <w:autoSpaceDE/>
              <w:autoSpaceDN/>
              <w:adjustRightInd/>
              <w:spacing w:after="0"/>
              <w:jc w:val="center"/>
              <w:rPr>
                <w:rFonts w:ascii="Arial" w:eastAsia="Times New Roman" w:hAnsi="Arial" w:cs="Arial"/>
                <w:color w:val="auto"/>
                <w:lang w:eastAsia="en-GB"/>
              </w:rPr>
            </w:pPr>
            <w:r w:rsidRPr="000B10DD">
              <w:rPr>
                <w:rFonts w:ascii="Arial" w:eastAsia="Times New Roman" w:hAnsi="Arial" w:cs="Arial"/>
                <w:color w:val="auto"/>
                <w:lang w:eastAsia="en-GB"/>
              </w:rPr>
              <w:t>1</w:t>
            </w:r>
          </w:p>
        </w:tc>
      </w:tr>
      <w:tr w:rsidR="006A2C17" w:rsidTr="0015659B">
        <w:tc>
          <w:tcPr>
            <w:tcW w:w="1696"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23/02/2016</w:t>
            </w:r>
          </w:p>
        </w:tc>
        <w:tc>
          <w:tcPr>
            <w:tcW w:w="3090"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Understanding Investment Performance Reporting</w:t>
            </w:r>
          </w:p>
        </w:tc>
        <w:tc>
          <w:tcPr>
            <w:tcW w:w="2439"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Internal – LCPF Investment Team</w:t>
            </w:r>
          </w:p>
        </w:tc>
        <w:tc>
          <w:tcPr>
            <w:tcW w:w="1955"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County Hall, Preston</w:t>
            </w:r>
          </w:p>
        </w:tc>
        <w:tc>
          <w:tcPr>
            <w:tcW w:w="1418" w:type="dxa"/>
          </w:tcPr>
          <w:p w:rsidR="000B10DD" w:rsidRPr="000B10DD" w:rsidRDefault="0062660D" w:rsidP="000B10DD">
            <w:pPr>
              <w:autoSpaceDE/>
              <w:autoSpaceDN/>
              <w:adjustRightInd/>
              <w:spacing w:after="0"/>
              <w:jc w:val="center"/>
              <w:rPr>
                <w:rFonts w:ascii="Arial" w:eastAsia="Times New Roman" w:hAnsi="Arial" w:cs="Arial"/>
                <w:color w:val="auto"/>
                <w:lang w:eastAsia="en-GB"/>
              </w:rPr>
            </w:pPr>
            <w:r w:rsidRPr="000B10DD">
              <w:rPr>
                <w:rFonts w:ascii="Arial" w:eastAsia="Times New Roman" w:hAnsi="Arial" w:cs="Arial"/>
                <w:color w:val="auto"/>
                <w:lang w:eastAsia="en-GB"/>
              </w:rPr>
              <w:t>14</w:t>
            </w:r>
          </w:p>
        </w:tc>
      </w:tr>
      <w:tr w:rsidR="006A2C17" w:rsidTr="0015659B">
        <w:tc>
          <w:tcPr>
            <w:tcW w:w="1696"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03/03/2016</w:t>
            </w:r>
          </w:p>
        </w:tc>
        <w:tc>
          <w:tcPr>
            <w:tcW w:w="3090"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Local Govt. Chronicle Investment Seminar</w:t>
            </w:r>
          </w:p>
        </w:tc>
        <w:tc>
          <w:tcPr>
            <w:tcW w:w="2439"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LGC</w:t>
            </w:r>
          </w:p>
        </w:tc>
        <w:tc>
          <w:tcPr>
            <w:tcW w:w="1955"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proofErr w:type="spellStart"/>
            <w:r w:rsidRPr="000B10DD">
              <w:rPr>
                <w:rFonts w:ascii="Arial" w:eastAsia="Times New Roman" w:hAnsi="Arial" w:cs="Arial"/>
                <w:color w:val="auto"/>
                <w:lang w:eastAsia="en-GB"/>
              </w:rPr>
              <w:t>Carden</w:t>
            </w:r>
            <w:proofErr w:type="spellEnd"/>
            <w:r w:rsidRPr="000B10DD">
              <w:rPr>
                <w:rFonts w:ascii="Arial" w:eastAsia="Times New Roman" w:hAnsi="Arial" w:cs="Arial"/>
                <w:color w:val="auto"/>
                <w:lang w:eastAsia="en-GB"/>
              </w:rPr>
              <w:t xml:space="preserve"> Park, Chester</w:t>
            </w:r>
          </w:p>
        </w:tc>
        <w:tc>
          <w:tcPr>
            <w:tcW w:w="1418" w:type="dxa"/>
          </w:tcPr>
          <w:p w:rsidR="000B10DD" w:rsidRPr="000B10DD" w:rsidRDefault="0062660D" w:rsidP="000B10DD">
            <w:pPr>
              <w:autoSpaceDE/>
              <w:autoSpaceDN/>
              <w:adjustRightInd/>
              <w:spacing w:after="0"/>
              <w:jc w:val="center"/>
              <w:rPr>
                <w:rFonts w:ascii="Arial" w:eastAsia="Times New Roman" w:hAnsi="Arial" w:cs="Arial"/>
                <w:color w:val="auto"/>
                <w:lang w:eastAsia="en-GB"/>
              </w:rPr>
            </w:pPr>
            <w:r w:rsidRPr="000B10DD">
              <w:rPr>
                <w:rFonts w:ascii="Arial" w:eastAsia="Times New Roman" w:hAnsi="Arial" w:cs="Arial"/>
                <w:color w:val="auto"/>
                <w:lang w:eastAsia="en-GB"/>
              </w:rPr>
              <w:t>1</w:t>
            </w:r>
          </w:p>
        </w:tc>
      </w:tr>
      <w:tr w:rsidR="006A2C17" w:rsidTr="0015659B">
        <w:tc>
          <w:tcPr>
            <w:tcW w:w="1696"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17/03/2016</w:t>
            </w:r>
          </w:p>
        </w:tc>
        <w:tc>
          <w:tcPr>
            <w:tcW w:w="3090"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 xml:space="preserve">Local Authority Pension Investment Strategies </w:t>
            </w:r>
            <w:r w:rsidRPr="000B10DD">
              <w:rPr>
                <w:rFonts w:ascii="Arial" w:eastAsia="Times New Roman" w:hAnsi="Arial" w:cs="Arial"/>
                <w:color w:val="auto"/>
                <w:lang w:eastAsia="en-GB"/>
              </w:rPr>
              <w:t>and Current Issues “Reviewing Investments &amp; Funding at a Time of Change”</w:t>
            </w:r>
          </w:p>
        </w:tc>
        <w:tc>
          <w:tcPr>
            <w:tcW w:w="2439"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SPS Conferences</w:t>
            </w:r>
          </w:p>
        </w:tc>
        <w:tc>
          <w:tcPr>
            <w:tcW w:w="1955" w:type="dxa"/>
          </w:tcPr>
          <w:p w:rsidR="000B10DD" w:rsidRPr="000B10DD" w:rsidRDefault="0062660D" w:rsidP="000B10DD">
            <w:pPr>
              <w:autoSpaceDE/>
              <w:autoSpaceDN/>
              <w:adjustRightInd/>
              <w:spacing w:after="0"/>
              <w:jc w:val="left"/>
              <w:rPr>
                <w:rFonts w:ascii="Arial" w:eastAsia="Times New Roman" w:hAnsi="Arial" w:cs="Arial"/>
                <w:color w:val="auto"/>
                <w:lang w:eastAsia="en-GB"/>
              </w:rPr>
            </w:pPr>
            <w:r w:rsidRPr="000B10DD">
              <w:rPr>
                <w:rFonts w:ascii="Arial" w:eastAsia="Times New Roman" w:hAnsi="Arial" w:cs="Arial"/>
                <w:color w:val="auto"/>
                <w:lang w:eastAsia="en-GB"/>
              </w:rPr>
              <w:t>Le Meridian Hotel, London</w:t>
            </w:r>
          </w:p>
        </w:tc>
        <w:tc>
          <w:tcPr>
            <w:tcW w:w="1418" w:type="dxa"/>
          </w:tcPr>
          <w:p w:rsidR="000B10DD" w:rsidRPr="000B10DD" w:rsidRDefault="0062660D" w:rsidP="000B10DD">
            <w:pPr>
              <w:autoSpaceDE/>
              <w:autoSpaceDN/>
              <w:adjustRightInd/>
              <w:spacing w:after="0"/>
              <w:jc w:val="center"/>
              <w:rPr>
                <w:rFonts w:ascii="Arial" w:eastAsia="Times New Roman" w:hAnsi="Arial" w:cs="Arial"/>
                <w:color w:val="auto"/>
                <w:lang w:eastAsia="en-GB"/>
              </w:rPr>
            </w:pPr>
            <w:r w:rsidRPr="000B10DD">
              <w:rPr>
                <w:rFonts w:ascii="Arial" w:eastAsia="Times New Roman" w:hAnsi="Arial" w:cs="Arial"/>
                <w:color w:val="auto"/>
                <w:lang w:eastAsia="en-GB"/>
              </w:rPr>
              <w:t>1</w:t>
            </w:r>
          </w:p>
        </w:tc>
      </w:tr>
    </w:tbl>
    <w:p w:rsidR="000B10DD" w:rsidRDefault="0062660D" w:rsidP="000B10DD">
      <w:pPr>
        <w:tabs>
          <w:tab w:val="left" w:pos="975"/>
        </w:tabs>
        <w:rPr>
          <w:rFonts w:cs="Arial"/>
        </w:rPr>
      </w:pPr>
    </w:p>
    <w:p w:rsidR="000B10DD" w:rsidRDefault="0062660D" w:rsidP="000B10DD">
      <w:pPr>
        <w:tabs>
          <w:tab w:val="left" w:pos="975"/>
        </w:tabs>
        <w:rPr>
          <w:rFonts w:cs="Arial"/>
        </w:rPr>
      </w:pPr>
    </w:p>
    <w:p w:rsidR="000B10DD" w:rsidRDefault="0062660D" w:rsidP="000B10DD">
      <w:pPr>
        <w:tabs>
          <w:tab w:val="left" w:pos="975"/>
        </w:tabs>
        <w:sectPr w:rsidR="000B10DD" w:rsidSect="00270387">
          <w:pgSz w:w="11900" w:h="16840" w:code="9"/>
          <w:pgMar w:top="720" w:right="720" w:bottom="720" w:left="720" w:header="283" w:footer="283" w:gutter="0"/>
          <w:cols w:space="292"/>
          <w:docGrid w:linePitch="326"/>
        </w:sectPr>
      </w:pPr>
    </w:p>
    <w:p w:rsidR="005C1CF5" w:rsidRPr="00016FC1" w:rsidRDefault="0062660D" w:rsidP="00CD7572">
      <w:pPr>
        <w:numPr>
          <w:ilvl w:val="0"/>
          <w:numId w:val="15"/>
        </w:numPr>
        <w:autoSpaceDE/>
        <w:autoSpaceDN/>
        <w:adjustRightInd/>
        <w:spacing w:after="0"/>
        <w:jc w:val="left"/>
        <w:rPr>
          <w:rFonts w:eastAsia="Times New Roman" w:cs="Times New Roman"/>
          <w:color w:val="auto"/>
          <w:sz w:val="32"/>
          <w:szCs w:val="32"/>
          <w:lang w:eastAsia="en-GB"/>
        </w:rPr>
      </w:pPr>
      <w:r w:rsidRPr="00016FC1">
        <w:rPr>
          <w:rFonts w:eastAsia="Times New Roman" w:cs="Times New Roman"/>
          <w:b/>
          <w:color w:val="auto"/>
          <w:sz w:val="32"/>
          <w:szCs w:val="32"/>
          <w:lang w:eastAsia="en-GB"/>
        </w:rPr>
        <w:t>Investment Policy and Performance</w:t>
      </w:r>
    </w:p>
    <w:p w:rsidR="005C1CF5" w:rsidRPr="005C1CF5" w:rsidRDefault="0062660D" w:rsidP="005C1CF5">
      <w:pPr>
        <w:autoSpaceDE/>
        <w:autoSpaceDN/>
        <w:adjustRightInd/>
        <w:spacing w:after="0"/>
        <w:jc w:val="left"/>
        <w:rPr>
          <w:rFonts w:ascii="ArialMT" w:eastAsia="Times New Roman" w:hAnsi="ArialMT" w:cs="ArialMT"/>
          <w:color w:val="auto"/>
          <w:highlight w:val="yellow"/>
          <w:lang w:eastAsia="en-GB"/>
        </w:rPr>
      </w:pPr>
    </w:p>
    <w:p w:rsidR="005C1CF5" w:rsidRPr="005C1CF5" w:rsidRDefault="0062660D" w:rsidP="005C1CF5">
      <w:pPr>
        <w:spacing w:after="0"/>
        <w:jc w:val="left"/>
        <w:rPr>
          <w:rFonts w:eastAsia="Times New Roman" w:cs="Times New Roman"/>
          <w:color w:val="auto"/>
          <w:szCs w:val="20"/>
          <w:lang w:eastAsia="en-GB"/>
        </w:rPr>
      </w:pPr>
      <w:r w:rsidRPr="00016FC1">
        <w:rPr>
          <w:rFonts w:eastAsia="Times New Roman" w:cs="Times New Roman"/>
          <w:b/>
          <w:color w:val="auto"/>
          <w:sz w:val="28"/>
          <w:szCs w:val="28"/>
          <w:lang w:eastAsia="en-GB"/>
        </w:rPr>
        <w:t>Performance</w:t>
      </w:r>
    </w:p>
    <w:p w:rsidR="000B10DD" w:rsidRPr="000B10DD" w:rsidRDefault="0062660D" w:rsidP="000B10DD">
      <w:pPr>
        <w:widowControl w:val="0"/>
        <w:spacing w:after="0"/>
        <w:jc w:val="left"/>
        <w:rPr>
          <w:rFonts w:eastAsiaTheme="minorEastAsia" w:cs="Arial"/>
          <w:color w:val="auto"/>
          <w:lang w:val="en" w:eastAsia="en-GB"/>
        </w:rPr>
      </w:pPr>
      <w:r w:rsidRPr="000B10DD">
        <w:rPr>
          <w:rFonts w:eastAsiaTheme="minorEastAsia" w:cs="Arial"/>
          <w:color w:val="auto"/>
          <w:lang w:val="en" w:eastAsia="en-GB"/>
        </w:rPr>
        <w:t xml:space="preserve">In the year to 31 March 2016, </w:t>
      </w:r>
      <w:r>
        <w:rPr>
          <w:rFonts w:eastAsiaTheme="minorEastAsia" w:cs="Arial"/>
          <w:color w:val="auto"/>
          <w:lang w:val="en" w:eastAsia="en-GB"/>
        </w:rPr>
        <w:t>The Fund</w:t>
      </w:r>
      <w:r w:rsidRPr="000B10DD">
        <w:rPr>
          <w:rFonts w:eastAsiaTheme="minorEastAsia" w:cs="Arial"/>
          <w:color w:val="auto"/>
          <w:lang w:val="en" w:eastAsia="en-GB"/>
        </w:rPr>
        <w:t xml:space="preserve"> delivered 4.36% return on assets, outperforming the Lancashire Plan Benchmark of 3.59% and placing Lancashire's investment performance as the best amongst all of the Local Authority Pension Scheme members. The value of </w:t>
      </w:r>
      <w:r>
        <w:rPr>
          <w:rFonts w:eastAsiaTheme="minorEastAsia" w:cs="Arial"/>
          <w:color w:val="auto"/>
          <w:lang w:val="en" w:eastAsia="en-GB"/>
        </w:rPr>
        <w:t>the Fund</w:t>
      </w:r>
      <w:r>
        <w:rPr>
          <w:rFonts w:eastAsiaTheme="minorEastAsia" w:cs="Arial"/>
          <w:color w:val="auto"/>
          <w:lang w:val="en" w:eastAsia="en-GB"/>
        </w:rPr>
        <w:t>'</w:t>
      </w:r>
      <w:r>
        <w:rPr>
          <w:rFonts w:eastAsiaTheme="minorEastAsia" w:cs="Arial"/>
          <w:color w:val="auto"/>
          <w:lang w:val="en" w:eastAsia="en-GB"/>
        </w:rPr>
        <w:t>s</w:t>
      </w:r>
      <w:r w:rsidRPr="000B10DD">
        <w:rPr>
          <w:rFonts w:eastAsiaTheme="minorEastAsia" w:cs="Arial"/>
          <w:color w:val="auto"/>
          <w:lang w:val="en" w:eastAsia="en-GB"/>
        </w:rPr>
        <w:t xml:space="preserve"> assets at 31 March 2016 w</w:t>
      </w:r>
      <w:r w:rsidRPr="000B10DD">
        <w:rPr>
          <w:rFonts w:eastAsiaTheme="minorEastAsia" w:cs="Arial"/>
          <w:color w:val="auto"/>
          <w:lang w:val="en" w:eastAsia="en-GB"/>
        </w:rPr>
        <w:t>as £6,</w:t>
      </w:r>
      <w:r>
        <w:rPr>
          <w:rFonts w:eastAsiaTheme="minorEastAsia" w:cs="Arial"/>
          <w:color w:val="auto"/>
          <w:lang w:val="en" w:eastAsia="en-GB"/>
        </w:rPr>
        <w:t>036.2</w:t>
      </w:r>
      <w:r w:rsidRPr="000B10DD">
        <w:rPr>
          <w:rFonts w:eastAsiaTheme="minorEastAsia" w:cs="Arial"/>
          <w:color w:val="auto"/>
          <w:lang w:val="en" w:eastAsia="en-GB"/>
        </w:rPr>
        <w:t>m, up from £5,830.7m at 1 March 2015.</w:t>
      </w:r>
    </w:p>
    <w:p w:rsidR="000B10DD" w:rsidRPr="000B10DD" w:rsidRDefault="0062660D" w:rsidP="000B10DD">
      <w:pPr>
        <w:widowControl w:val="0"/>
        <w:spacing w:after="0"/>
        <w:jc w:val="left"/>
        <w:rPr>
          <w:rFonts w:eastAsiaTheme="minorEastAsia" w:cs="Arial"/>
          <w:color w:val="auto"/>
          <w:lang w:val="en" w:eastAsia="en-GB"/>
        </w:rPr>
      </w:pPr>
    </w:p>
    <w:p w:rsidR="000B10DD" w:rsidRPr="000B10DD" w:rsidRDefault="0062660D" w:rsidP="000B10DD">
      <w:pPr>
        <w:widowControl w:val="0"/>
        <w:spacing w:after="0"/>
        <w:jc w:val="left"/>
        <w:rPr>
          <w:rFonts w:eastAsiaTheme="minorEastAsia" w:cs="Arial"/>
          <w:color w:val="auto"/>
          <w:lang w:val="en" w:eastAsia="en-GB"/>
        </w:rPr>
      </w:pPr>
      <w:r w:rsidRPr="000B10DD">
        <w:rPr>
          <w:rFonts w:eastAsiaTheme="minorEastAsia" w:cs="Arial"/>
          <w:color w:val="auto"/>
          <w:lang w:val="en" w:eastAsia="en-GB"/>
        </w:rPr>
        <w:t xml:space="preserve">Whilst it is pleasing to be able to report strong performance once again, </w:t>
      </w:r>
      <w:r>
        <w:rPr>
          <w:rFonts w:eastAsiaTheme="minorEastAsia" w:cs="Arial"/>
          <w:color w:val="auto"/>
          <w:lang w:val="en" w:eastAsia="en-GB"/>
        </w:rPr>
        <w:t>the Fund</w:t>
      </w:r>
      <w:r w:rsidRPr="000B10DD">
        <w:rPr>
          <w:rFonts w:eastAsiaTheme="minorEastAsia" w:cs="Arial"/>
          <w:color w:val="auto"/>
          <w:lang w:val="en" w:eastAsia="en-GB"/>
        </w:rPr>
        <w:t xml:space="preserve"> invests its assets to meet its own liabilities over the medium to long-term time frame and therefore performance should be </w:t>
      </w:r>
      <w:r w:rsidRPr="000B10DD">
        <w:rPr>
          <w:rFonts w:eastAsiaTheme="minorEastAsia" w:cs="Arial"/>
          <w:color w:val="auto"/>
          <w:lang w:val="en" w:eastAsia="en-GB"/>
        </w:rPr>
        <w:t>judged against those objectives and over a corresponding period. Annual returns can be volatile, as seen in 2008/09 (fund down 20%) and 2009/10 (fund up 35%); short term returns do not necessarily indicate the underlying health of the Fund.</w:t>
      </w:r>
    </w:p>
    <w:p w:rsidR="005C1CF5" w:rsidRPr="008E433A" w:rsidRDefault="0062660D" w:rsidP="005C1CF5">
      <w:pPr>
        <w:spacing w:after="0"/>
        <w:jc w:val="left"/>
        <w:rPr>
          <w:rFonts w:eastAsia="Times New Roman" w:cs="Arial"/>
          <w:color w:val="auto"/>
          <w:szCs w:val="20"/>
          <w:lang w:eastAsia="en-GB"/>
        </w:rPr>
      </w:pPr>
    </w:p>
    <w:p w:rsidR="005C1CF5" w:rsidRPr="008E433A" w:rsidRDefault="0062660D" w:rsidP="005C1CF5">
      <w:pPr>
        <w:spacing w:after="0"/>
        <w:jc w:val="left"/>
        <w:rPr>
          <w:rFonts w:eastAsia="Times New Roman" w:cs="Arial"/>
          <w:color w:val="auto"/>
          <w:szCs w:val="20"/>
          <w:lang w:eastAsia="en-GB"/>
        </w:rPr>
      </w:pPr>
      <w:r w:rsidRPr="008E433A">
        <w:rPr>
          <w:rFonts w:eastAsia="Times New Roman" w:cs="Arial"/>
          <w:color w:val="auto"/>
          <w:szCs w:val="20"/>
          <w:lang w:eastAsia="en-GB"/>
        </w:rPr>
        <w:t xml:space="preserve">  </w:t>
      </w:r>
    </w:p>
    <w:p w:rsidR="005C1CF5" w:rsidRPr="008E433A" w:rsidRDefault="0062660D" w:rsidP="005C1CF5">
      <w:pPr>
        <w:spacing w:after="0"/>
        <w:jc w:val="left"/>
        <w:rPr>
          <w:rFonts w:eastAsia="Times New Roman" w:cs="Arial"/>
          <w:color w:val="auto"/>
          <w:szCs w:val="20"/>
          <w:lang w:eastAsia="en-GB"/>
        </w:rPr>
      </w:pPr>
      <w:r>
        <w:rPr>
          <w:rFonts w:eastAsia="Times New Roman" w:cs="Arial"/>
          <w:b/>
          <w:color w:val="auto"/>
          <w:sz w:val="28"/>
          <w:szCs w:val="28"/>
          <w:lang w:eastAsia="en-GB"/>
        </w:rPr>
        <w:t xml:space="preserve">Investment </w:t>
      </w:r>
      <w:r>
        <w:rPr>
          <w:rFonts w:eastAsia="Times New Roman" w:cs="Arial"/>
          <w:b/>
          <w:color w:val="auto"/>
          <w:sz w:val="28"/>
          <w:szCs w:val="28"/>
          <w:lang w:eastAsia="en-GB"/>
        </w:rPr>
        <w:t>types</w:t>
      </w:r>
    </w:p>
    <w:p w:rsidR="000B10DD" w:rsidRPr="000B10DD" w:rsidRDefault="0062660D" w:rsidP="000B10DD">
      <w:pPr>
        <w:widowControl w:val="0"/>
        <w:spacing w:after="0"/>
        <w:jc w:val="left"/>
        <w:rPr>
          <w:rFonts w:eastAsiaTheme="minorEastAsia" w:cs="Arial"/>
          <w:color w:val="auto"/>
          <w:lang w:val="en" w:eastAsia="en-GB"/>
        </w:rPr>
      </w:pPr>
      <w:r w:rsidRPr="000B10DD">
        <w:rPr>
          <w:rFonts w:eastAsiaTheme="minorEastAsia" w:cs="Arial"/>
          <w:color w:val="auto"/>
          <w:lang w:val="en" w:eastAsia="en-GB"/>
        </w:rPr>
        <w:t>In line with the investment strategy adopted by the Pension Fund Committee in 201</w:t>
      </w:r>
      <w:r>
        <w:rPr>
          <w:rFonts w:eastAsiaTheme="minorEastAsia" w:cs="Arial"/>
          <w:color w:val="auto"/>
          <w:lang w:val="en" w:eastAsia="en-GB"/>
        </w:rPr>
        <w:t>3</w:t>
      </w:r>
      <w:r w:rsidRPr="000B10DD">
        <w:rPr>
          <w:rFonts w:eastAsiaTheme="minorEastAsia" w:cs="Arial"/>
          <w:color w:val="auto"/>
          <w:lang w:val="en" w:eastAsia="en-GB"/>
        </w:rPr>
        <w:t xml:space="preserve"> and more detailed sub-strategies adopted since then, </w:t>
      </w:r>
      <w:r>
        <w:rPr>
          <w:rFonts w:eastAsiaTheme="minorEastAsia" w:cs="Arial"/>
          <w:color w:val="auto"/>
          <w:lang w:val="en" w:eastAsia="en-GB"/>
        </w:rPr>
        <w:t>the Fund's</w:t>
      </w:r>
      <w:r w:rsidRPr="000B10DD">
        <w:rPr>
          <w:rFonts w:eastAsiaTheme="minorEastAsia" w:cs="Arial"/>
          <w:color w:val="auto"/>
          <w:lang w:val="en" w:eastAsia="en-GB"/>
        </w:rPr>
        <w:t xml:space="preserve"> investments are divided into four principal sub groups as follows:</w:t>
      </w:r>
    </w:p>
    <w:p w:rsidR="005C1CF5" w:rsidRPr="008E433A" w:rsidRDefault="0062660D" w:rsidP="005C1CF5">
      <w:pPr>
        <w:spacing w:after="0"/>
        <w:jc w:val="left"/>
        <w:rPr>
          <w:rFonts w:eastAsia="Times New Roman" w:cs="Arial"/>
          <w:color w:val="auto"/>
          <w:szCs w:val="20"/>
          <w:lang w:eastAsia="en-GB"/>
        </w:rPr>
      </w:pPr>
    </w:p>
    <w:p w:rsidR="005C1CF5" w:rsidRDefault="0062660D" w:rsidP="005C1CF5">
      <w:pPr>
        <w:spacing w:after="0"/>
        <w:jc w:val="left"/>
        <w:rPr>
          <w:rFonts w:eastAsia="Times New Roman" w:cs="Arial"/>
          <w:b/>
          <w:color w:val="auto"/>
          <w:lang w:eastAsia="en-GB"/>
        </w:rPr>
      </w:pPr>
      <w:r w:rsidRPr="00016FC1">
        <w:rPr>
          <w:rFonts w:eastAsia="Times New Roman" w:cs="Arial"/>
          <w:b/>
          <w:color w:val="auto"/>
          <w:lang w:eastAsia="en-GB"/>
        </w:rPr>
        <w:t>Equities</w:t>
      </w:r>
    </w:p>
    <w:p w:rsidR="000B10DD" w:rsidRDefault="0062660D" w:rsidP="005C1CF5">
      <w:pPr>
        <w:spacing w:after="0"/>
        <w:jc w:val="left"/>
        <w:rPr>
          <w:rFonts w:eastAsiaTheme="minorEastAsia" w:cs="Arial"/>
          <w:color w:val="auto"/>
          <w:lang w:val="en" w:eastAsia="en-GB"/>
        </w:rPr>
      </w:pPr>
      <w:r>
        <w:rPr>
          <w:rFonts w:eastAsiaTheme="minorEastAsia" w:cs="Arial"/>
          <w:color w:val="auto"/>
          <w:lang w:val="en" w:eastAsia="en-GB"/>
        </w:rPr>
        <w:t>The Fund</w:t>
      </w:r>
      <w:r w:rsidRPr="003A6401">
        <w:rPr>
          <w:rFonts w:eastAsiaTheme="minorEastAsia" w:cs="Arial"/>
          <w:color w:val="auto"/>
          <w:lang w:val="en" w:eastAsia="en-GB"/>
        </w:rPr>
        <w:t xml:space="preserve"> holds both public and private equity investments. Public equity investments are managed by two </w:t>
      </w:r>
      <w:proofErr w:type="spellStart"/>
      <w:r w:rsidRPr="003A6401">
        <w:rPr>
          <w:rFonts w:eastAsiaTheme="minorEastAsia" w:cs="Arial"/>
          <w:color w:val="auto"/>
          <w:lang w:val="en" w:eastAsia="en-GB"/>
        </w:rPr>
        <w:t>unitised</w:t>
      </w:r>
      <w:proofErr w:type="spellEnd"/>
      <w:r w:rsidRPr="003A6401">
        <w:rPr>
          <w:rFonts w:eastAsiaTheme="minorEastAsia" w:cs="Arial"/>
          <w:color w:val="auto"/>
          <w:lang w:val="en" w:eastAsia="en-GB"/>
        </w:rPr>
        <w:t xml:space="preserve"> investment funds and five active managers who operate with differing and complementary styles of investment selection. The remit of six of these seven </w:t>
      </w:r>
      <w:r w:rsidRPr="003A6401">
        <w:rPr>
          <w:rFonts w:eastAsiaTheme="minorEastAsia" w:cs="Arial"/>
          <w:color w:val="auto"/>
          <w:lang w:val="en" w:eastAsia="en-GB"/>
        </w:rPr>
        <w:t>pools is unconstrained, high conviction investment in global equities. The final manager has a remit to invest in emerging market equities.</w:t>
      </w:r>
    </w:p>
    <w:p w:rsidR="003A6401" w:rsidRDefault="0062660D" w:rsidP="005C1CF5">
      <w:pPr>
        <w:spacing w:after="0"/>
        <w:jc w:val="left"/>
        <w:rPr>
          <w:rFonts w:eastAsiaTheme="minorEastAsia" w:cs="Arial"/>
          <w:color w:val="auto"/>
          <w:lang w:val="en" w:eastAsia="en-GB"/>
        </w:rPr>
      </w:pPr>
    </w:p>
    <w:p w:rsidR="003A6401" w:rsidRPr="003A6401" w:rsidRDefault="0062660D" w:rsidP="003A6401">
      <w:pPr>
        <w:widowControl w:val="0"/>
        <w:spacing w:after="0"/>
        <w:jc w:val="left"/>
        <w:rPr>
          <w:rFonts w:eastAsiaTheme="minorEastAsia" w:cs="Arial"/>
          <w:color w:val="auto"/>
          <w:lang w:val="en" w:eastAsia="en-GB"/>
        </w:rPr>
      </w:pPr>
      <w:r w:rsidRPr="003A6401">
        <w:rPr>
          <w:rFonts w:eastAsiaTheme="minorEastAsia" w:cs="Arial"/>
          <w:color w:val="auto"/>
          <w:lang w:val="en" w:eastAsia="en-GB"/>
        </w:rPr>
        <w:t>The difficult investment conditions of 2015-16 presented the first real test of the Investment Team's portfolio con</w:t>
      </w:r>
      <w:r w:rsidRPr="003A6401">
        <w:rPr>
          <w:rFonts w:eastAsiaTheme="minorEastAsia" w:cs="Arial"/>
          <w:color w:val="auto"/>
          <w:lang w:val="en" w:eastAsia="en-GB"/>
        </w:rPr>
        <w:t>struction strategy and it was pleasing to see that the diversification that had been deliberately incorporated provided the outcomes expected, with Lancashire's equity portfolio significantly outperforming a volatile market.</w:t>
      </w:r>
    </w:p>
    <w:p w:rsidR="003A6401" w:rsidRPr="003A6401" w:rsidRDefault="0062660D" w:rsidP="003A6401">
      <w:pPr>
        <w:widowControl w:val="0"/>
        <w:spacing w:after="0"/>
        <w:jc w:val="left"/>
        <w:rPr>
          <w:rFonts w:eastAsiaTheme="minorEastAsia" w:cs="Arial"/>
          <w:color w:val="auto"/>
          <w:lang w:val="en" w:eastAsia="en-GB"/>
        </w:rPr>
      </w:pPr>
    </w:p>
    <w:p w:rsidR="003A6401" w:rsidRPr="003A6401" w:rsidRDefault="0062660D" w:rsidP="003A6401">
      <w:pPr>
        <w:widowControl w:val="0"/>
        <w:spacing w:after="0"/>
        <w:jc w:val="left"/>
        <w:rPr>
          <w:rFonts w:eastAsiaTheme="minorEastAsia" w:cs="Arial"/>
          <w:color w:val="auto"/>
          <w:lang w:val="en" w:eastAsia="en-GB"/>
        </w:rPr>
      </w:pPr>
      <w:r w:rsidRPr="003A6401">
        <w:rPr>
          <w:rFonts w:eastAsiaTheme="minorEastAsia" w:cs="Arial"/>
          <w:color w:val="auto"/>
          <w:lang w:val="en" w:eastAsia="en-GB"/>
        </w:rPr>
        <w:t>Private equity investments are</w:t>
      </w:r>
      <w:r w:rsidRPr="003A6401">
        <w:rPr>
          <w:rFonts w:eastAsiaTheme="minorEastAsia" w:cs="Arial"/>
          <w:color w:val="auto"/>
          <w:lang w:val="en" w:eastAsia="en-GB"/>
        </w:rPr>
        <w:t xml:space="preserve"> held through a variety of closed-ended limited partnerships, which are invested over a wide range of inception dates and managed by a diverse collection of different managers.</w:t>
      </w:r>
    </w:p>
    <w:p w:rsidR="003A6401" w:rsidRDefault="0062660D" w:rsidP="005C1CF5">
      <w:pPr>
        <w:spacing w:after="0"/>
        <w:jc w:val="left"/>
        <w:rPr>
          <w:rFonts w:eastAsiaTheme="minorEastAsia" w:cs="Arial"/>
          <w:color w:val="auto"/>
          <w:lang w:val="en" w:eastAsia="en-GB"/>
        </w:rPr>
      </w:pPr>
    </w:p>
    <w:p w:rsidR="005C1CF5" w:rsidRPr="008E433A" w:rsidRDefault="0062660D" w:rsidP="005C1CF5">
      <w:pPr>
        <w:spacing w:after="0"/>
        <w:jc w:val="left"/>
        <w:rPr>
          <w:rFonts w:eastAsia="Times New Roman" w:cs="Arial"/>
          <w:color w:val="auto"/>
          <w:szCs w:val="20"/>
          <w:lang w:eastAsia="en-GB"/>
        </w:rPr>
      </w:pPr>
      <w:r w:rsidRPr="008E433A">
        <w:rPr>
          <w:rFonts w:eastAsia="Times New Roman" w:cs="Arial"/>
          <w:b/>
          <w:color w:val="auto"/>
          <w:szCs w:val="20"/>
          <w:lang w:eastAsia="en-GB"/>
        </w:rPr>
        <w:t>Property</w:t>
      </w:r>
      <w:r w:rsidRPr="008E433A">
        <w:rPr>
          <w:rFonts w:eastAsia="Times New Roman" w:cs="Arial"/>
          <w:color w:val="auto"/>
          <w:szCs w:val="20"/>
          <w:lang w:eastAsia="en-GB"/>
        </w:rPr>
        <w:t xml:space="preserve"> </w:t>
      </w:r>
    </w:p>
    <w:p w:rsidR="003A6401" w:rsidRDefault="0062660D" w:rsidP="003A6401">
      <w:pPr>
        <w:widowControl w:val="0"/>
        <w:spacing w:after="0"/>
        <w:jc w:val="left"/>
        <w:rPr>
          <w:rFonts w:eastAsiaTheme="minorEastAsia" w:cs="Arial"/>
          <w:color w:val="auto"/>
          <w:lang w:val="en" w:eastAsia="en-GB"/>
        </w:rPr>
      </w:pPr>
      <w:r>
        <w:rPr>
          <w:rFonts w:eastAsiaTheme="minorEastAsia" w:cs="Arial"/>
          <w:color w:val="auto"/>
          <w:lang w:val="en" w:eastAsia="en-GB"/>
        </w:rPr>
        <w:t>The Fund</w:t>
      </w:r>
      <w:r w:rsidRPr="003A6401">
        <w:rPr>
          <w:rFonts w:eastAsiaTheme="minorEastAsia" w:cs="Arial"/>
          <w:color w:val="auto"/>
          <w:lang w:val="en" w:eastAsia="en-GB"/>
        </w:rPr>
        <w:t xml:space="preserve"> dedicates a large portion of its investment portfolio to directly owned UK commercial properties managed by Knight Frank. An allocation to local investment opportunities has been adopted, with early investments in this area including the construction of a</w:t>
      </w:r>
      <w:r w:rsidRPr="003A6401">
        <w:rPr>
          <w:rFonts w:eastAsiaTheme="minorEastAsia" w:cs="Arial"/>
          <w:color w:val="auto"/>
          <w:lang w:val="en" w:eastAsia="en-GB"/>
        </w:rPr>
        <w:t xml:space="preserve"> high-standard student accommodation block in Preston, the construction of a local shopping </w:t>
      </w:r>
      <w:proofErr w:type="spellStart"/>
      <w:r w:rsidRPr="003A6401">
        <w:rPr>
          <w:rFonts w:eastAsiaTheme="minorEastAsia" w:cs="Arial"/>
          <w:color w:val="auto"/>
          <w:lang w:val="en" w:eastAsia="en-GB"/>
        </w:rPr>
        <w:t>centre</w:t>
      </w:r>
      <w:proofErr w:type="spellEnd"/>
      <w:r w:rsidRPr="003A6401">
        <w:rPr>
          <w:rFonts w:eastAsiaTheme="minorEastAsia" w:cs="Arial"/>
          <w:color w:val="auto"/>
          <w:lang w:val="en" w:eastAsia="en-GB"/>
        </w:rPr>
        <w:t xml:space="preserve">, and the restoration of an iconic Victorian hotel. </w:t>
      </w:r>
      <w:r>
        <w:rPr>
          <w:rFonts w:eastAsiaTheme="minorEastAsia" w:cs="Arial"/>
          <w:color w:val="auto"/>
          <w:lang w:val="en" w:eastAsia="en-GB"/>
        </w:rPr>
        <w:t>The Fund</w:t>
      </w:r>
      <w:r w:rsidRPr="003A6401">
        <w:rPr>
          <w:rFonts w:eastAsiaTheme="minorEastAsia" w:cs="Arial"/>
          <w:color w:val="auto"/>
          <w:lang w:val="en" w:eastAsia="en-GB"/>
        </w:rPr>
        <w:t xml:space="preserve"> also has allocations to a European real estate investment fund managed by M&amp;G, a healthcare prope</w:t>
      </w:r>
      <w:r w:rsidRPr="003A6401">
        <w:rPr>
          <w:rFonts w:eastAsiaTheme="minorEastAsia" w:cs="Arial"/>
          <w:color w:val="auto"/>
          <w:lang w:val="en" w:eastAsia="en-GB"/>
        </w:rPr>
        <w:t>rty fund managed by Kames, and is a limited partner in a residential development project in the South East commuter belt managed by Invesco.</w:t>
      </w:r>
    </w:p>
    <w:p w:rsidR="005C1CF5" w:rsidRPr="008E433A" w:rsidRDefault="0062660D" w:rsidP="005C1CF5">
      <w:pPr>
        <w:spacing w:after="0"/>
        <w:jc w:val="left"/>
        <w:rPr>
          <w:rFonts w:eastAsia="Times New Roman" w:cs="Arial"/>
          <w:color w:val="auto"/>
          <w:szCs w:val="20"/>
          <w:lang w:eastAsia="en-GB"/>
        </w:rPr>
      </w:pPr>
    </w:p>
    <w:p w:rsidR="005C1CF5" w:rsidRPr="008E433A" w:rsidRDefault="0062660D" w:rsidP="005C1CF5">
      <w:pPr>
        <w:spacing w:after="0"/>
        <w:jc w:val="left"/>
        <w:rPr>
          <w:rFonts w:eastAsia="Times New Roman" w:cs="Arial"/>
          <w:b/>
          <w:color w:val="auto"/>
          <w:szCs w:val="20"/>
          <w:lang w:eastAsia="en-GB"/>
        </w:rPr>
      </w:pPr>
      <w:r w:rsidRPr="008E433A">
        <w:rPr>
          <w:rFonts w:eastAsia="Times New Roman" w:cs="Arial"/>
          <w:b/>
          <w:color w:val="auto"/>
          <w:szCs w:val="20"/>
          <w:lang w:eastAsia="en-GB"/>
        </w:rPr>
        <w:t>Infrastructure</w:t>
      </w:r>
    </w:p>
    <w:p w:rsidR="003A6401" w:rsidRDefault="0062660D" w:rsidP="003A6401">
      <w:pPr>
        <w:widowControl w:val="0"/>
        <w:spacing w:after="0"/>
        <w:jc w:val="left"/>
        <w:rPr>
          <w:rFonts w:eastAsiaTheme="minorEastAsia" w:cs="Arial"/>
          <w:color w:val="auto"/>
          <w:lang w:val="en" w:eastAsia="en-GB"/>
        </w:rPr>
      </w:pPr>
      <w:r w:rsidRPr="003A6401">
        <w:rPr>
          <w:rFonts w:eastAsiaTheme="minorEastAsia" w:cs="Arial"/>
          <w:color w:val="auto"/>
          <w:lang w:val="en" w:eastAsia="en-GB"/>
        </w:rPr>
        <w:t xml:space="preserve">During 2015-16, </w:t>
      </w:r>
      <w:r>
        <w:rPr>
          <w:rFonts w:eastAsiaTheme="minorEastAsia" w:cs="Arial"/>
          <w:color w:val="auto"/>
          <w:lang w:val="en" w:eastAsia="en-GB"/>
        </w:rPr>
        <w:t>The Fund</w:t>
      </w:r>
      <w:r w:rsidRPr="003A6401">
        <w:rPr>
          <w:rFonts w:eastAsiaTheme="minorEastAsia" w:cs="Arial"/>
          <w:color w:val="auto"/>
          <w:lang w:val="en" w:eastAsia="en-GB"/>
        </w:rPr>
        <w:t xml:space="preserve"> increased its infrastructure allocation to 12.5%. </w:t>
      </w:r>
      <w:r>
        <w:rPr>
          <w:rFonts w:eastAsiaTheme="minorEastAsia" w:cs="Arial"/>
          <w:color w:val="auto"/>
          <w:lang w:val="en" w:eastAsia="en-GB"/>
        </w:rPr>
        <w:t>The Fund</w:t>
      </w:r>
      <w:r w:rsidRPr="003A6401">
        <w:rPr>
          <w:rFonts w:eastAsiaTheme="minorEastAsia" w:cs="Arial"/>
          <w:color w:val="auto"/>
          <w:lang w:val="en" w:eastAsia="en-GB"/>
        </w:rPr>
        <w:t xml:space="preserve"> has allocations</w:t>
      </w:r>
      <w:r w:rsidRPr="003A6401">
        <w:rPr>
          <w:rFonts w:eastAsiaTheme="minorEastAsia" w:cs="Arial"/>
          <w:color w:val="auto"/>
          <w:lang w:val="en" w:eastAsia="en-GB"/>
        </w:rPr>
        <w:t xml:space="preserve"> to a number of different global infrastructure funds, and also invests directly in global renewable energy infrastructure projects through its majority-owned infrastructure partnership, Red Rose Infrastructure LLP. 2015-16 saw the development of some majo</w:t>
      </w:r>
      <w:r w:rsidRPr="003A6401">
        <w:rPr>
          <w:rFonts w:eastAsiaTheme="minorEastAsia" w:cs="Arial"/>
          <w:color w:val="auto"/>
          <w:lang w:val="en" w:eastAsia="en-GB"/>
        </w:rPr>
        <w:t>r international investment collaborations, which facilitated investments in Portuguese wind farm energy generation and Spanish gas distribution. Lancashire's strategic partners in these transactions have included EDF Invest of France, Ginkgo Tree (a state-</w:t>
      </w:r>
      <w:r w:rsidRPr="003A6401">
        <w:rPr>
          <w:rFonts w:eastAsiaTheme="minorEastAsia" w:cs="Arial"/>
          <w:color w:val="auto"/>
          <w:lang w:val="en" w:eastAsia="en-GB"/>
        </w:rPr>
        <w:t xml:space="preserve">controlled Chinese investment fund), and PGGM, the leading Dutch pension manager. </w:t>
      </w:r>
    </w:p>
    <w:p w:rsidR="005C1CF5" w:rsidRPr="008E433A" w:rsidRDefault="0062660D" w:rsidP="005C1CF5">
      <w:pPr>
        <w:spacing w:after="0"/>
        <w:jc w:val="left"/>
        <w:rPr>
          <w:rFonts w:eastAsia="Times New Roman" w:cs="Arial"/>
          <w:b/>
          <w:color w:val="auto"/>
          <w:szCs w:val="20"/>
          <w:lang w:eastAsia="en-GB"/>
        </w:rPr>
      </w:pPr>
      <w:r w:rsidRPr="008E433A">
        <w:rPr>
          <w:rFonts w:eastAsia="Times New Roman" w:cs="Arial"/>
          <w:b/>
          <w:color w:val="auto"/>
          <w:szCs w:val="20"/>
          <w:lang w:eastAsia="en-GB"/>
        </w:rPr>
        <w:t>Credit strategies</w:t>
      </w:r>
    </w:p>
    <w:p w:rsidR="003A6401" w:rsidRPr="003A6401" w:rsidRDefault="0062660D" w:rsidP="003A6401">
      <w:pPr>
        <w:widowControl w:val="0"/>
        <w:spacing w:after="0"/>
        <w:jc w:val="left"/>
        <w:rPr>
          <w:rFonts w:eastAsiaTheme="minorEastAsia" w:cs="Arial"/>
          <w:color w:val="auto"/>
          <w:lang w:val="en" w:eastAsia="en-GB"/>
        </w:rPr>
      </w:pPr>
      <w:r>
        <w:rPr>
          <w:rFonts w:eastAsiaTheme="minorEastAsia" w:cs="Arial"/>
          <w:color w:val="auto"/>
          <w:lang w:val="en" w:eastAsia="en-GB"/>
        </w:rPr>
        <w:t>The Fund</w:t>
      </w:r>
      <w:r w:rsidRPr="003A6401">
        <w:rPr>
          <w:rFonts w:eastAsiaTheme="minorEastAsia" w:cs="Arial"/>
          <w:color w:val="auto"/>
          <w:lang w:val="en" w:eastAsia="en-GB"/>
        </w:rPr>
        <w:t xml:space="preserve"> has an internally managed portfolio, which is split into four broad categories of credit investment: emerging markets sovereign debt, non-investme</w:t>
      </w:r>
      <w:r w:rsidRPr="003A6401">
        <w:rPr>
          <w:rFonts w:eastAsiaTheme="minorEastAsia" w:cs="Arial"/>
          <w:color w:val="auto"/>
          <w:lang w:val="en" w:eastAsia="en-GB"/>
        </w:rPr>
        <w:t xml:space="preserve">nt grade secured lending, cyclical credit opportunities, and debt secured on real assets. These investments include both direct loans made by </w:t>
      </w:r>
      <w:r>
        <w:rPr>
          <w:rFonts w:eastAsiaTheme="minorEastAsia" w:cs="Arial"/>
          <w:color w:val="auto"/>
          <w:lang w:val="en" w:eastAsia="en-GB"/>
        </w:rPr>
        <w:t>the Fund</w:t>
      </w:r>
      <w:r w:rsidRPr="003A6401">
        <w:rPr>
          <w:rFonts w:eastAsiaTheme="minorEastAsia" w:cs="Arial"/>
          <w:color w:val="auto"/>
          <w:lang w:val="en" w:eastAsia="en-GB"/>
        </w:rPr>
        <w:t xml:space="preserve"> and a variety of different externally managed funds. During 2015-16, </w:t>
      </w:r>
      <w:r>
        <w:rPr>
          <w:rFonts w:eastAsiaTheme="minorEastAsia" w:cs="Arial"/>
          <w:color w:val="auto"/>
          <w:lang w:val="en" w:eastAsia="en-GB"/>
        </w:rPr>
        <w:t>the Fund</w:t>
      </w:r>
      <w:r w:rsidRPr="003A6401">
        <w:rPr>
          <w:rFonts w:eastAsiaTheme="minorEastAsia" w:cs="Arial"/>
          <w:color w:val="auto"/>
          <w:lang w:val="en" w:eastAsia="en-GB"/>
        </w:rPr>
        <w:t xml:space="preserve"> entered into several new investments in credit strategies, including seeding of a North-West direct lending fund which focusses on lending to SMEs.</w:t>
      </w:r>
    </w:p>
    <w:p w:rsidR="00F171FC" w:rsidRPr="008E433A" w:rsidRDefault="0062660D" w:rsidP="005C1CF5">
      <w:pPr>
        <w:spacing w:after="0"/>
        <w:jc w:val="left"/>
        <w:rPr>
          <w:rFonts w:eastAsia="Times New Roman" w:cs="Arial"/>
          <w:color w:val="auto"/>
          <w:szCs w:val="20"/>
          <w:lang w:eastAsia="en-GB"/>
        </w:rPr>
      </w:pPr>
    </w:p>
    <w:p w:rsidR="003A6401" w:rsidRDefault="0062660D" w:rsidP="003A6401">
      <w:pPr>
        <w:widowControl w:val="0"/>
        <w:spacing w:after="0"/>
        <w:jc w:val="left"/>
        <w:rPr>
          <w:rFonts w:eastAsiaTheme="minorEastAsia" w:cs="Arial"/>
          <w:color w:val="auto"/>
          <w:lang w:val="en" w:eastAsia="en-GB"/>
        </w:rPr>
      </w:pPr>
      <w:r w:rsidRPr="003A6401">
        <w:rPr>
          <w:rFonts w:eastAsiaTheme="minorEastAsia" w:cs="Arial"/>
          <w:color w:val="auto"/>
          <w:lang w:val="en" w:eastAsia="en-GB"/>
        </w:rPr>
        <w:t>The Investment Team was recognised for its leadership in the field, being awarded 'Best Use of Private Deb</w:t>
      </w:r>
      <w:r w:rsidRPr="003A6401">
        <w:rPr>
          <w:rFonts w:eastAsiaTheme="minorEastAsia" w:cs="Arial"/>
          <w:color w:val="auto"/>
          <w:lang w:val="en" w:eastAsia="en-GB"/>
        </w:rPr>
        <w:t>t' by the Alternative Investment Institute.</w:t>
      </w:r>
    </w:p>
    <w:p w:rsidR="003A6401" w:rsidRDefault="0062660D" w:rsidP="003A6401">
      <w:pPr>
        <w:widowControl w:val="0"/>
        <w:spacing w:after="0"/>
        <w:jc w:val="left"/>
        <w:rPr>
          <w:rFonts w:eastAsiaTheme="minorEastAsia" w:cs="Arial"/>
          <w:color w:val="auto"/>
          <w:lang w:val="en" w:eastAsia="en-GB"/>
        </w:rPr>
      </w:pPr>
    </w:p>
    <w:p w:rsidR="003A6401" w:rsidRDefault="0062660D" w:rsidP="003A6401">
      <w:pPr>
        <w:widowControl w:val="0"/>
        <w:spacing w:after="0"/>
        <w:jc w:val="left"/>
        <w:rPr>
          <w:rFonts w:eastAsiaTheme="minorEastAsia" w:cs="Arial"/>
          <w:color w:val="auto"/>
          <w:lang w:val="en" w:eastAsia="en-GB"/>
        </w:rPr>
      </w:pPr>
    </w:p>
    <w:p w:rsidR="00CC57F6" w:rsidRPr="003A6401" w:rsidRDefault="0062660D" w:rsidP="003A6401">
      <w:pPr>
        <w:widowControl w:val="0"/>
        <w:spacing w:after="0"/>
        <w:jc w:val="left"/>
        <w:rPr>
          <w:rFonts w:eastAsiaTheme="minorEastAsia" w:cs="Arial"/>
          <w:color w:val="auto"/>
          <w:lang w:val="en" w:eastAsia="en-GB"/>
        </w:rPr>
      </w:pPr>
    </w:p>
    <w:p w:rsidR="00F171FC" w:rsidRPr="008E433A" w:rsidRDefault="0062660D" w:rsidP="005C1CF5">
      <w:pPr>
        <w:spacing w:after="0"/>
        <w:jc w:val="left"/>
        <w:rPr>
          <w:rFonts w:eastAsia="Times New Roman" w:cs="Arial"/>
          <w:color w:val="auto"/>
          <w:szCs w:val="20"/>
          <w:lang w:eastAsia="en-GB"/>
        </w:rPr>
      </w:pPr>
    </w:p>
    <w:p w:rsidR="0091362F" w:rsidRPr="008E433A" w:rsidRDefault="0062660D" w:rsidP="003A6401">
      <w:pPr>
        <w:spacing w:after="0"/>
        <w:jc w:val="center"/>
        <w:rPr>
          <w:rFonts w:eastAsia="Times New Roman" w:cs="Arial"/>
          <w:color w:val="auto"/>
          <w:szCs w:val="20"/>
          <w:lang w:eastAsia="en-GB"/>
        </w:rPr>
      </w:pPr>
      <w:r>
        <w:rPr>
          <w:rFonts w:ascii="Calibri" w:hAnsi="Calibri" w:cs="Calibri"/>
          <w:noProof/>
          <w:lang w:eastAsia="en-GB"/>
        </w:rPr>
        <w:drawing>
          <wp:inline distT="0" distB="0" distL="0" distR="0" wp14:anchorId="2A49E139" wp14:editId="6F520B4A">
            <wp:extent cx="2987168" cy="3540642"/>
            <wp:effectExtent l="0" t="0" r="381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033812" cy="3595928"/>
                    </a:xfrm>
                    <a:prstGeom prst="rect">
                      <a:avLst/>
                    </a:prstGeom>
                    <a:noFill/>
                    <a:ln>
                      <a:noFill/>
                    </a:ln>
                  </pic:spPr>
                </pic:pic>
              </a:graphicData>
            </a:graphic>
          </wp:inline>
        </w:drawing>
      </w:r>
    </w:p>
    <w:p w:rsidR="0091362F" w:rsidRDefault="0062660D" w:rsidP="005C1CF5">
      <w:pPr>
        <w:spacing w:after="0"/>
        <w:jc w:val="left"/>
        <w:rPr>
          <w:rFonts w:ascii="ArialMT" w:eastAsia="Times New Roman" w:hAnsi="ArialMT" w:cs="ArialMT"/>
          <w:color w:val="auto"/>
          <w:szCs w:val="20"/>
          <w:lang w:eastAsia="en-GB"/>
        </w:rPr>
      </w:pPr>
    </w:p>
    <w:p w:rsidR="00F171FC" w:rsidRDefault="0062660D" w:rsidP="005C1CF5">
      <w:pPr>
        <w:spacing w:after="0"/>
        <w:jc w:val="left"/>
        <w:rPr>
          <w:rFonts w:ascii="ArialMT" w:eastAsia="Times New Roman" w:hAnsi="ArialMT" w:cs="ArialMT"/>
          <w:color w:val="auto"/>
          <w:szCs w:val="20"/>
          <w:lang w:eastAsia="en-GB"/>
        </w:rPr>
      </w:pPr>
    </w:p>
    <w:p w:rsidR="00F171FC" w:rsidRDefault="0062660D" w:rsidP="005C1CF5">
      <w:pPr>
        <w:spacing w:after="0"/>
        <w:jc w:val="left"/>
        <w:rPr>
          <w:rFonts w:ascii="ArialMT" w:eastAsia="Times New Roman" w:hAnsi="ArialMT" w:cs="ArialMT"/>
          <w:color w:val="auto"/>
          <w:szCs w:val="20"/>
          <w:lang w:eastAsia="en-GB"/>
        </w:rPr>
      </w:pPr>
    </w:p>
    <w:p w:rsidR="003A6401" w:rsidRDefault="0062660D" w:rsidP="005C1CF5">
      <w:pPr>
        <w:spacing w:after="0"/>
        <w:jc w:val="left"/>
        <w:rPr>
          <w:rFonts w:ascii="ArialMT" w:eastAsia="Times New Roman" w:hAnsi="ArialMT" w:cs="ArialMT"/>
          <w:color w:val="auto"/>
          <w:szCs w:val="20"/>
          <w:lang w:eastAsia="en-GB"/>
        </w:rPr>
      </w:pPr>
    </w:p>
    <w:p w:rsidR="003A6401" w:rsidRDefault="0062660D" w:rsidP="005C1CF5">
      <w:pPr>
        <w:spacing w:after="0"/>
        <w:jc w:val="left"/>
        <w:rPr>
          <w:rFonts w:ascii="ArialMT" w:eastAsia="Times New Roman" w:hAnsi="ArialMT" w:cs="ArialMT"/>
          <w:color w:val="auto"/>
          <w:szCs w:val="20"/>
          <w:lang w:eastAsia="en-GB"/>
        </w:rPr>
      </w:pPr>
    </w:p>
    <w:p w:rsidR="003A6401" w:rsidRDefault="0062660D" w:rsidP="005C1CF5">
      <w:pPr>
        <w:spacing w:after="0"/>
        <w:jc w:val="left"/>
        <w:rPr>
          <w:rFonts w:ascii="ArialMT" w:eastAsia="Times New Roman" w:hAnsi="ArialMT" w:cs="ArialMT"/>
          <w:color w:val="auto"/>
          <w:szCs w:val="20"/>
          <w:lang w:eastAsia="en-GB"/>
        </w:rPr>
      </w:pPr>
    </w:p>
    <w:p w:rsidR="003A6401" w:rsidRDefault="0062660D" w:rsidP="005C1CF5">
      <w:pPr>
        <w:spacing w:after="0"/>
        <w:jc w:val="left"/>
        <w:rPr>
          <w:rFonts w:ascii="ArialMT" w:eastAsia="Times New Roman" w:hAnsi="ArialMT" w:cs="ArialMT"/>
          <w:color w:val="auto"/>
          <w:szCs w:val="20"/>
          <w:lang w:eastAsia="en-GB"/>
        </w:rPr>
      </w:pPr>
    </w:p>
    <w:p w:rsidR="003A6401" w:rsidRDefault="0062660D" w:rsidP="005C1CF5">
      <w:pPr>
        <w:spacing w:after="0"/>
        <w:jc w:val="left"/>
        <w:rPr>
          <w:rFonts w:ascii="ArialMT" w:eastAsia="Times New Roman" w:hAnsi="ArialMT" w:cs="ArialMT"/>
          <w:color w:val="auto"/>
          <w:szCs w:val="20"/>
          <w:lang w:eastAsia="en-GB"/>
        </w:rPr>
      </w:pPr>
    </w:p>
    <w:p w:rsidR="003A6401" w:rsidRDefault="0062660D" w:rsidP="005C1CF5">
      <w:pPr>
        <w:spacing w:after="0"/>
        <w:jc w:val="left"/>
        <w:rPr>
          <w:rFonts w:ascii="ArialMT" w:eastAsia="Times New Roman" w:hAnsi="ArialMT" w:cs="ArialMT"/>
          <w:color w:val="auto"/>
          <w:szCs w:val="20"/>
          <w:lang w:eastAsia="en-GB"/>
        </w:rPr>
      </w:pPr>
    </w:p>
    <w:p w:rsidR="003A6401" w:rsidRDefault="0062660D" w:rsidP="005C1CF5">
      <w:pPr>
        <w:spacing w:after="0"/>
        <w:jc w:val="left"/>
        <w:rPr>
          <w:rFonts w:ascii="ArialMT" w:eastAsia="Times New Roman" w:hAnsi="ArialMT" w:cs="ArialMT"/>
          <w:color w:val="auto"/>
          <w:szCs w:val="20"/>
          <w:lang w:eastAsia="en-GB"/>
        </w:rPr>
      </w:pPr>
    </w:p>
    <w:p w:rsidR="003A6401" w:rsidRDefault="0062660D" w:rsidP="005C1CF5">
      <w:pPr>
        <w:spacing w:after="0"/>
        <w:jc w:val="left"/>
        <w:rPr>
          <w:rFonts w:ascii="ArialMT" w:eastAsia="Times New Roman" w:hAnsi="ArialMT" w:cs="ArialMT"/>
          <w:color w:val="auto"/>
          <w:szCs w:val="20"/>
          <w:lang w:eastAsia="en-GB"/>
        </w:rPr>
      </w:pPr>
    </w:p>
    <w:p w:rsidR="003A6401" w:rsidRDefault="0062660D" w:rsidP="005C1CF5">
      <w:pPr>
        <w:spacing w:after="0"/>
        <w:jc w:val="left"/>
        <w:rPr>
          <w:rFonts w:ascii="ArialMT" w:eastAsia="Times New Roman" w:hAnsi="ArialMT" w:cs="ArialMT"/>
          <w:color w:val="auto"/>
          <w:szCs w:val="20"/>
          <w:lang w:eastAsia="en-GB"/>
        </w:rPr>
      </w:pPr>
    </w:p>
    <w:p w:rsidR="003A6401" w:rsidRDefault="0062660D" w:rsidP="005C1CF5">
      <w:pPr>
        <w:spacing w:after="0"/>
        <w:jc w:val="left"/>
        <w:rPr>
          <w:rFonts w:ascii="ArialMT" w:eastAsia="Times New Roman" w:hAnsi="ArialMT" w:cs="ArialMT"/>
          <w:color w:val="auto"/>
          <w:szCs w:val="20"/>
          <w:lang w:eastAsia="en-GB"/>
        </w:rPr>
      </w:pPr>
    </w:p>
    <w:p w:rsidR="006C6187" w:rsidRDefault="0062660D" w:rsidP="005C1CF5">
      <w:pPr>
        <w:spacing w:after="0"/>
        <w:jc w:val="left"/>
        <w:rPr>
          <w:rFonts w:ascii="ArialMT" w:eastAsia="Times New Roman" w:hAnsi="ArialMT" w:cs="ArialMT"/>
          <w:color w:val="auto"/>
          <w:szCs w:val="20"/>
          <w:lang w:eastAsia="en-GB"/>
        </w:rPr>
      </w:pPr>
    </w:p>
    <w:p w:rsidR="006C6187" w:rsidRDefault="0062660D" w:rsidP="005C1CF5">
      <w:pPr>
        <w:spacing w:after="0"/>
        <w:jc w:val="left"/>
        <w:rPr>
          <w:rFonts w:ascii="ArialMT" w:eastAsia="Times New Roman" w:hAnsi="ArialMT" w:cs="ArialMT"/>
          <w:color w:val="auto"/>
          <w:szCs w:val="20"/>
          <w:lang w:eastAsia="en-GB"/>
        </w:rPr>
      </w:pPr>
    </w:p>
    <w:p w:rsidR="00CC57F6" w:rsidRDefault="0062660D" w:rsidP="005C1CF5">
      <w:pPr>
        <w:spacing w:after="0"/>
        <w:jc w:val="left"/>
        <w:rPr>
          <w:rFonts w:ascii="ArialMT" w:eastAsia="Times New Roman" w:hAnsi="ArialMT" w:cs="ArialMT"/>
          <w:color w:val="auto"/>
          <w:szCs w:val="20"/>
          <w:lang w:eastAsia="en-GB"/>
        </w:rPr>
      </w:pPr>
    </w:p>
    <w:p w:rsidR="00CC57F6" w:rsidRDefault="0062660D" w:rsidP="005C1CF5">
      <w:pPr>
        <w:spacing w:after="0"/>
        <w:jc w:val="left"/>
        <w:rPr>
          <w:rFonts w:ascii="ArialMT" w:eastAsia="Times New Roman" w:hAnsi="ArialMT" w:cs="ArialMT"/>
          <w:color w:val="auto"/>
          <w:szCs w:val="20"/>
          <w:lang w:eastAsia="en-GB"/>
        </w:rPr>
      </w:pPr>
    </w:p>
    <w:p w:rsidR="00CC57F6" w:rsidRDefault="0062660D" w:rsidP="005C1CF5">
      <w:pPr>
        <w:spacing w:after="0"/>
        <w:jc w:val="left"/>
        <w:rPr>
          <w:rFonts w:ascii="ArialMT" w:eastAsia="Times New Roman" w:hAnsi="ArialMT" w:cs="ArialMT"/>
          <w:color w:val="auto"/>
          <w:szCs w:val="20"/>
          <w:lang w:eastAsia="en-GB"/>
        </w:rPr>
      </w:pPr>
    </w:p>
    <w:p w:rsidR="003A6401" w:rsidRDefault="0062660D" w:rsidP="005C1CF5">
      <w:pPr>
        <w:spacing w:after="0"/>
        <w:jc w:val="left"/>
        <w:rPr>
          <w:rFonts w:ascii="ArialMT" w:eastAsia="Times New Roman" w:hAnsi="ArialMT" w:cs="ArialMT"/>
          <w:color w:val="auto"/>
          <w:szCs w:val="20"/>
          <w:lang w:eastAsia="en-GB"/>
        </w:rPr>
      </w:pPr>
    </w:p>
    <w:p w:rsidR="003A6401" w:rsidRDefault="0062660D" w:rsidP="005C1CF5">
      <w:pPr>
        <w:spacing w:after="0"/>
        <w:jc w:val="left"/>
        <w:rPr>
          <w:rFonts w:ascii="ArialMT" w:eastAsia="Times New Roman" w:hAnsi="ArialMT" w:cs="ArialMT"/>
          <w:color w:val="auto"/>
          <w:szCs w:val="20"/>
          <w:lang w:eastAsia="en-GB"/>
        </w:rPr>
      </w:pPr>
    </w:p>
    <w:p w:rsidR="003A6401" w:rsidRDefault="0062660D" w:rsidP="005C1CF5">
      <w:pPr>
        <w:spacing w:after="0"/>
        <w:jc w:val="left"/>
        <w:rPr>
          <w:rFonts w:ascii="ArialMT" w:eastAsia="Times New Roman" w:hAnsi="ArialMT" w:cs="ArialMT"/>
          <w:color w:val="auto"/>
          <w:szCs w:val="20"/>
          <w:lang w:eastAsia="en-GB"/>
        </w:rPr>
      </w:pPr>
    </w:p>
    <w:p w:rsidR="0091362F" w:rsidRPr="00FD4810" w:rsidRDefault="0062660D" w:rsidP="0091362F">
      <w:pPr>
        <w:spacing w:after="0"/>
        <w:jc w:val="left"/>
        <w:rPr>
          <w:rFonts w:eastAsia="Times New Roman" w:cs="Arial"/>
          <w:color w:val="auto"/>
          <w:szCs w:val="20"/>
          <w:lang w:eastAsia="en-GB"/>
        </w:rPr>
      </w:pPr>
      <w:r w:rsidRPr="00FD4810">
        <w:rPr>
          <w:rFonts w:eastAsia="Times New Roman" w:cs="Arial"/>
          <w:color w:val="auto"/>
          <w:szCs w:val="20"/>
          <w:lang w:eastAsia="en-GB"/>
        </w:rPr>
        <w:t xml:space="preserve">A summary of </w:t>
      </w:r>
      <w:r w:rsidRPr="00FD4810">
        <w:rPr>
          <w:rFonts w:eastAsia="Times New Roman" w:cs="Arial"/>
          <w:color w:val="auto"/>
          <w:szCs w:val="20"/>
          <w:lang w:eastAsia="en-GB"/>
        </w:rPr>
        <w:t>a</w:t>
      </w:r>
      <w:r w:rsidRPr="00FD4810">
        <w:rPr>
          <w:rFonts w:eastAsia="Times New Roman" w:cs="Arial"/>
          <w:color w:val="auto"/>
          <w:szCs w:val="20"/>
          <w:lang w:eastAsia="en-GB"/>
        </w:rPr>
        <w:t xml:space="preserve">sset </w:t>
      </w:r>
      <w:r w:rsidRPr="00FD4810">
        <w:rPr>
          <w:rFonts w:eastAsia="Times New Roman" w:cs="Arial"/>
          <w:color w:val="auto"/>
          <w:szCs w:val="20"/>
          <w:lang w:eastAsia="en-GB"/>
        </w:rPr>
        <w:t>a</w:t>
      </w:r>
      <w:r w:rsidRPr="00FD4810">
        <w:rPr>
          <w:rFonts w:eastAsia="Times New Roman" w:cs="Arial"/>
          <w:color w:val="auto"/>
          <w:szCs w:val="20"/>
          <w:lang w:eastAsia="en-GB"/>
        </w:rPr>
        <w:t>llocation, as at 31 March 201</w:t>
      </w:r>
      <w:r w:rsidRPr="00FD4810">
        <w:rPr>
          <w:rFonts w:eastAsia="Times New Roman" w:cs="Arial"/>
          <w:color w:val="auto"/>
          <w:szCs w:val="20"/>
          <w:lang w:eastAsia="en-GB"/>
        </w:rPr>
        <w:t>6</w:t>
      </w:r>
      <w:r w:rsidRPr="00FD4810">
        <w:rPr>
          <w:rFonts w:eastAsia="Times New Roman" w:cs="Arial"/>
          <w:color w:val="auto"/>
          <w:szCs w:val="20"/>
          <w:lang w:eastAsia="en-GB"/>
        </w:rPr>
        <w:t xml:space="preserve">, is shown below. </w:t>
      </w:r>
    </w:p>
    <w:p w:rsidR="00FD4810" w:rsidRDefault="0062660D" w:rsidP="0091362F">
      <w:pPr>
        <w:spacing w:after="0"/>
        <w:jc w:val="left"/>
        <w:rPr>
          <w:rFonts w:ascii="ArialMT" w:eastAsia="Times New Roman" w:hAnsi="ArialMT" w:cs="ArialMT"/>
          <w:color w:val="auto"/>
          <w:szCs w:val="20"/>
          <w:lang w:eastAsia="en-GB"/>
        </w:rPr>
      </w:pPr>
    </w:p>
    <w:p w:rsidR="00FD4810" w:rsidRPr="0091362F" w:rsidRDefault="0062660D" w:rsidP="0091362F">
      <w:pPr>
        <w:spacing w:after="0"/>
        <w:jc w:val="left"/>
        <w:rPr>
          <w:rFonts w:ascii="ArialMT" w:eastAsia="Times New Roman" w:hAnsi="ArialMT" w:cs="ArialMT"/>
          <w:color w:val="auto"/>
          <w:szCs w:val="20"/>
          <w:lang w:eastAsia="en-GB"/>
        </w:rPr>
      </w:pPr>
      <w:r>
        <w:rPr>
          <w:noProof/>
          <w:lang w:eastAsia="en-GB"/>
        </w:rPr>
        <w:drawing>
          <wp:inline distT="0" distB="0" distL="0" distR="0" wp14:anchorId="39880FF1" wp14:editId="33D86658">
            <wp:extent cx="6464300" cy="4752753"/>
            <wp:effectExtent l="0" t="0" r="12700"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1362F" w:rsidRPr="0091362F" w:rsidRDefault="0062660D" w:rsidP="0091362F">
      <w:pPr>
        <w:spacing w:after="0"/>
        <w:jc w:val="left"/>
        <w:rPr>
          <w:rFonts w:ascii="ArialMT" w:eastAsia="Times New Roman" w:hAnsi="ArialMT" w:cs="ArialMT"/>
          <w:color w:val="auto"/>
          <w:szCs w:val="20"/>
          <w:lang w:eastAsia="en-GB"/>
        </w:rPr>
      </w:pPr>
    </w:p>
    <w:p w:rsidR="0091362F" w:rsidRPr="0091362F" w:rsidRDefault="0062660D" w:rsidP="0091362F">
      <w:pPr>
        <w:spacing w:after="0"/>
        <w:jc w:val="left"/>
        <w:rPr>
          <w:rFonts w:ascii="ArialMT" w:eastAsia="Times New Roman" w:hAnsi="ArialMT" w:cs="ArialMT"/>
          <w:color w:val="auto"/>
          <w:szCs w:val="20"/>
          <w:lang w:eastAsia="en-GB"/>
        </w:rPr>
      </w:pPr>
    </w:p>
    <w:p w:rsidR="00651F23" w:rsidRDefault="0062660D" w:rsidP="00651F23">
      <w:pPr>
        <w:autoSpaceDE/>
        <w:autoSpaceDN/>
        <w:adjustRightInd/>
        <w:spacing w:after="0"/>
        <w:jc w:val="left"/>
        <w:rPr>
          <w:rFonts w:eastAsia="Times New Roman" w:cs="Arial"/>
          <w:b/>
          <w:color w:val="auto"/>
          <w:sz w:val="28"/>
          <w:szCs w:val="28"/>
          <w:lang w:eastAsia="en-GB"/>
        </w:rPr>
      </w:pPr>
      <w:r w:rsidRPr="00651F23">
        <w:rPr>
          <w:rFonts w:eastAsia="Times New Roman" w:cs="Arial"/>
          <w:b/>
          <w:color w:val="auto"/>
          <w:sz w:val="28"/>
          <w:szCs w:val="28"/>
          <w:lang w:eastAsia="en-GB"/>
        </w:rPr>
        <w:t>F</w:t>
      </w:r>
      <w:r>
        <w:rPr>
          <w:rFonts w:eastAsia="Times New Roman" w:cs="Arial"/>
          <w:b/>
          <w:color w:val="auto"/>
          <w:sz w:val="28"/>
          <w:szCs w:val="28"/>
          <w:lang w:eastAsia="en-GB"/>
        </w:rPr>
        <w:t>u</w:t>
      </w:r>
      <w:r w:rsidRPr="00651F23">
        <w:rPr>
          <w:rFonts w:eastAsia="Times New Roman" w:cs="Arial"/>
          <w:b/>
          <w:color w:val="auto"/>
          <w:sz w:val="28"/>
          <w:szCs w:val="28"/>
          <w:lang w:eastAsia="en-GB"/>
        </w:rPr>
        <w:t>ture Investments</w:t>
      </w:r>
    </w:p>
    <w:p w:rsidR="00651F23" w:rsidRPr="00651F23" w:rsidRDefault="0062660D" w:rsidP="00651F23">
      <w:pPr>
        <w:autoSpaceDE/>
        <w:autoSpaceDN/>
        <w:adjustRightInd/>
        <w:spacing w:after="0"/>
        <w:jc w:val="left"/>
        <w:rPr>
          <w:rFonts w:eastAsia="Times New Roman" w:cs="Arial"/>
          <w:color w:val="auto"/>
          <w:szCs w:val="20"/>
          <w:lang w:eastAsia="en-GB"/>
        </w:rPr>
      </w:pPr>
      <w:r w:rsidRPr="00651F23">
        <w:rPr>
          <w:rFonts w:eastAsia="Times New Roman" w:cs="Arial"/>
          <w:color w:val="auto"/>
          <w:szCs w:val="20"/>
          <w:lang w:eastAsia="en-GB"/>
        </w:rPr>
        <w:t xml:space="preserve">Implementation of the investment strategy is ongoing and 2015-16 saw further investment </w:t>
      </w:r>
      <w:r w:rsidRPr="00651F23">
        <w:rPr>
          <w:rFonts w:eastAsia="Times New Roman" w:cs="Arial"/>
          <w:color w:val="auto"/>
          <w:szCs w:val="20"/>
          <w:lang w:eastAsia="en-GB"/>
        </w:rPr>
        <w:t>commitments which will be spent over coming years.</w:t>
      </w:r>
    </w:p>
    <w:p w:rsidR="00651F23" w:rsidRPr="00651F23" w:rsidRDefault="0062660D" w:rsidP="00651F23">
      <w:pPr>
        <w:widowControl w:val="0"/>
        <w:spacing w:before="240" w:after="0"/>
        <w:jc w:val="left"/>
        <w:rPr>
          <w:rFonts w:eastAsia="Times New Roman" w:cs="Arial"/>
          <w:color w:val="auto"/>
          <w:szCs w:val="20"/>
          <w:lang w:eastAsia="en-GB"/>
        </w:rPr>
      </w:pPr>
      <w:r w:rsidRPr="00651F23">
        <w:rPr>
          <w:rFonts w:eastAsia="Times New Roman" w:cs="Arial"/>
          <w:color w:val="auto"/>
          <w:szCs w:val="20"/>
          <w:lang w:eastAsia="en-GB"/>
        </w:rPr>
        <w:t>Commitments made since the investment strategy was adopted in 201</w:t>
      </w:r>
      <w:r>
        <w:rPr>
          <w:rFonts w:eastAsia="Times New Roman" w:cs="Arial"/>
          <w:color w:val="auto"/>
          <w:szCs w:val="20"/>
          <w:lang w:eastAsia="en-GB"/>
        </w:rPr>
        <w:t>3</w:t>
      </w:r>
      <w:r w:rsidRPr="00651F23">
        <w:rPr>
          <w:rFonts w:eastAsia="Times New Roman" w:cs="Arial"/>
          <w:color w:val="auto"/>
          <w:szCs w:val="20"/>
          <w:lang w:eastAsia="en-GB"/>
        </w:rPr>
        <w:t xml:space="preserve"> have started to deliver investment returns, and the results of the substantial changes to that strategy are starting to have a stronger in</w:t>
      </w:r>
      <w:r w:rsidRPr="00651F23">
        <w:rPr>
          <w:rFonts w:eastAsia="Times New Roman" w:cs="Arial"/>
          <w:color w:val="auto"/>
          <w:szCs w:val="20"/>
          <w:lang w:eastAsia="en-GB"/>
        </w:rPr>
        <w:t>fluence on investment performance.</w:t>
      </w:r>
    </w:p>
    <w:p w:rsidR="0091362F" w:rsidRPr="0091362F" w:rsidRDefault="0062660D" w:rsidP="0091362F">
      <w:pPr>
        <w:spacing w:after="0"/>
        <w:jc w:val="left"/>
        <w:rPr>
          <w:rFonts w:ascii="ArialMT" w:eastAsia="Times New Roman" w:hAnsi="ArialMT" w:cs="ArialMT"/>
          <w:color w:val="auto"/>
          <w:szCs w:val="20"/>
          <w:lang w:eastAsia="en-GB"/>
        </w:rPr>
      </w:pPr>
    </w:p>
    <w:p w:rsidR="0091362F" w:rsidRPr="008E433A" w:rsidRDefault="0062660D" w:rsidP="007B5569">
      <w:pPr>
        <w:tabs>
          <w:tab w:val="left" w:pos="975"/>
        </w:tabs>
        <w:rPr>
          <w:rFonts w:cs="Arial"/>
        </w:rPr>
      </w:pPr>
    </w:p>
    <w:p w:rsidR="0091362F" w:rsidRPr="008E433A" w:rsidRDefault="0062660D" w:rsidP="0091362F">
      <w:pPr>
        <w:autoSpaceDE/>
        <w:autoSpaceDN/>
        <w:adjustRightInd/>
        <w:spacing w:after="0"/>
        <w:jc w:val="left"/>
        <w:rPr>
          <w:rFonts w:eastAsia="Times New Roman" w:cs="Arial"/>
          <w:b/>
          <w:color w:val="auto"/>
          <w:sz w:val="28"/>
          <w:szCs w:val="28"/>
          <w:lang w:eastAsia="en-GB"/>
        </w:rPr>
      </w:pPr>
      <w:r w:rsidRPr="008E433A">
        <w:rPr>
          <w:rFonts w:eastAsia="Times New Roman" w:cs="Arial"/>
          <w:b/>
          <w:color w:val="auto"/>
          <w:sz w:val="28"/>
          <w:szCs w:val="28"/>
          <w:lang w:eastAsia="en-GB"/>
        </w:rPr>
        <w:t>Performance Monitoring</w:t>
      </w:r>
    </w:p>
    <w:p w:rsidR="006C6187" w:rsidRPr="006C6187" w:rsidRDefault="0062660D" w:rsidP="006C6187">
      <w:pPr>
        <w:widowControl w:val="0"/>
        <w:spacing w:after="0"/>
        <w:jc w:val="left"/>
        <w:rPr>
          <w:rFonts w:eastAsia="Times New Roman" w:cs="Arial"/>
          <w:color w:val="auto"/>
          <w:szCs w:val="20"/>
          <w:lang w:eastAsia="en-GB"/>
        </w:rPr>
      </w:pPr>
      <w:r w:rsidRPr="006C6187">
        <w:rPr>
          <w:rFonts w:eastAsia="Times New Roman" w:cs="Arial"/>
          <w:color w:val="auto"/>
          <w:szCs w:val="20"/>
          <w:lang w:eastAsia="en-GB"/>
        </w:rPr>
        <w:t xml:space="preserve">Performance is measured against a number of specific benchmarks with individual managers being given performance targets which are linked to the expected market returns for the assets they manage. Details of these can be found in the </w:t>
      </w:r>
      <w:hyperlink r:id="rId25" w:history="1">
        <w:r w:rsidRPr="006C6187">
          <w:rPr>
            <w:rFonts w:eastAsia="Times New Roman" w:cs="Arial"/>
            <w:color w:val="auto"/>
            <w:szCs w:val="20"/>
            <w:lang w:eastAsia="en-GB"/>
          </w:rPr>
          <w:t>Statement of Investment Principles</w:t>
        </w:r>
      </w:hyperlink>
      <w:r w:rsidRPr="006C6187">
        <w:rPr>
          <w:rFonts w:eastAsia="Times New Roman" w:cs="Arial"/>
          <w:color w:val="auto"/>
          <w:szCs w:val="20"/>
          <w:lang w:eastAsia="en-GB"/>
        </w:rPr>
        <w:t>. The performance of investment managers is reviewed on a regular basis by the Investment Management Team and th</w:t>
      </w:r>
      <w:r w:rsidRPr="006C6187">
        <w:rPr>
          <w:rFonts w:eastAsia="Times New Roman" w:cs="Arial"/>
          <w:color w:val="auto"/>
          <w:szCs w:val="20"/>
          <w:lang w:eastAsia="en-GB"/>
        </w:rPr>
        <w:t>e Investment Panel. Any recommendations arising from those reviews are considered by the Investment Committee.</w:t>
      </w:r>
    </w:p>
    <w:p w:rsidR="006C6187" w:rsidRPr="006C6187" w:rsidRDefault="0062660D" w:rsidP="006C6187">
      <w:pPr>
        <w:widowControl w:val="0"/>
        <w:spacing w:after="0"/>
        <w:jc w:val="left"/>
        <w:rPr>
          <w:rFonts w:eastAsia="Times New Roman" w:cs="Arial"/>
          <w:color w:val="auto"/>
          <w:szCs w:val="20"/>
          <w:lang w:eastAsia="en-GB"/>
        </w:rPr>
      </w:pPr>
    </w:p>
    <w:p w:rsidR="006C6187" w:rsidRPr="006C6187" w:rsidRDefault="0062660D" w:rsidP="006C6187">
      <w:pPr>
        <w:widowControl w:val="0"/>
        <w:jc w:val="left"/>
        <w:rPr>
          <w:rFonts w:eastAsia="Times New Roman" w:cs="Arial"/>
          <w:color w:val="auto"/>
          <w:szCs w:val="20"/>
          <w:lang w:eastAsia="en-GB"/>
        </w:rPr>
      </w:pPr>
      <w:r>
        <w:rPr>
          <w:rFonts w:eastAsia="Times New Roman" w:cs="Arial"/>
          <w:color w:val="auto"/>
          <w:szCs w:val="20"/>
          <w:lang w:eastAsia="en-GB"/>
        </w:rPr>
        <w:t>The Fund</w:t>
      </w:r>
      <w:r w:rsidRPr="006C6187">
        <w:rPr>
          <w:rFonts w:eastAsia="Times New Roman" w:cs="Arial"/>
          <w:color w:val="auto"/>
          <w:szCs w:val="20"/>
          <w:lang w:eastAsia="en-GB"/>
        </w:rPr>
        <w:t xml:space="preserve"> subscribes to the annual independent State Street (formerly WM) Survey of UK Local Authority Pension Funds, which compares and contrast</w:t>
      </w:r>
      <w:r w:rsidRPr="006C6187">
        <w:rPr>
          <w:rFonts w:eastAsia="Times New Roman" w:cs="Arial"/>
          <w:color w:val="auto"/>
          <w:szCs w:val="20"/>
          <w:lang w:eastAsia="en-GB"/>
        </w:rPr>
        <w:t xml:space="preserve">s </w:t>
      </w:r>
      <w:r>
        <w:rPr>
          <w:rFonts w:eastAsia="Times New Roman" w:cs="Arial"/>
          <w:color w:val="auto"/>
          <w:szCs w:val="20"/>
          <w:lang w:eastAsia="en-GB"/>
        </w:rPr>
        <w:t>the Fund</w:t>
      </w:r>
      <w:r w:rsidRPr="006C6187">
        <w:rPr>
          <w:rFonts w:eastAsia="Times New Roman" w:cs="Arial"/>
          <w:color w:val="auto"/>
          <w:szCs w:val="20"/>
          <w:lang w:eastAsia="en-GB"/>
        </w:rPr>
        <w:t xml:space="preserve"> with other local authority pension funds. It is important to point out that </w:t>
      </w:r>
      <w:r>
        <w:rPr>
          <w:rFonts w:eastAsia="Times New Roman" w:cs="Arial"/>
          <w:color w:val="auto"/>
          <w:szCs w:val="20"/>
          <w:lang w:eastAsia="en-GB"/>
        </w:rPr>
        <w:t>the Fund's</w:t>
      </w:r>
      <w:r w:rsidRPr="006C6187">
        <w:rPr>
          <w:rFonts w:eastAsia="Times New Roman" w:cs="Arial"/>
          <w:color w:val="auto"/>
          <w:szCs w:val="20"/>
          <w:lang w:eastAsia="en-GB"/>
        </w:rPr>
        <w:t xml:space="preserve"> absolute performance versus that of other local authority funds may be misleading, as these third-party funds will certainly have different investment strateg</w:t>
      </w:r>
      <w:r w:rsidRPr="006C6187">
        <w:rPr>
          <w:rFonts w:eastAsia="Times New Roman" w:cs="Arial"/>
          <w:color w:val="auto"/>
          <w:szCs w:val="20"/>
          <w:lang w:eastAsia="en-GB"/>
        </w:rPr>
        <w:t xml:space="preserve">ies designed to meet their own bespoke liability profile.  </w:t>
      </w:r>
    </w:p>
    <w:p w:rsidR="006C6187" w:rsidRPr="006C6187" w:rsidRDefault="0062660D" w:rsidP="006C6187">
      <w:pPr>
        <w:widowControl w:val="0"/>
        <w:jc w:val="left"/>
        <w:rPr>
          <w:rFonts w:eastAsia="Times New Roman" w:cs="Arial"/>
          <w:color w:val="auto"/>
          <w:szCs w:val="20"/>
          <w:lang w:eastAsia="en-GB"/>
        </w:rPr>
      </w:pPr>
      <w:r w:rsidRPr="006C6187">
        <w:rPr>
          <w:rFonts w:eastAsia="Times New Roman" w:cs="Arial"/>
          <w:color w:val="auto"/>
          <w:szCs w:val="20"/>
          <w:lang w:eastAsia="en-GB"/>
        </w:rPr>
        <w:t xml:space="preserve">Nonetheless, it is pleasing to report that the average local authority fund performance during the last year according to the State Street Survey was 0.2%, whereas </w:t>
      </w:r>
      <w:r>
        <w:rPr>
          <w:rFonts w:eastAsia="Times New Roman" w:cs="Arial"/>
          <w:color w:val="auto"/>
          <w:szCs w:val="20"/>
          <w:lang w:eastAsia="en-GB"/>
        </w:rPr>
        <w:t>the Fund's</w:t>
      </w:r>
      <w:r w:rsidRPr="006C6187">
        <w:rPr>
          <w:rFonts w:eastAsia="Times New Roman" w:cs="Arial"/>
          <w:color w:val="auto"/>
          <w:szCs w:val="20"/>
          <w:lang w:eastAsia="en-GB"/>
        </w:rPr>
        <w:t xml:space="preserve"> performance at 4.36% </w:t>
      </w:r>
      <w:r w:rsidRPr="006C6187">
        <w:rPr>
          <w:rFonts w:eastAsia="Times New Roman" w:cs="Arial"/>
          <w:color w:val="auto"/>
          <w:szCs w:val="20"/>
          <w:lang w:eastAsia="en-GB"/>
        </w:rPr>
        <w:t>placed it first out of all participating funds.</w:t>
      </w:r>
    </w:p>
    <w:p w:rsidR="006C6187" w:rsidRPr="006C6187" w:rsidRDefault="0062660D" w:rsidP="006C6187">
      <w:pPr>
        <w:widowControl w:val="0"/>
        <w:spacing w:after="0"/>
        <w:jc w:val="left"/>
        <w:rPr>
          <w:rFonts w:eastAsia="Times New Roman" w:cs="Arial"/>
          <w:color w:val="auto"/>
          <w:szCs w:val="20"/>
          <w:lang w:eastAsia="en-GB"/>
        </w:rPr>
      </w:pPr>
      <w:r>
        <w:rPr>
          <w:rFonts w:eastAsia="Times New Roman" w:cs="Arial"/>
          <w:color w:val="auto"/>
          <w:szCs w:val="20"/>
          <w:lang w:eastAsia="en-GB"/>
        </w:rPr>
        <w:t>The Fund's</w:t>
      </w:r>
      <w:r w:rsidRPr="006C6187">
        <w:rPr>
          <w:rFonts w:eastAsia="Times New Roman" w:cs="Arial"/>
          <w:color w:val="auto"/>
          <w:szCs w:val="20"/>
          <w:lang w:eastAsia="en-GB"/>
        </w:rPr>
        <w:t xml:space="preserve"> primary objective, to have assets available to meet pension liabilities as they fall due, requires the Fund to consistently match or outperform the actuarial assumption of investment returns, being</w:t>
      </w:r>
      <w:r w:rsidRPr="006C6187">
        <w:rPr>
          <w:rFonts w:eastAsia="Times New Roman" w:cs="Arial"/>
          <w:color w:val="auto"/>
          <w:szCs w:val="20"/>
          <w:lang w:eastAsia="en-GB"/>
        </w:rPr>
        <w:t xml:space="preserve"> UK gilts+1.6%.</w:t>
      </w:r>
    </w:p>
    <w:p w:rsidR="006C6187" w:rsidRPr="006C6187" w:rsidRDefault="0062660D" w:rsidP="006C6187">
      <w:pPr>
        <w:widowControl w:val="0"/>
        <w:spacing w:after="0"/>
        <w:ind w:left="360"/>
        <w:jc w:val="left"/>
        <w:rPr>
          <w:rFonts w:eastAsia="Times New Roman" w:cs="Arial"/>
          <w:color w:val="auto"/>
          <w:szCs w:val="20"/>
          <w:lang w:eastAsia="en-GB"/>
        </w:rPr>
      </w:pPr>
    </w:p>
    <w:p w:rsidR="006C6187" w:rsidRPr="006C6187" w:rsidRDefault="0062660D" w:rsidP="006C6187">
      <w:pPr>
        <w:widowControl w:val="0"/>
        <w:tabs>
          <w:tab w:val="left" w:pos="975"/>
        </w:tabs>
        <w:jc w:val="left"/>
        <w:rPr>
          <w:rFonts w:eastAsia="Times New Roman" w:cs="Arial"/>
          <w:color w:val="auto"/>
          <w:szCs w:val="20"/>
          <w:lang w:eastAsia="en-GB"/>
        </w:rPr>
      </w:pPr>
      <w:r w:rsidRPr="006C6187">
        <w:rPr>
          <w:rFonts w:eastAsia="Times New Roman" w:cs="Arial"/>
          <w:color w:val="auto"/>
          <w:szCs w:val="20"/>
          <w:lang w:eastAsia="en-GB"/>
        </w:rPr>
        <w:t xml:space="preserve">The chart below shows the total return of </w:t>
      </w:r>
      <w:r>
        <w:rPr>
          <w:rFonts w:eastAsia="Times New Roman" w:cs="Arial"/>
          <w:color w:val="auto"/>
          <w:szCs w:val="20"/>
          <w:lang w:eastAsia="en-GB"/>
        </w:rPr>
        <w:t>the Fund</w:t>
      </w:r>
      <w:r w:rsidRPr="006C6187">
        <w:rPr>
          <w:rFonts w:eastAsia="Times New Roman" w:cs="Arial"/>
          <w:color w:val="auto"/>
          <w:szCs w:val="20"/>
          <w:lang w:eastAsia="en-GB"/>
        </w:rPr>
        <w:t xml:space="preserve"> compared to the overall Fund-specific benchmark and the actuarial Fund return assumption of gilts+1.6% measured over 1, 3, and 5 years to 31 March 2016.</w:t>
      </w:r>
    </w:p>
    <w:p w:rsidR="007F5B2D" w:rsidRPr="008E433A" w:rsidRDefault="0062660D" w:rsidP="0091362F">
      <w:pPr>
        <w:tabs>
          <w:tab w:val="left" w:pos="975"/>
        </w:tabs>
        <w:jc w:val="left"/>
        <w:rPr>
          <w:rFonts w:eastAsia="Times New Roman" w:cs="Arial"/>
          <w:color w:val="auto"/>
          <w:szCs w:val="20"/>
          <w:lang w:eastAsia="en-GB"/>
        </w:rPr>
      </w:pPr>
    </w:p>
    <w:p w:rsidR="007F5B2D" w:rsidRPr="008E433A" w:rsidRDefault="0062660D" w:rsidP="0091362F">
      <w:pPr>
        <w:tabs>
          <w:tab w:val="left" w:pos="975"/>
        </w:tabs>
        <w:jc w:val="left"/>
        <w:rPr>
          <w:rFonts w:cs="Arial"/>
        </w:rPr>
      </w:pPr>
      <w:r>
        <w:rPr>
          <w:noProof/>
          <w:lang w:eastAsia="en-GB"/>
        </w:rPr>
        <w:drawing>
          <wp:inline distT="0" distB="0" distL="0" distR="0" wp14:anchorId="0FDB16FD" wp14:editId="630D934B">
            <wp:extent cx="6623685" cy="3997842"/>
            <wp:effectExtent l="0" t="0" r="5715" b="317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17C09" w:rsidRPr="008E433A" w:rsidRDefault="0062660D" w:rsidP="0091362F">
      <w:pPr>
        <w:tabs>
          <w:tab w:val="left" w:pos="975"/>
        </w:tabs>
        <w:jc w:val="left"/>
        <w:rPr>
          <w:rFonts w:cs="Arial"/>
        </w:rPr>
      </w:pPr>
    </w:p>
    <w:p w:rsidR="00AA3AA6" w:rsidRPr="00AA3AA6" w:rsidRDefault="0062660D" w:rsidP="00103437">
      <w:pPr>
        <w:widowControl w:val="0"/>
        <w:spacing w:after="200" w:line="276" w:lineRule="auto"/>
        <w:jc w:val="left"/>
        <w:rPr>
          <w:rFonts w:eastAsia="Times New Roman" w:cs="Arial"/>
          <w:color w:val="auto"/>
          <w:szCs w:val="20"/>
          <w:lang w:eastAsia="en-GB"/>
        </w:rPr>
      </w:pPr>
      <w:r w:rsidRPr="00AA3AA6">
        <w:rPr>
          <w:rFonts w:eastAsia="Times New Roman" w:cs="Arial"/>
          <w:color w:val="auto"/>
          <w:szCs w:val="20"/>
          <w:lang w:eastAsia="en-GB"/>
        </w:rPr>
        <w:t>In the year to 31 March 2016, t</w:t>
      </w:r>
      <w:r w:rsidRPr="00AA3AA6">
        <w:rPr>
          <w:rFonts w:eastAsia="Times New Roman" w:cs="Arial"/>
          <w:color w:val="auto"/>
          <w:szCs w:val="20"/>
          <w:lang w:eastAsia="en-GB"/>
        </w:rPr>
        <w:t>he total fund return amounted to 4.36% against a benchmark return of 3.59%. The gilts</w:t>
      </w:r>
      <w:r>
        <w:rPr>
          <w:rFonts w:eastAsia="Times New Roman" w:cs="Arial"/>
          <w:color w:val="auto"/>
          <w:szCs w:val="20"/>
          <w:lang w:eastAsia="en-GB"/>
        </w:rPr>
        <w:t xml:space="preserve"> </w:t>
      </w:r>
      <w:r w:rsidRPr="00AA3AA6">
        <w:rPr>
          <w:rFonts w:eastAsia="Times New Roman" w:cs="Arial"/>
          <w:color w:val="auto"/>
          <w:szCs w:val="20"/>
          <w:lang w:eastAsia="en-GB"/>
        </w:rPr>
        <w:t>+1.6% actuarial return assumption for the same period was 4.88%.</w:t>
      </w:r>
    </w:p>
    <w:p w:rsidR="00AA3AA6" w:rsidRDefault="0062660D" w:rsidP="00103437">
      <w:pPr>
        <w:widowControl w:val="0"/>
        <w:spacing w:after="200" w:line="276" w:lineRule="auto"/>
        <w:jc w:val="left"/>
        <w:rPr>
          <w:rFonts w:ascii="Verdana" w:eastAsiaTheme="minorEastAsia" w:hAnsi="Verdana" w:cs="Verdana"/>
          <w:color w:val="auto"/>
          <w:lang w:val="en" w:eastAsia="en-GB"/>
        </w:rPr>
      </w:pPr>
      <w:r w:rsidRPr="00AA3AA6">
        <w:rPr>
          <w:rFonts w:eastAsia="Times New Roman" w:cs="Arial"/>
          <w:color w:val="auto"/>
          <w:szCs w:val="20"/>
          <w:lang w:eastAsia="en-GB"/>
        </w:rPr>
        <w:t xml:space="preserve">The more important five-year performance of the Fund shows annualised returns for </w:t>
      </w:r>
      <w:r>
        <w:rPr>
          <w:rFonts w:eastAsia="Times New Roman" w:cs="Arial"/>
          <w:color w:val="auto"/>
          <w:szCs w:val="20"/>
          <w:lang w:eastAsia="en-GB"/>
        </w:rPr>
        <w:t>the Fund</w:t>
      </w:r>
      <w:r w:rsidRPr="00AA3AA6">
        <w:rPr>
          <w:rFonts w:eastAsia="Times New Roman" w:cs="Arial"/>
          <w:color w:val="auto"/>
          <w:szCs w:val="20"/>
          <w:lang w:eastAsia="en-GB"/>
        </w:rPr>
        <w:t xml:space="preserve"> of 8.19% per a</w:t>
      </w:r>
      <w:r w:rsidRPr="00AA3AA6">
        <w:rPr>
          <w:rFonts w:eastAsia="Times New Roman" w:cs="Arial"/>
          <w:color w:val="auto"/>
          <w:szCs w:val="20"/>
          <w:lang w:eastAsia="en-GB"/>
        </w:rPr>
        <w:t>nnum versus the benchmark return of 7.37% and the actuarial measure of 8.93%. Readers should note that the five-year figures do not yet reflect the full impact of the 'new' investment strategy, which was put in place in the three year period from 201</w:t>
      </w:r>
      <w:r>
        <w:rPr>
          <w:rFonts w:eastAsia="Times New Roman" w:cs="Arial"/>
          <w:color w:val="auto"/>
          <w:szCs w:val="20"/>
          <w:lang w:eastAsia="en-GB"/>
        </w:rPr>
        <w:t>3</w:t>
      </w:r>
      <w:r w:rsidRPr="00AA3AA6">
        <w:rPr>
          <w:rFonts w:eastAsia="Times New Roman" w:cs="Arial"/>
          <w:color w:val="auto"/>
          <w:szCs w:val="20"/>
          <w:lang w:eastAsia="en-GB"/>
        </w:rPr>
        <w:t>-1</w:t>
      </w:r>
      <w:r>
        <w:rPr>
          <w:rFonts w:eastAsia="Times New Roman" w:cs="Arial"/>
          <w:color w:val="auto"/>
          <w:szCs w:val="20"/>
          <w:lang w:eastAsia="en-GB"/>
        </w:rPr>
        <w:t>4</w:t>
      </w:r>
      <w:r w:rsidRPr="00AA3AA6">
        <w:rPr>
          <w:rFonts w:eastAsia="Times New Roman" w:cs="Arial"/>
          <w:color w:val="auto"/>
          <w:szCs w:val="20"/>
          <w:lang w:eastAsia="en-GB"/>
        </w:rPr>
        <w:t xml:space="preserve"> through to 2014-15</w:t>
      </w:r>
      <w:r w:rsidRPr="00AA3AA6">
        <w:rPr>
          <w:rFonts w:ascii="Verdana" w:eastAsiaTheme="minorEastAsia" w:hAnsi="Verdana" w:cs="Verdana"/>
          <w:color w:val="auto"/>
          <w:lang w:val="en" w:eastAsia="en-GB"/>
        </w:rPr>
        <w:t>.</w:t>
      </w:r>
    </w:p>
    <w:p w:rsidR="00103437" w:rsidRPr="00AA3AA6" w:rsidRDefault="0062660D" w:rsidP="00AA3AA6">
      <w:pPr>
        <w:widowControl w:val="0"/>
        <w:spacing w:after="200" w:line="276" w:lineRule="auto"/>
        <w:rPr>
          <w:rFonts w:ascii="Verdana" w:eastAsiaTheme="minorEastAsia" w:hAnsi="Verdana" w:cs="Verdana"/>
          <w:color w:val="auto"/>
          <w:lang w:val="en" w:eastAsia="en-GB"/>
        </w:rPr>
      </w:pPr>
    </w:p>
    <w:p w:rsidR="00103437" w:rsidRPr="00103437" w:rsidRDefault="0062660D" w:rsidP="00103437">
      <w:pPr>
        <w:autoSpaceDE/>
        <w:autoSpaceDN/>
        <w:adjustRightInd/>
        <w:spacing w:after="0"/>
        <w:jc w:val="left"/>
        <w:rPr>
          <w:rFonts w:eastAsia="Times New Roman" w:cs="Arial"/>
          <w:b/>
          <w:color w:val="auto"/>
          <w:sz w:val="28"/>
          <w:szCs w:val="28"/>
          <w:lang w:eastAsia="en-GB"/>
        </w:rPr>
      </w:pPr>
      <w:r w:rsidRPr="00103437">
        <w:rPr>
          <w:rFonts w:eastAsia="Times New Roman" w:cs="Arial"/>
          <w:b/>
          <w:color w:val="auto"/>
          <w:sz w:val="28"/>
          <w:szCs w:val="28"/>
          <w:lang w:eastAsia="en-GB"/>
        </w:rPr>
        <w:t>Currency Effects</w:t>
      </w:r>
    </w:p>
    <w:p w:rsidR="00103437" w:rsidRPr="00103437" w:rsidRDefault="0062660D" w:rsidP="00103437">
      <w:pPr>
        <w:autoSpaceDE/>
        <w:autoSpaceDN/>
        <w:adjustRightInd/>
        <w:spacing w:after="0"/>
        <w:jc w:val="left"/>
        <w:rPr>
          <w:rFonts w:eastAsia="Times New Roman" w:cs="Arial"/>
          <w:color w:val="auto"/>
          <w:szCs w:val="20"/>
          <w:lang w:eastAsia="en-GB"/>
        </w:rPr>
      </w:pPr>
      <w:r>
        <w:rPr>
          <w:rFonts w:eastAsia="Times New Roman" w:cs="Arial"/>
          <w:color w:val="auto"/>
          <w:szCs w:val="20"/>
          <w:lang w:eastAsia="en-GB"/>
        </w:rPr>
        <w:t>The Fund's</w:t>
      </w:r>
      <w:r w:rsidRPr="00103437">
        <w:rPr>
          <w:rFonts w:eastAsia="Times New Roman" w:cs="Arial"/>
          <w:color w:val="auto"/>
          <w:szCs w:val="20"/>
          <w:lang w:eastAsia="en-GB"/>
        </w:rPr>
        <w:t xml:space="preserve"> strategy is to seek out investments with the most favourable characteristics that indicate yields in the long-run, wherever these may be situated globally. Currency fluctuations have an increased impact on </w:t>
      </w:r>
      <w:r w:rsidRPr="00103437">
        <w:rPr>
          <w:rFonts w:eastAsia="Times New Roman" w:cs="Arial"/>
          <w:color w:val="auto"/>
          <w:szCs w:val="20"/>
          <w:lang w:eastAsia="en-GB"/>
        </w:rPr>
        <w:t>short-term investment performance, but over the long-term this impact should be outweighed by the superior investment characteristics of the new strategy.</w:t>
      </w:r>
    </w:p>
    <w:p w:rsidR="00103437" w:rsidRPr="00103437" w:rsidRDefault="0062660D" w:rsidP="00103437">
      <w:pPr>
        <w:widowControl w:val="0"/>
        <w:spacing w:after="200" w:line="276" w:lineRule="auto"/>
        <w:jc w:val="left"/>
        <w:rPr>
          <w:rFonts w:eastAsia="Times New Roman" w:cs="Arial"/>
          <w:color w:val="auto"/>
          <w:szCs w:val="20"/>
          <w:lang w:eastAsia="en-GB"/>
        </w:rPr>
      </w:pPr>
      <w:r w:rsidRPr="00103437">
        <w:rPr>
          <w:rFonts w:eastAsia="Times New Roman" w:cs="Arial"/>
          <w:color w:val="auto"/>
          <w:szCs w:val="20"/>
          <w:lang w:eastAsia="en-GB"/>
        </w:rPr>
        <w:t>Over the course of the year, Sterling weakened slightly against the Dollar from a rate of $1.48 at 31</w:t>
      </w:r>
      <w:r w:rsidRPr="00103437">
        <w:rPr>
          <w:rFonts w:eastAsia="Times New Roman" w:cs="Arial"/>
          <w:color w:val="auto"/>
          <w:szCs w:val="20"/>
          <w:lang w:eastAsia="en-GB"/>
        </w:rPr>
        <w:t xml:space="preserve"> March 2015 to a rate of $1.44 on 31 March 201</w:t>
      </w:r>
      <w:r>
        <w:rPr>
          <w:rFonts w:eastAsia="Times New Roman" w:cs="Arial"/>
          <w:color w:val="auto"/>
          <w:szCs w:val="20"/>
          <w:lang w:eastAsia="en-GB"/>
        </w:rPr>
        <w:t>6</w:t>
      </w:r>
      <w:r w:rsidRPr="00103437">
        <w:rPr>
          <w:rFonts w:eastAsia="Times New Roman" w:cs="Arial"/>
          <w:color w:val="auto"/>
          <w:szCs w:val="20"/>
          <w:lang w:eastAsia="en-GB"/>
        </w:rPr>
        <w:t>, thereby causing appreciation in the Sterling valuation of Dollar denominated assets of 2.8%. In the same period, Sterling also weakened against the Euro from €1.38 at 31 March 201</w:t>
      </w:r>
      <w:r>
        <w:rPr>
          <w:rFonts w:eastAsia="Times New Roman" w:cs="Arial"/>
          <w:color w:val="auto"/>
          <w:szCs w:val="20"/>
          <w:lang w:eastAsia="en-GB"/>
        </w:rPr>
        <w:t>5</w:t>
      </w:r>
      <w:r w:rsidRPr="00103437">
        <w:rPr>
          <w:rFonts w:eastAsia="Times New Roman" w:cs="Arial"/>
          <w:color w:val="auto"/>
          <w:szCs w:val="20"/>
          <w:lang w:eastAsia="en-GB"/>
        </w:rPr>
        <w:t xml:space="preserve"> to €1.26 on 31 March 201</w:t>
      </w:r>
      <w:r>
        <w:rPr>
          <w:rFonts w:eastAsia="Times New Roman" w:cs="Arial"/>
          <w:color w:val="auto"/>
          <w:szCs w:val="20"/>
          <w:lang w:eastAsia="en-GB"/>
        </w:rPr>
        <w:t>6</w:t>
      </w:r>
      <w:r w:rsidRPr="00103437">
        <w:rPr>
          <w:rFonts w:eastAsia="Times New Roman" w:cs="Arial"/>
          <w:color w:val="auto"/>
          <w:szCs w:val="20"/>
          <w:lang w:eastAsia="en-GB"/>
        </w:rPr>
        <w:t>,</w:t>
      </w:r>
      <w:r w:rsidRPr="00103437">
        <w:rPr>
          <w:rFonts w:eastAsia="Times New Roman" w:cs="Arial"/>
          <w:color w:val="auto"/>
          <w:szCs w:val="20"/>
          <w:lang w:eastAsia="en-GB"/>
        </w:rPr>
        <w:t xml:space="preserve"> thereby increasing the value of Euro denominated assets by 8.7%.</w:t>
      </w:r>
    </w:p>
    <w:p w:rsidR="00103437" w:rsidRPr="00103437" w:rsidRDefault="0062660D" w:rsidP="0015659B">
      <w:pPr>
        <w:widowControl w:val="0"/>
        <w:spacing w:after="0" w:line="276" w:lineRule="auto"/>
        <w:jc w:val="left"/>
        <w:rPr>
          <w:rFonts w:eastAsia="Times New Roman" w:cs="Arial"/>
          <w:color w:val="auto"/>
          <w:szCs w:val="20"/>
          <w:lang w:eastAsia="en-GB"/>
        </w:rPr>
      </w:pPr>
      <w:r w:rsidRPr="00103437">
        <w:rPr>
          <w:rFonts w:eastAsia="Times New Roman" w:cs="Arial"/>
          <w:color w:val="auto"/>
          <w:szCs w:val="20"/>
          <w:lang w:eastAsia="en-GB"/>
        </w:rPr>
        <w:t xml:space="preserve">Despite these factors - which can make performance data hard to interpret - underlying investment performance remains strong, with local currency investment returns in line with, or ahead of, expectations. </w:t>
      </w:r>
    </w:p>
    <w:p w:rsidR="00103437" w:rsidRDefault="0062660D" w:rsidP="00103437">
      <w:pPr>
        <w:widowControl w:val="0"/>
        <w:tabs>
          <w:tab w:val="left" w:pos="975"/>
        </w:tabs>
        <w:jc w:val="left"/>
        <w:rPr>
          <w:rFonts w:eastAsia="Times New Roman" w:cs="Arial"/>
          <w:color w:val="auto"/>
          <w:szCs w:val="20"/>
          <w:lang w:eastAsia="en-GB"/>
        </w:rPr>
      </w:pPr>
    </w:p>
    <w:p w:rsidR="00CC57F6" w:rsidRPr="00103437" w:rsidRDefault="0062660D" w:rsidP="00103437">
      <w:pPr>
        <w:widowControl w:val="0"/>
        <w:tabs>
          <w:tab w:val="left" w:pos="975"/>
        </w:tabs>
        <w:jc w:val="left"/>
        <w:rPr>
          <w:rFonts w:eastAsia="Times New Roman" w:cs="Arial"/>
          <w:color w:val="auto"/>
          <w:szCs w:val="20"/>
          <w:lang w:eastAsia="en-GB"/>
        </w:rPr>
      </w:pPr>
    </w:p>
    <w:p w:rsidR="00671928" w:rsidRPr="00D63B3B" w:rsidRDefault="0062660D" w:rsidP="00671928">
      <w:pPr>
        <w:keepNext/>
        <w:keepLines/>
        <w:widowControl w:val="0"/>
        <w:spacing w:after="0"/>
        <w:rPr>
          <w:rFonts w:eastAsia="Times New Roman" w:cs="Arial"/>
          <w:b/>
          <w:color w:val="auto"/>
          <w:sz w:val="28"/>
          <w:szCs w:val="28"/>
          <w:lang w:eastAsia="en-GB"/>
        </w:rPr>
      </w:pPr>
      <w:r w:rsidRPr="00D63B3B">
        <w:rPr>
          <w:rFonts w:eastAsia="Times New Roman" w:cs="Arial"/>
          <w:b/>
          <w:color w:val="auto"/>
          <w:sz w:val="28"/>
          <w:szCs w:val="28"/>
          <w:lang w:eastAsia="en-GB"/>
        </w:rPr>
        <w:t>Listed Equities</w:t>
      </w:r>
    </w:p>
    <w:p w:rsidR="00D63B3B" w:rsidRDefault="0062660D" w:rsidP="00D63B3B">
      <w:pPr>
        <w:widowControl w:val="0"/>
        <w:spacing w:after="0" w:line="276" w:lineRule="auto"/>
        <w:jc w:val="left"/>
        <w:rPr>
          <w:rFonts w:eastAsia="Times New Roman" w:cs="Arial"/>
          <w:color w:val="auto"/>
          <w:szCs w:val="20"/>
          <w:lang w:eastAsia="en-GB"/>
        </w:rPr>
      </w:pPr>
      <w:r w:rsidRPr="00D63B3B">
        <w:rPr>
          <w:rFonts w:eastAsia="Times New Roman" w:cs="Arial"/>
          <w:color w:val="auto"/>
          <w:szCs w:val="20"/>
          <w:lang w:eastAsia="en-GB"/>
        </w:rPr>
        <w:t xml:space="preserve">The performance of active equity managers is shown in the charts </w:t>
      </w:r>
      <w:r>
        <w:rPr>
          <w:rFonts w:eastAsia="Times New Roman" w:cs="Arial"/>
          <w:color w:val="auto"/>
          <w:szCs w:val="20"/>
          <w:lang w:eastAsia="en-GB"/>
        </w:rPr>
        <w:t>below:</w:t>
      </w:r>
    </w:p>
    <w:p w:rsidR="00D63B3B" w:rsidRDefault="0062660D" w:rsidP="00D63B3B">
      <w:pPr>
        <w:widowControl w:val="0"/>
        <w:spacing w:after="0" w:line="276" w:lineRule="auto"/>
        <w:jc w:val="left"/>
        <w:rPr>
          <w:rFonts w:eastAsia="Times New Roman" w:cs="Arial"/>
          <w:color w:val="auto"/>
          <w:szCs w:val="20"/>
          <w:lang w:eastAsia="en-GB"/>
        </w:rPr>
      </w:pPr>
    </w:p>
    <w:p w:rsidR="00D63B3B" w:rsidRPr="00D63B3B" w:rsidRDefault="0062660D" w:rsidP="00D63B3B">
      <w:pPr>
        <w:widowControl w:val="0"/>
        <w:spacing w:after="0" w:line="276" w:lineRule="auto"/>
        <w:jc w:val="left"/>
        <w:rPr>
          <w:rFonts w:eastAsia="Times New Roman" w:cs="Arial"/>
          <w:color w:val="auto"/>
          <w:szCs w:val="20"/>
          <w:lang w:eastAsia="en-GB"/>
        </w:rPr>
      </w:pPr>
    </w:p>
    <w:p w:rsidR="00AA3AA6" w:rsidRDefault="0062660D" w:rsidP="00AA3AA6">
      <w:pPr>
        <w:widowControl w:val="0"/>
        <w:spacing w:after="200" w:line="276" w:lineRule="auto"/>
        <w:jc w:val="left"/>
        <w:rPr>
          <w:rFonts w:eastAsia="Times New Roman" w:cs="Arial"/>
          <w:color w:val="auto"/>
          <w:szCs w:val="20"/>
          <w:lang w:eastAsia="en-GB"/>
        </w:rPr>
      </w:pPr>
      <w:r>
        <w:rPr>
          <w:noProof/>
          <w:lang w:eastAsia="en-GB"/>
        </w:rPr>
        <w:drawing>
          <wp:inline distT="0" distB="0" distL="0" distR="0" wp14:anchorId="1AD8849B" wp14:editId="7F63F869">
            <wp:extent cx="6602819" cy="4380230"/>
            <wp:effectExtent l="0" t="0" r="7620" b="12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03437" w:rsidRPr="00AA3AA6" w:rsidRDefault="0062660D" w:rsidP="00AA3AA6">
      <w:pPr>
        <w:widowControl w:val="0"/>
        <w:spacing w:after="200" w:line="276" w:lineRule="auto"/>
        <w:jc w:val="left"/>
        <w:rPr>
          <w:rFonts w:eastAsia="Times New Roman" w:cs="Arial"/>
          <w:color w:val="auto"/>
          <w:szCs w:val="20"/>
          <w:lang w:eastAsia="en-GB"/>
        </w:rPr>
      </w:pPr>
    </w:p>
    <w:p w:rsidR="00AA3AA6" w:rsidRDefault="0062660D" w:rsidP="00881748">
      <w:pPr>
        <w:spacing w:after="0" w:line="276" w:lineRule="auto"/>
        <w:jc w:val="left"/>
        <w:rPr>
          <w:rFonts w:eastAsia="Times New Roman" w:cs="Arial"/>
          <w:color w:val="auto"/>
          <w:szCs w:val="20"/>
          <w:lang w:eastAsia="en-GB"/>
        </w:rPr>
      </w:pPr>
    </w:p>
    <w:p w:rsidR="00AA3AA6" w:rsidRDefault="0062660D" w:rsidP="00881748">
      <w:pPr>
        <w:spacing w:after="0" w:line="276" w:lineRule="auto"/>
        <w:jc w:val="left"/>
        <w:rPr>
          <w:rFonts w:eastAsia="Times New Roman" w:cs="Arial"/>
          <w:color w:val="auto"/>
          <w:szCs w:val="20"/>
          <w:lang w:eastAsia="en-GB"/>
        </w:rPr>
      </w:pPr>
      <w:r>
        <w:rPr>
          <w:noProof/>
          <w:lang w:eastAsia="en-GB"/>
        </w:rPr>
        <w:drawing>
          <wp:inline distT="0" distB="0" distL="0" distR="0" wp14:anchorId="393DC6A3" wp14:editId="11FA23AC">
            <wp:extent cx="6623685" cy="4603898"/>
            <wp:effectExtent l="0" t="0" r="5715" b="63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A3AA6" w:rsidRDefault="0062660D" w:rsidP="00881748">
      <w:pPr>
        <w:spacing w:after="0" w:line="276" w:lineRule="auto"/>
        <w:jc w:val="left"/>
        <w:rPr>
          <w:rFonts w:eastAsia="Times New Roman" w:cs="Arial"/>
          <w:color w:val="auto"/>
          <w:szCs w:val="20"/>
          <w:lang w:eastAsia="en-GB"/>
        </w:rPr>
      </w:pPr>
    </w:p>
    <w:p w:rsidR="00AA3AA6" w:rsidRDefault="0062660D" w:rsidP="00881748">
      <w:pPr>
        <w:spacing w:after="0" w:line="276" w:lineRule="auto"/>
        <w:jc w:val="left"/>
        <w:rPr>
          <w:rFonts w:eastAsia="Times New Roman" w:cs="Arial"/>
          <w:color w:val="auto"/>
          <w:szCs w:val="20"/>
          <w:lang w:eastAsia="en-GB"/>
        </w:rPr>
      </w:pPr>
    </w:p>
    <w:p w:rsidR="0015659B" w:rsidRPr="0015659B" w:rsidRDefault="0062660D" w:rsidP="0015659B">
      <w:pPr>
        <w:widowControl w:val="0"/>
        <w:spacing w:after="0"/>
        <w:jc w:val="left"/>
        <w:rPr>
          <w:rFonts w:eastAsia="Times New Roman" w:cs="Arial"/>
          <w:color w:val="auto"/>
          <w:szCs w:val="20"/>
          <w:lang w:eastAsia="en-GB"/>
        </w:rPr>
      </w:pPr>
      <w:r w:rsidRPr="0015659B">
        <w:rPr>
          <w:rFonts w:eastAsia="Times New Roman" w:cs="Arial"/>
          <w:color w:val="auto"/>
          <w:szCs w:val="20"/>
          <w:lang w:eastAsia="en-GB"/>
        </w:rPr>
        <w:t>Active managers have discretion to make investments that deviate from the benchmark allocation within agreed constraints and tolerances. These decisions will reflect their vi</w:t>
      </w:r>
      <w:r w:rsidRPr="0015659B">
        <w:rPr>
          <w:rFonts w:eastAsia="Times New Roman" w:cs="Arial"/>
          <w:color w:val="auto"/>
          <w:szCs w:val="20"/>
          <w:lang w:eastAsia="en-GB"/>
        </w:rPr>
        <w:t>ews on market conditions within various countries or between various instruments.</w:t>
      </w:r>
    </w:p>
    <w:p w:rsidR="0015659B" w:rsidRPr="0015659B" w:rsidRDefault="0062660D" w:rsidP="0015659B">
      <w:pPr>
        <w:widowControl w:val="0"/>
        <w:spacing w:after="0"/>
        <w:rPr>
          <w:rFonts w:eastAsia="Times New Roman" w:cs="Arial"/>
          <w:color w:val="auto"/>
          <w:szCs w:val="20"/>
          <w:lang w:eastAsia="en-GB"/>
        </w:rPr>
      </w:pPr>
    </w:p>
    <w:p w:rsidR="0015659B" w:rsidRPr="0015659B" w:rsidRDefault="0062660D" w:rsidP="0015659B">
      <w:pPr>
        <w:widowControl w:val="0"/>
        <w:spacing w:after="0"/>
        <w:jc w:val="left"/>
        <w:rPr>
          <w:rFonts w:eastAsia="Times New Roman" w:cs="Arial"/>
          <w:color w:val="auto"/>
          <w:szCs w:val="20"/>
          <w:lang w:eastAsia="en-GB"/>
        </w:rPr>
      </w:pPr>
      <w:r w:rsidRPr="0015659B">
        <w:rPr>
          <w:rFonts w:eastAsia="Times New Roman" w:cs="Arial"/>
          <w:color w:val="auto"/>
          <w:szCs w:val="20"/>
          <w:lang w:eastAsia="en-GB"/>
        </w:rPr>
        <w:t xml:space="preserve">As part of an overall equity portfolio strategy, </w:t>
      </w:r>
      <w:proofErr w:type="spellStart"/>
      <w:r w:rsidRPr="0015659B">
        <w:rPr>
          <w:rFonts w:eastAsia="Times New Roman" w:cs="Arial"/>
          <w:color w:val="auto"/>
          <w:szCs w:val="20"/>
          <w:lang w:eastAsia="en-GB"/>
        </w:rPr>
        <w:t>Robeco</w:t>
      </w:r>
      <w:proofErr w:type="spellEnd"/>
      <w:r w:rsidRPr="0015659B">
        <w:rPr>
          <w:rFonts w:eastAsia="Times New Roman" w:cs="Arial"/>
          <w:color w:val="auto"/>
          <w:szCs w:val="20"/>
          <w:lang w:eastAsia="en-GB"/>
        </w:rPr>
        <w:t xml:space="preserve"> and Morgan Stanley were installed as defensive managers. As expected in a weaker market, they have significantly exceeded their benchmark over the past 12 months.  Baillie Gifford, NGAM, MFS, and Mage</w:t>
      </w:r>
      <w:r w:rsidRPr="0015659B">
        <w:rPr>
          <w:rFonts w:eastAsia="Times New Roman" w:cs="Arial"/>
          <w:color w:val="auto"/>
          <w:szCs w:val="20"/>
          <w:lang w:eastAsia="en-GB"/>
        </w:rPr>
        <w:t xml:space="preserve">llan were appointed with a growth bias and their out-performance against the benchmark since inception reflects this. </w:t>
      </w:r>
      <w:r>
        <w:rPr>
          <w:rFonts w:eastAsia="Times New Roman" w:cs="Arial"/>
          <w:color w:val="auto"/>
          <w:szCs w:val="20"/>
          <w:lang w:eastAsia="en-GB"/>
        </w:rPr>
        <w:t>The Fund</w:t>
      </w:r>
      <w:r w:rsidRPr="0015659B">
        <w:rPr>
          <w:rFonts w:eastAsia="Times New Roman" w:cs="Arial"/>
          <w:color w:val="auto"/>
          <w:szCs w:val="20"/>
          <w:lang w:eastAsia="en-GB"/>
        </w:rPr>
        <w:t xml:space="preserve"> is very pleased with the managers' performance.</w:t>
      </w:r>
    </w:p>
    <w:p w:rsidR="0015659B" w:rsidRPr="0015659B" w:rsidRDefault="0062660D" w:rsidP="0015659B">
      <w:pPr>
        <w:widowControl w:val="0"/>
        <w:spacing w:after="0"/>
        <w:rPr>
          <w:rFonts w:eastAsia="Times New Roman" w:cs="Arial"/>
          <w:color w:val="auto"/>
          <w:szCs w:val="20"/>
          <w:lang w:eastAsia="en-GB"/>
        </w:rPr>
      </w:pPr>
    </w:p>
    <w:p w:rsidR="0015659B" w:rsidRPr="0015659B" w:rsidRDefault="0062660D" w:rsidP="0015659B">
      <w:pPr>
        <w:widowControl w:val="0"/>
        <w:spacing w:after="0"/>
        <w:jc w:val="left"/>
        <w:rPr>
          <w:rFonts w:eastAsia="Times New Roman" w:cs="Arial"/>
          <w:color w:val="auto"/>
          <w:szCs w:val="20"/>
          <w:lang w:eastAsia="en-GB"/>
        </w:rPr>
      </w:pPr>
      <w:r w:rsidRPr="0015659B">
        <w:rPr>
          <w:rFonts w:eastAsia="Times New Roman" w:cs="Arial"/>
          <w:color w:val="auto"/>
          <w:szCs w:val="20"/>
          <w:lang w:eastAsia="en-GB"/>
        </w:rPr>
        <w:t>AGF focus entirely on emerging market equities and have performed slightly behin</w:t>
      </w:r>
      <w:r w:rsidRPr="0015659B">
        <w:rPr>
          <w:rFonts w:eastAsia="Times New Roman" w:cs="Arial"/>
          <w:color w:val="auto"/>
          <w:szCs w:val="20"/>
          <w:lang w:eastAsia="en-GB"/>
        </w:rPr>
        <w:t xml:space="preserve">d benchmark in a period of extreme volatility. We would expect a high conviction manager who does not seek to track the index to be able to produce excess performance versus the benchmark over time, especially in such a diverse universe as emerging market </w:t>
      </w:r>
      <w:r w:rsidRPr="0015659B">
        <w:rPr>
          <w:rFonts w:eastAsia="Times New Roman" w:cs="Arial"/>
          <w:color w:val="auto"/>
          <w:szCs w:val="20"/>
          <w:lang w:eastAsia="en-GB"/>
        </w:rPr>
        <w:t>equities.</w:t>
      </w:r>
    </w:p>
    <w:p w:rsidR="0015659B" w:rsidRPr="0015659B" w:rsidRDefault="0062660D" w:rsidP="0015659B">
      <w:pPr>
        <w:widowControl w:val="0"/>
        <w:spacing w:after="0"/>
        <w:rPr>
          <w:rFonts w:eastAsia="Times New Roman" w:cs="Arial"/>
          <w:color w:val="auto"/>
          <w:szCs w:val="20"/>
          <w:lang w:eastAsia="en-GB"/>
        </w:rPr>
      </w:pPr>
    </w:p>
    <w:p w:rsidR="0015659B" w:rsidRPr="0015659B" w:rsidRDefault="0062660D" w:rsidP="0015659B">
      <w:pPr>
        <w:widowControl w:val="0"/>
        <w:spacing w:after="0"/>
        <w:jc w:val="left"/>
        <w:rPr>
          <w:rFonts w:eastAsia="Times New Roman" w:cs="Arial"/>
          <w:color w:val="auto"/>
          <w:szCs w:val="20"/>
          <w:lang w:eastAsia="en-GB"/>
        </w:rPr>
      </w:pPr>
      <w:r w:rsidRPr="0015659B">
        <w:rPr>
          <w:rFonts w:eastAsia="Times New Roman" w:cs="Arial"/>
          <w:color w:val="auto"/>
          <w:szCs w:val="20"/>
          <w:lang w:eastAsia="en-GB"/>
        </w:rPr>
        <w:t xml:space="preserve">The period over which performance is being measured for all of these managers, however, is not yet significant enough to draw any solid conclusions.  </w:t>
      </w:r>
    </w:p>
    <w:p w:rsidR="00AA3AA6" w:rsidRDefault="0062660D" w:rsidP="00881748">
      <w:pPr>
        <w:spacing w:after="0" w:line="276" w:lineRule="auto"/>
        <w:jc w:val="left"/>
        <w:rPr>
          <w:rFonts w:eastAsia="Times New Roman" w:cs="Arial"/>
          <w:color w:val="auto"/>
          <w:szCs w:val="20"/>
          <w:lang w:eastAsia="en-GB"/>
        </w:rPr>
      </w:pPr>
    </w:p>
    <w:p w:rsidR="00881748" w:rsidRDefault="0062660D" w:rsidP="00881748">
      <w:pPr>
        <w:spacing w:after="0" w:line="276" w:lineRule="auto"/>
        <w:jc w:val="left"/>
        <w:rPr>
          <w:rFonts w:eastAsia="Times New Roman" w:cs="Arial"/>
          <w:color w:val="auto"/>
          <w:szCs w:val="20"/>
          <w:lang w:eastAsia="en-GB"/>
        </w:rPr>
      </w:pPr>
      <w:r w:rsidRPr="008E433A">
        <w:rPr>
          <w:rFonts w:eastAsia="Times New Roman" w:cs="Arial"/>
          <w:color w:val="auto"/>
          <w:szCs w:val="20"/>
          <w:lang w:eastAsia="en-GB"/>
        </w:rPr>
        <w:t>.</w:t>
      </w:r>
    </w:p>
    <w:p w:rsidR="0015659B" w:rsidRDefault="0062660D" w:rsidP="00881748">
      <w:pPr>
        <w:spacing w:after="0" w:line="276" w:lineRule="auto"/>
        <w:jc w:val="left"/>
        <w:rPr>
          <w:rFonts w:eastAsia="Times New Roman" w:cs="Arial"/>
          <w:color w:val="auto"/>
          <w:szCs w:val="20"/>
          <w:lang w:eastAsia="en-GB"/>
        </w:rPr>
      </w:pPr>
    </w:p>
    <w:p w:rsidR="0015659B" w:rsidRDefault="0062660D" w:rsidP="00881748">
      <w:pPr>
        <w:spacing w:after="0" w:line="276" w:lineRule="auto"/>
        <w:jc w:val="left"/>
        <w:rPr>
          <w:rFonts w:eastAsia="Times New Roman" w:cs="Arial"/>
          <w:color w:val="auto"/>
          <w:szCs w:val="20"/>
          <w:lang w:eastAsia="en-GB"/>
        </w:rPr>
      </w:pPr>
    </w:p>
    <w:p w:rsidR="0015659B" w:rsidRDefault="0062660D" w:rsidP="00881748">
      <w:pPr>
        <w:spacing w:after="0" w:line="276" w:lineRule="auto"/>
        <w:jc w:val="left"/>
        <w:rPr>
          <w:rFonts w:eastAsia="Times New Roman" w:cs="Arial"/>
          <w:color w:val="auto"/>
          <w:szCs w:val="20"/>
          <w:lang w:eastAsia="en-GB"/>
        </w:rPr>
      </w:pPr>
    </w:p>
    <w:p w:rsidR="0015659B" w:rsidRDefault="0062660D" w:rsidP="00881748">
      <w:pPr>
        <w:spacing w:after="0" w:line="276" w:lineRule="auto"/>
        <w:jc w:val="left"/>
        <w:rPr>
          <w:rFonts w:eastAsia="Times New Roman" w:cs="Arial"/>
          <w:color w:val="auto"/>
          <w:szCs w:val="20"/>
          <w:lang w:eastAsia="en-GB"/>
        </w:rPr>
      </w:pPr>
    </w:p>
    <w:p w:rsidR="0015659B" w:rsidRDefault="0062660D" w:rsidP="00881748">
      <w:pPr>
        <w:spacing w:after="0" w:line="276" w:lineRule="auto"/>
        <w:jc w:val="left"/>
        <w:rPr>
          <w:rFonts w:eastAsia="Times New Roman" w:cs="Arial"/>
          <w:color w:val="auto"/>
          <w:szCs w:val="20"/>
          <w:lang w:eastAsia="en-GB"/>
        </w:rPr>
      </w:pPr>
    </w:p>
    <w:p w:rsidR="0015659B" w:rsidRPr="008E433A" w:rsidRDefault="0062660D" w:rsidP="00881748">
      <w:pPr>
        <w:spacing w:after="0" w:line="276" w:lineRule="auto"/>
        <w:jc w:val="left"/>
        <w:rPr>
          <w:rFonts w:eastAsia="Times New Roman" w:cs="Arial"/>
          <w:color w:val="auto"/>
          <w:szCs w:val="20"/>
          <w:lang w:eastAsia="en-GB"/>
        </w:rPr>
      </w:pPr>
    </w:p>
    <w:p w:rsidR="00881748" w:rsidRPr="008E433A" w:rsidRDefault="0062660D" w:rsidP="00FE4B18">
      <w:pPr>
        <w:widowControl w:val="0"/>
        <w:tabs>
          <w:tab w:val="left" w:pos="975"/>
        </w:tabs>
        <w:jc w:val="left"/>
        <w:rPr>
          <w:rFonts w:cs="Arial"/>
        </w:rPr>
      </w:pPr>
      <w:r w:rsidRPr="0015659B">
        <w:rPr>
          <w:rFonts w:eastAsia="Times New Roman" w:cs="Arial"/>
          <w:color w:val="auto"/>
          <w:szCs w:val="20"/>
          <w:lang w:eastAsia="en-GB"/>
        </w:rPr>
        <w:t>The largest ten direct equity holdings of the Fund as at 31 March 2016 were:</w:t>
      </w:r>
    </w:p>
    <w:tbl>
      <w:tblPr>
        <w:tblStyle w:val="TableGrid4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2128"/>
        <w:gridCol w:w="2550"/>
      </w:tblGrid>
      <w:tr w:rsidR="006A2C17" w:rsidTr="00311FAC">
        <w:tc>
          <w:tcPr>
            <w:tcW w:w="4928" w:type="dxa"/>
          </w:tcPr>
          <w:p w:rsidR="0015659B" w:rsidRPr="0015659B" w:rsidRDefault="0062660D" w:rsidP="0015659B">
            <w:pPr>
              <w:spacing w:after="0"/>
              <w:jc w:val="left"/>
              <w:rPr>
                <w:rFonts w:ascii="Arial" w:eastAsia="Times New Roman" w:hAnsi="Arial" w:cs="Arial"/>
                <w:b/>
                <w:noProof/>
                <w:color w:val="auto"/>
                <w:lang w:eastAsia="en-GB"/>
              </w:rPr>
            </w:pPr>
            <w:r w:rsidRPr="0015659B">
              <w:rPr>
                <w:rFonts w:ascii="Arial" w:eastAsia="Times New Roman" w:hAnsi="Arial" w:cs="Arial"/>
                <w:b/>
                <w:noProof/>
                <w:color w:val="auto"/>
                <w:lang w:eastAsia="en-GB"/>
              </w:rPr>
              <w:t>Equity</w:t>
            </w:r>
          </w:p>
        </w:tc>
        <w:tc>
          <w:tcPr>
            <w:tcW w:w="2128" w:type="dxa"/>
          </w:tcPr>
          <w:p w:rsidR="0015659B" w:rsidRPr="0015659B" w:rsidRDefault="0062660D" w:rsidP="0015659B">
            <w:pPr>
              <w:spacing w:after="0"/>
              <w:jc w:val="center"/>
              <w:rPr>
                <w:rFonts w:ascii="Arial" w:eastAsia="Times New Roman" w:hAnsi="Arial" w:cs="Arial"/>
                <w:b/>
                <w:noProof/>
                <w:color w:val="auto"/>
                <w:lang w:eastAsia="en-GB"/>
              </w:rPr>
            </w:pPr>
            <w:r w:rsidRPr="0015659B">
              <w:rPr>
                <w:rFonts w:ascii="Arial" w:eastAsia="Times New Roman" w:hAnsi="Arial" w:cs="Arial"/>
                <w:b/>
                <w:noProof/>
                <w:color w:val="auto"/>
                <w:lang w:eastAsia="en-GB"/>
              </w:rPr>
              <w:t>Market value as at 31 March 201</w:t>
            </w:r>
            <w:r>
              <w:rPr>
                <w:rFonts w:ascii="Arial" w:eastAsia="Times New Roman" w:hAnsi="Arial" w:cs="Arial"/>
                <w:b/>
                <w:noProof/>
                <w:color w:val="auto"/>
                <w:lang w:eastAsia="en-GB"/>
              </w:rPr>
              <w:t>6</w:t>
            </w:r>
          </w:p>
        </w:tc>
        <w:tc>
          <w:tcPr>
            <w:tcW w:w="2550" w:type="dxa"/>
          </w:tcPr>
          <w:p w:rsidR="0015659B" w:rsidRPr="0015659B" w:rsidRDefault="0062660D" w:rsidP="0015659B">
            <w:pPr>
              <w:spacing w:after="0"/>
              <w:jc w:val="center"/>
              <w:rPr>
                <w:rFonts w:ascii="Arial" w:eastAsia="Times New Roman" w:hAnsi="Arial" w:cs="Arial"/>
                <w:b/>
                <w:noProof/>
                <w:color w:val="auto"/>
                <w:lang w:eastAsia="en-GB"/>
              </w:rPr>
            </w:pPr>
            <w:r w:rsidRPr="0015659B">
              <w:rPr>
                <w:rFonts w:ascii="Arial" w:eastAsia="Times New Roman" w:hAnsi="Arial" w:cs="Arial"/>
                <w:b/>
                <w:noProof/>
                <w:color w:val="auto"/>
                <w:lang w:eastAsia="en-GB"/>
              </w:rPr>
              <w:t>Percentage of net assets of the Fund</w:t>
            </w:r>
          </w:p>
        </w:tc>
      </w:tr>
      <w:tr w:rsidR="006A2C17" w:rsidTr="00311FAC">
        <w:tc>
          <w:tcPr>
            <w:tcW w:w="4928" w:type="dxa"/>
          </w:tcPr>
          <w:p w:rsidR="0015659B" w:rsidRPr="0015659B" w:rsidRDefault="0062660D" w:rsidP="0015659B">
            <w:pPr>
              <w:spacing w:after="0"/>
              <w:jc w:val="center"/>
              <w:rPr>
                <w:rFonts w:ascii="Arial" w:eastAsia="Times New Roman" w:hAnsi="Arial" w:cs="Arial"/>
                <w:noProof/>
                <w:color w:val="auto"/>
                <w:lang w:eastAsia="en-GB"/>
              </w:rPr>
            </w:pPr>
          </w:p>
        </w:tc>
        <w:tc>
          <w:tcPr>
            <w:tcW w:w="2128" w:type="dxa"/>
          </w:tcPr>
          <w:p w:rsidR="0015659B" w:rsidRPr="0015659B" w:rsidRDefault="0062660D" w:rsidP="0015659B">
            <w:pPr>
              <w:spacing w:after="0"/>
              <w:jc w:val="center"/>
              <w:rPr>
                <w:rFonts w:ascii="Arial" w:eastAsia="Times New Roman" w:hAnsi="Arial" w:cs="Arial"/>
                <w:b/>
                <w:noProof/>
                <w:color w:val="auto"/>
                <w:lang w:eastAsia="en-GB"/>
              </w:rPr>
            </w:pPr>
            <w:r w:rsidRPr="0015659B">
              <w:rPr>
                <w:rFonts w:ascii="Arial" w:eastAsia="Times New Roman" w:hAnsi="Arial" w:cs="Arial"/>
                <w:b/>
                <w:noProof/>
                <w:color w:val="auto"/>
                <w:lang w:eastAsia="en-GB"/>
              </w:rPr>
              <w:t>£m</w:t>
            </w:r>
          </w:p>
        </w:tc>
        <w:tc>
          <w:tcPr>
            <w:tcW w:w="2550" w:type="dxa"/>
          </w:tcPr>
          <w:p w:rsidR="0015659B" w:rsidRPr="0015659B" w:rsidRDefault="0062660D" w:rsidP="0015659B">
            <w:pPr>
              <w:spacing w:after="0"/>
              <w:jc w:val="center"/>
              <w:rPr>
                <w:rFonts w:ascii="Arial" w:eastAsia="Times New Roman" w:hAnsi="Arial" w:cs="Arial"/>
                <w:b/>
                <w:noProof/>
                <w:color w:val="auto"/>
                <w:lang w:eastAsia="en-GB"/>
              </w:rPr>
            </w:pPr>
            <w:r w:rsidRPr="0015659B">
              <w:rPr>
                <w:rFonts w:ascii="Arial" w:eastAsia="Times New Roman" w:hAnsi="Arial" w:cs="Arial"/>
                <w:b/>
                <w:noProof/>
                <w:color w:val="auto"/>
                <w:lang w:eastAsia="en-GB"/>
              </w:rPr>
              <w:t>%</w:t>
            </w:r>
          </w:p>
        </w:tc>
      </w:tr>
      <w:tr w:rsidR="006A2C17" w:rsidTr="00311FAC">
        <w:tc>
          <w:tcPr>
            <w:tcW w:w="4928" w:type="dxa"/>
          </w:tcPr>
          <w:p w:rsidR="00755FD5" w:rsidRDefault="0062660D" w:rsidP="0015659B">
            <w:pPr>
              <w:spacing w:after="0"/>
              <w:jc w:val="left"/>
              <w:rPr>
                <w:rFonts w:eastAsia="Times New Roman" w:cs="Arial"/>
                <w:noProof/>
                <w:color w:val="auto"/>
                <w:lang w:eastAsia="en-GB"/>
              </w:rPr>
            </w:pPr>
          </w:p>
        </w:tc>
        <w:tc>
          <w:tcPr>
            <w:tcW w:w="2128" w:type="dxa"/>
          </w:tcPr>
          <w:p w:rsidR="00755FD5" w:rsidRDefault="0062660D" w:rsidP="0015659B">
            <w:pPr>
              <w:spacing w:after="0"/>
              <w:jc w:val="center"/>
              <w:rPr>
                <w:rFonts w:eastAsia="Times New Roman" w:cs="Arial"/>
                <w:noProof/>
                <w:color w:val="auto"/>
                <w:lang w:eastAsia="en-GB"/>
              </w:rPr>
            </w:pPr>
          </w:p>
        </w:tc>
        <w:tc>
          <w:tcPr>
            <w:tcW w:w="2550" w:type="dxa"/>
          </w:tcPr>
          <w:p w:rsidR="00755FD5" w:rsidRDefault="0062660D" w:rsidP="0015659B">
            <w:pPr>
              <w:spacing w:after="0"/>
              <w:jc w:val="center"/>
              <w:rPr>
                <w:rFonts w:eastAsia="Times New Roman" w:cs="Arial"/>
                <w:noProof/>
                <w:color w:val="auto"/>
                <w:lang w:eastAsia="en-GB"/>
              </w:rPr>
            </w:pPr>
          </w:p>
        </w:tc>
      </w:tr>
      <w:tr w:rsidR="006A2C17" w:rsidTr="00311FAC">
        <w:tc>
          <w:tcPr>
            <w:tcW w:w="4928" w:type="dxa"/>
          </w:tcPr>
          <w:p w:rsidR="0015659B" w:rsidRPr="0015659B" w:rsidRDefault="0062660D" w:rsidP="0015659B">
            <w:pPr>
              <w:spacing w:after="0"/>
              <w:jc w:val="left"/>
              <w:rPr>
                <w:rFonts w:ascii="Arial" w:eastAsia="Times New Roman" w:hAnsi="Arial" w:cs="Arial"/>
                <w:noProof/>
                <w:color w:val="auto"/>
                <w:lang w:eastAsia="en-GB"/>
              </w:rPr>
            </w:pPr>
            <w:r>
              <w:rPr>
                <w:rFonts w:ascii="Arial" w:eastAsia="Times New Roman" w:hAnsi="Arial" w:cs="Arial"/>
                <w:noProof/>
                <w:color w:val="auto"/>
                <w:lang w:eastAsia="en-GB"/>
              </w:rPr>
              <w:t>Visa Inc</w:t>
            </w:r>
          </w:p>
        </w:tc>
        <w:tc>
          <w:tcPr>
            <w:tcW w:w="2128" w:type="dxa"/>
          </w:tcPr>
          <w:p w:rsidR="0015659B" w:rsidRPr="0015659B" w:rsidRDefault="0062660D" w:rsidP="0015659B">
            <w:pPr>
              <w:spacing w:after="0"/>
              <w:jc w:val="center"/>
              <w:rPr>
                <w:rFonts w:ascii="Arial" w:eastAsia="Times New Roman" w:hAnsi="Arial" w:cs="Arial"/>
                <w:noProof/>
                <w:color w:val="auto"/>
                <w:lang w:eastAsia="en-GB"/>
              </w:rPr>
            </w:pPr>
            <w:r>
              <w:rPr>
                <w:rFonts w:ascii="Arial" w:eastAsia="Times New Roman" w:hAnsi="Arial" w:cs="Arial"/>
                <w:noProof/>
                <w:color w:val="auto"/>
                <w:lang w:eastAsia="en-GB"/>
              </w:rPr>
              <w:t>43.5</w:t>
            </w:r>
          </w:p>
        </w:tc>
        <w:tc>
          <w:tcPr>
            <w:tcW w:w="2550" w:type="dxa"/>
          </w:tcPr>
          <w:p w:rsidR="0015659B" w:rsidRPr="0015659B" w:rsidRDefault="0062660D" w:rsidP="0015659B">
            <w:pPr>
              <w:spacing w:after="0"/>
              <w:jc w:val="center"/>
              <w:rPr>
                <w:rFonts w:ascii="Arial" w:eastAsia="Times New Roman" w:hAnsi="Arial" w:cs="Arial"/>
                <w:noProof/>
                <w:color w:val="auto"/>
                <w:lang w:eastAsia="en-GB"/>
              </w:rPr>
            </w:pPr>
            <w:r>
              <w:rPr>
                <w:rFonts w:ascii="Arial" w:eastAsia="Times New Roman" w:hAnsi="Arial" w:cs="Arial"/>
                <w:noProof/>
                <w:color w:val="auto"/>
                <w:lang w:eastAsia="en-GB"/>
              </w:rPr>
              <w:t>0.72%</w:t>
            </w:r>
          </w:p>
        </w:tc>
      </w:tr>
      <w:tr w:rsidR="006A2C17" w:rsidTr="00311FAC">
        <w:tc>
          <w:tcPr>
            <w:tcW w:w="4928" w:type="dxa"/>
          </w:tcPr>
          <w:p w:rsidR="0015659B" w:rsidRPr="0015659B" w:rsidRDefault="0062660D" w:rsidP="0015659B">
            <w:pPr>
              <w:spacing w:after="0"/>
              <w:jc w:val="left"/>
              <w:rPr>
                <w:rFonts w:ascii="Arial" w:eastAsia="Times New Roman" w:hAnsi="Arial" w:cs="Arial"/>
                <w:noProof/>
                <w:color w:val="auto"/>
                <w:lang w:eastAsia="en-GB"/>
              </w:rPr>
            </w:pPr>
            <w:r>
              <w:rPr>
                <w:rFonts w:ascii="Arial" w:eastAsia="Times New Roman" w:hAnsi="Arial" w:cs="Arial"/>
                <w:noProof/>
                <w:color w:val="auto"/>
                <w:lang w:eastAsia="en-GB"/>
              </w:rPr>
              <w:t>Reckitt Ben</w:t>
            </w:r>
            <w:r>
              <w:rPr>
                <w:rFonts w:ascii="Arial" w:eastAsia="Times New Roman" w:hAnsi="Arial" w:cs="Arial"/>
                <w:noProof/>
                <w:color w:val="auto"/>
                <w:lang w:eastAsia="en-GB"/>
              </w:rPr>
              <w:t>c</w:t>
            </w:r>
            <w:r>
              <w:rPr>
                <w:rFonts w:ascii="Arial" w:eastAsia="Times New Roman" w:hAnsi="Arial" w:cs="Arial"/>
                <w:noProof/>
                <w:color w:val="auto"/>
                <w:lang w:eastAsia="en-GB"/>
              </w:rPr>
              <w:t xml:space="preserve">kiser </w:t>
            </w:r>
            <w:r>
              <w:rPr>
                <w:rFonts w:ascii="Arial" w:eastAsia="Times New Roman" w:hAnsi="Arial" w:cs="Arial"/>
                <w:noProof/>
                <w:color w:val="auto"/>
                <w:lang w:eastAsia="en-GB"/>
              </w:rPr>
              <w:t>Group Plc</w:t>
            </w:r>
          </w:p>
        </w:tc>
        <w:tc>
          <w:tcPr>
            <w:tcW w:w="2128" w:type="dxa"/>
          </w:tcPr>
          <w:p w:rsidR="0015659B" w:rsidRPr="0015659B" w:rsidRDefault="0062660D" w:rsidP="0015659B">
            <w:pPr>
              <w:spacing w:after="0"/>
              <w:jc w:val="center"/>
              <w:rPr>
                <w:rFonts w:ascii="Arial" w:eastAsia="Times New Roman" w:hAnsi="Arial" w:cs="Arial"/>
                <w:noProof/>
                <w:color w:val="auto"/>
                <w:lang w:eastAsia="en-GB"/>
              </w:rPr>
            </w:pPr>
            <w:r>
              <w:rPr>
                <w:rFonts w:ascii="Arial" w:eastAsia="Times New Roman" w:hAnsi="Arial" w:cs="Arial"/>
                <w:noProof/>
                <w:color w:val="auto"/>
                <w:lang w:eastAsia="en-GB"/>
              </w:rPr>
              <w:t>40.7</w:t>
            </w:r>
          </w:p>
        </w:tc>
        <w:tc>
          <w:tcPr>
            <w:tcW w:w="2550" w:type="dxa"/>
          </w:tcPr>
          <w:p w:rsidR="0015659B" w:rsidRPr="0015659B" w:rsidRDefault="0062660D" w:rsidP="0015659B">
            <w:pPr>
              <w:spacing w:after="0"/>
              <w:jc w:val="center"/>
              <w:rPr>
                <w:rFonts w:ascii="Arial" w:eastAsia="Times New Roman" w:hAnsi="Arial" w:cs="Arial"/>
                <w:noProof/>
                <w:color w:val="auto"/>
                <w:lang w:eastAsia="en-GB"/>
              </w:rPr>
            </w:pPr>
            <w:r>
              <w:rPr>
                <w:rFonts w:ascii="Arial" w:eastAsia="Times New Roman" w:hAnsi="Arial" w:cs="Arial"/>
                <w:noProof/>
                <w:color w:val="auto"/>
                <w:lang w:eastAsia="en-GB"/>
              </w:rPr>
              <w:t>0.68%</w:t>
            </w:r>
          </w:p>
        </w:tc>
      </w:tr>
      <w:tr w:rsidR="006A2C17" w:rsidTr="00311FAC">
        <w:tc>
          <w:tcPr>
            <w:tcW w:w="4928" w:type="dxa"/>
          </w:tcPr>
          <w:p w:rsidR="0015659B" w:rsidRPr="0015659B" w:rsidRDefault="0062660D" w:rsidP="0015659B">
            <w:pPr>
              <w:spacing w:after="0"/>
              <w:jc w:val="left"/>
              <w:rPr>
                <w:rFonts w:ascii="Arial" w:eastAsia="Times New Roman" w:hAnsi="Arial" w:cs="Arial"/>
                <w:noProof/>
                <w:color w:val="auto"/>
                <w:lang w:eastAsia="en-GB"/>
              </w:rPr>
            </w:pPr>
            <w:r>
              <w:rPr>
                <w:rFonts w:ascii="Arial" w:eastAsia="Times New Roman" w:hAnsi="Arial" w:cs="Arial"/>
                <w:noProof/>
                <w:color w:val="auto"/>
                <w:lang w:eastAsia="en-GB"/>
              </w:rPr>
              <w:t>Accenture Plc</w:t>
            </w:r>
          </w:p>
        </w:tc>
        <w:tc>
          <w:tcPr>
            <w:tcW w:w="2128" w:type="dxa"/>
          </w:tcPr>
          <w:p w:rsidR="0015659B" w:rsidRPr="0015659B" w:rsidRDefault="0062660D" w:rsidP="0015659B">
            <w:pPr>
              <w:spacing w:after="0"/>
              <w:jc w:val="center"/>
              <w:rPr>
                <w:rFonts w:ascii="Arial" w:eastAsia="Times New Roman" w:hAnsi="Arial" w:cs="Arial"/>
                <w:noProof/>
                <w:color w:val="auto"/>
                <w:lang w:eastAsia="en-GB"/>
              </w:rPr>
            </w:pPr>
            <w:r>
              <w:rPr>
                <w:rFonts w:ascii="Arial" w:eastAsia="Times New Roman" w:hAnsi="Arial" w:cs="Arial"/>
                <w:noProof/>
                <w:color w:val="auto"/>
                <w:lang w:eastAsia="en-GB"/>
              </w:rPr>
              <w:t>35.9</w:t>
            </w:r>
          </w:p>
        </w:tc>
        <w:tc>
          <w:tcPr>
            <w:tcW w:w="2550" w:type="dxa"/>
          </w:tcPr>
          <w:p w:rsidR="0015659B" w:rsidRPr="0015659B" w:rsidRDefault="0062660D" w:rsidP="0015659B">
            <w:pPr>
              <w:spacing w:after="0"/>
              <w:jc w:val="center"/>
              <w:rPr>
                <w:rFonts w:ascii="Arial" w:eastAsia="Times New Roman" w:hAnsi="Arial" w:cs="Arial"/>
                <w:noProof/>
                <w:color w:val="auto"/>
                <w:lang w:eastAsia="en-GB"/>
              </w:rPr>
            </w:pPr>
            <w:r>
              <w:rPr>
                <w:rFonts w:ascii="Arial" w:eastAsia="Times New Roman" w:hAnsi="Arial" w:cs="Arial"/>
                <w:noProof/>
                <w:color w:val="auto"/>
                <w:lang w:eastAsia="en-GB"/>
              </w:rPr>
              <w:t>0.60%</w:t>
            </w:r>
          </w:p>
        </w:tc>
      </w:tr>
      <w:tr w:rsidR="006A2C17" w:rsidTr="00311FAC">
        <w:tc>
          <w:tcPr>
            <w:tcW w:w="4928" w:type="dxa"/>
          </w:tcPr>
          <w:p w:rsidR="0015659B" w:rsidRPr="0015659B" w:rsidRDefault="0062660D" w:rsidP="0015659B">
            <w:pPr>
              <w:spacing w:after="0"/>
              <w:jc w:val="left"/>
              <w:rPr>
                <w:rFonts w:ascii="Arial" w:eastAsia="Times New Roman" w:hAnsi="Arial" w:cs="Arial"/>
                <w:noProof/>
                <w:color w:val="auto"/>
                <w:lang w:eastAsia="en-GB"/>
              </w:rPr>
            </w:pPr>
            <w:r>
              <w:rPr>
                <w:rFonts w:ascii="Arial" w:eastAsia="Times New Roman" w:hAnsi="Arial" w:cs="Arial"/>
                <w:noProof/>
                <w:color w:val="auto"/>
                <w:lang w:eastAsia="en-GB"/>
              </w:rPr>
              <w:t>Nestle SA</w:t>
            </w:r>
          </w:p>
        </w:tc>
        <w:tc>
          <w:tcPr>
            <w:tcW w:w="2128" w:type="dxa"/>
          </w:tcPr>
          <w:p w:rsidR="0015659B" w:rsidRPr="0015659B" w:rsidRDefault="0062660D" w:rsidP="0015659B">
            <w:pPr>
              <w:spacing w:after="0"/>
              <w:jc w:val="center"/>
              <w:rPr>
                <w:rFonts w:ascii="Arial" w:eastAsia="Times New Roman" w:hAnsi="Arial" w:cs="Arial"/>
                <w:noProof/>
                <w:color w:val="auto"/>
                <w:lang w:eastAsia="en-GB"/>
              </w:rPr>
            </w:pPr>
            <w:r>
              <w:rPr>
                <w:rFonts w:ascii="Arial" w:eastAsia="Times New Roman" w:hAnsi="Arial" w:cs="Arial"/>
                <w:noProof/>
                <w:color w:val="auto"/>
                <w:lang w:eastAsia="en-GB"/>
              </w:rPr>
              <w:t>35.5</w:t>
            </w:r>
          </w:p>
        </w:tc>
        <w:tc>
          <w:tcPr>
            <w:tcW w:w="2550" w:type="dxa"/>
          </w:tcPr>
          <w:p w:rsidR="0015659B" w:rsidRPr="0015659B" w:rsidRDefault="0062660D" w:rsidP="0015659B">
            <w:pPr>
              <w:spacing w:after="0"/>
              <w:jc w:val="center"/>
              <w:rPr>
                <w:rFonts w:ascii="Arial" w:eastAsia="Times New Roman" w:hAnsi="Arial" w:cs="Arial"/>
                <w:noProof/>
                <w:color w:val="auto"/>
                <w:lang w:eastAsia="en-GB"/>
              </w:rPr>
            </w:pPr>
            <w:r>
              <w:rPr>
                <w:rFonts w:ascii="Arial" w:eastAsia="Times New Roman" w:hAnsi="Arial" w:cs="Arial"/>
                <w:noProof/>
                <w:color w:val="auto"/>
                <w:lang w:eastAsia="en-GB"/>
              </w:rPr>
              <w:t>0.59%</w:t>
            </w:r>
          </w:p>
        </w:tc>
      </w:tr>
      <w:tr w:rsidR="006A2C17" w:rsidTr="00311FAC">
        <w:tc>
          <w:tcPr>
            <w:tcW w:w="4928" w:type="dxa"/>
          </w:tcPr>
          <w:p w:rsidR="0015659B" w:rsidRPr="0015659B" w:rsidRDefault="0062660D" w:rsidP="00755FD5">
            <w:pPr>
              <w:spacing w:after="0"/>
              <w:jc w:val="left"/>
              <w:rPr>
                <w:rFonts w:ascii="Arial" w:eastAsia="Times New Roman" w:hAnsi="Arial" w:cs="Arial"/>
                <w:noProof/>
                <w:color w:val="auto"/>
                <w:lang w:eastAsia="en-GB"/>
              </w:rPr>
            </w:pPr>
            <w:r>
              <w:rPr>
                <w:rFonts w:ascii="Arial" w:eastAsia="Times New Roman" w:hAnsi="Arial" w:cs="Arial"/>
                <w:noProof/>
                <w:color w:val="auto"/>
                <w:lang w:eastAsia="en-GB"/>
              </w:rPr>
              <w:t>British American Tobacco Plc</w:t>
            </w:r>
          </w:p>
        </w:tc>
        <w:tc>
          <w:tcPr>
            <w:tcW w:w="2128" w:type="dxa"/>
          </w:tcPr>
          <w:p w:rsidR="0015659B" w:rsidRPr="0015659B" w:rsidRDefault="0062660D" w:rsidP="0015659B">
            <w:pPr>
              <w:spacing w:after="0"/>
              <w:jc w:val="center"/>
              <w:rPr>
                <w:rFonts w:ascii="Arial" w:eastAsia="Times New Roman" w:hAnsi="Arial" w:cs="Arial"/>
                <w:noProof/>
                <w:color w:val="auto"/>
                <w:lang w:eastAsia="en-GB"/>
              </w:rPr>
            </w:pPr>
            <w:r>
              <w:rPr>
                <w:rFonts w:ascii="Arial" w:eastAsia="Times New Roman" w:hAnsi="Arial" w:cs="Arial"/>
                <w:noProof/>
                <w:color w:val="auto"/>
                <w:lang w:eastAsia="en-GB"/>
              </w:rPr>
              <w:t>27.4</w:t>
            </w:r>
          </w:p>
        </w:tc>
        <w:tc>
          <w:tcPr>
            <w:tcW w:w="2550" w:type="dxa"/>
          </w:tcPr>
          <w:p w:rsidR="0015659B" w:rsidRPr="0015659B" w:rsidRDefault="0062660D" w:rsidP="0015659B">
            <w:pPr>
              <w:spacing w:after="0"/>
              <w:jc w:val="center"/>
              <w:rPr>
                <w:rFonts w:ascii="Arial" w:eastAsia="Times New Roman" w:hAnsi="Arial" w:cs="Arial"/>
                <w:noProof/>
                <w:color w:val="auto"/>
                <w:lang w:eastAsia="en-GB"/>
              </w:rPr>
            </w:pPr>
            <w:r>
              <w:rPr>
                <w:rFonts w:ascii="Arial" w:eastAsia="Times New Roman" w:hAnsi="Arial" w:cs="Arial"/>
                <w:noProof/>
                <w:color w:val="auto"/>
                <w:lang w:eastAsia="en-GB"/>
              </w:rPr>
              <w:t>0.45%</w:t>
            </w:r>
          </w:p>
        </w:tc>
      </w:tr>
      <w:tr w:rsidR="006A2C17" w:rsidTr="00311FAC">
        <w:tc>
          <w:tcPr>
            <w:tcW w:w="4928" w:type="dxa"/>
          </w:tcPr>
          <w:p w:rsidR="0015659B" w:rsidRPr="0015659B" w:rsidRDefault="0062660D" w:rsidP="00755FD5">
            <w:pPr>
              <w:spacing w:after="0"/>
              <w:jc w:val="left"/>
              <w:rPr>
                <w:rFonts w:ascii="Arial" w:eastAsia="Times New Roman" w:hAnsi="Arial" w:cs="Arial"/>
                <w:noProof/>
                <w:color w:val="auto"/>
                <w:lang w:eastAsia="en-GB"/>
              </w:rPr>
            </w:pPr>
            <w:r>
              <w:rPr>
                <w:rFonts w:ascii="Arial" w:eastAsia="Times New Roman" w:hAnsi="Arial" w:cs="Arial"/>
                <w:noProof/>
                <w:color w:val="auto"/>
                <w:lang w:eastAsia="en-GB"/>
              </w:rPr>
              <w:t>Microsoft Corporation</w:t>
            </w:r>
          </w:p>
        </w:tc>
        <w:tc>
          <w:tcPr>
            <w:tcW w:w="2128" w:type="dxa"/>
          </w:tcPr>
          <w:p w:rsidR="0015659B" w:rsidRPr="0015659B" w:rsidRDefault="0062660D" w:rsidP="0015659B">
            <w:pPr>
              <w:spacing w:after="0"/>
              <w:jc w:val="center"/>
              <w:rPr>
                <w:rFonts w:ascii="Arial" w:eastAsia="Times New Roman" w:hAnsi="Arial" w:cs="Arial"/>
                <w:noProof/>
                <w:color w:val="auto"/>
                <w:lang w:eastAsia="en-GB"/>
              </w:rPr>
            </w:pPr>
            <w:r>
              <w:rPr>
                <w:rFonts w:ascii="Arial" w:eastAsia="Times New Roman" w:hAnsi="Arial" w:cs="Arial"/>
                <w:noProof/>
                <w:color w:val="auto"/>
                <w:lang w:eastAsia="en-GB"/>
              </w:rPr>
              <w:t>27.2</w:t>
            </w:r>
          </w:p>
        </w:tc>
        <w:tc>
          <w:tcPr>
            <w:tcW w:w="2550" w:type="dxa"/>
          </w:tcPr>
          <w:p w:rsidR="0015659B" w:rsidRPr="0015659B" w:rsidRDefault="0062660D" w:rsidP="0015659B">
            <w:pPr>
              <w:spacing w:after="0"/>
              <w:jc w:val="center"/>
              <w:rPr>
                <w:rFonts w:ascii="Arial" w:eastAsia="Times New Roman" w:hAnsi="Arial" w:cs="Arial"/>
                <w:noProof/>
                <w:color w:val="auto"/>
                <w:lang w:eastAsia="en-GB"/>
              </w:rPr>
            </w:pPr>
            <w:r>
              <w:rPr>
                <w:rFonts w:ascii="Arial" w:eastAsia="Times New Roman" w:hAnsi="Arial" w:cs="Arial"/>
                <w:noProof/>
                <w:color w:val="auto"/>
                <w:lang w:eastAsia="en-GB"/>
              </w:rPr>
              <w:t>0.45%</w:t>
            </w:r>
          </w:p>
        </w:tc>
      </w:tr>
      <w:tr w:rsidR="006A2C17" w:rsidTr="00311FAC">
        <w:tc>
          <w:tcPr>
            <w:tcW w:w="4928" w:type="dxa"/>
          </w:tcPr>
          <w:p w:rsidR="0015659B" w:rsidRPr="0015659B" w:rsidRDefault="0062660D" w:rsidP="00755FD5">
            <w:pPr>
              <w:spacing w:after="0"/>
              <w:jc w:val="left"/>
              <w:rPr>
                <w:rFonts w:ascii="Arial" w:eastAsia="Times New Roman" w:hAnsi="Arial" w:cs="Arial"/>
                <w:noProof/>
                <w:color w:val="auto"/>
                <w:lang w:eastAsia="en-GB"/>
              </w:rPr>
            </w:pPr>
            <w:r>
              <w:rPr>
                <w:rFonts w:ascii="Arial" w:eastAsia="Times New Roman" w:hAnsi="Arial" w:cs="Arial"/>
                <w:noProof/>
                <w:color w:val="auto"/>
                <w:lang w:eastAsia="en-GB"/>
              </w:rPr>
              <w:t>Walt Disney Corporation</w:t>
            </w:r>
          </w:p>
        </w:tc>
        <w:tc>
          <w:tcPr>
            <w:tcW w:w="2128" w:type="dxa"/>
          </w:tcPr>
          <w:p w:rsidR="0015659B" w:rsidRPr="0015659B" w:rsidRDefault="0062660D" w:rsidP="0015659B">
            <w:pPr>
              <w:spacing w:after="0"/>
              <w:jc w:val="center"/>
              <w:rPr>
                <w:rFonts w:ascii="Arial" w:eastAsia="Times New Roman" w:hAnsi="Arial" w:cs="Arial"/>
                <w:noProof/>
                <w:color w:val="auto"/>
                <w:lang w:eastAsia="en-GB"/>
              </w:rPr>
            </w:pPr>
            <w:r>
              <w:rPr>
                <w:rFonts w:ascii="Arial" w:eastAsia="Times New Roman" w:hAnsi="Arial" w:cs="Arial"/>
                <w:noProof/>
                <w:color w:val="auto"/>
                <w:lang w:eastAsia="en-GB"/>
              </w:rPr>
              <w:t>26.9</w:t>
            </w:r>
          </w:p>
        </w:tc>
        <w:tc>
          <w:tcPr>
            <w:tcW w:w="2550" w:type="dxa"/>
          </w:tcPr>
          <w:p w:rsidR="0015659B" w:rsidRPr="0015659B" w:rsidRDefault="0062660D" w:rsidP="0015659B">
            <w:pPr>
              <w:spacing w:after="0"/>
              <w:jc w:val="center"/>
              <w:rPr>
                <w:rFonts w:ascii="Arial" w:eastAsia="Times New Roman" w:hAnsi="Arial" w:cs="Arial"/>
                <w:noProof/>
                <w:color w:val="auto"/>
                <w:lang w:eastAsia="en-GB"/>
              </w:rPr>
            </w:pPr>
            <w:r>
              <w:rPr>
                <w:rFonts w:ascii="Arial" w:eastAsia="Times New Roman" w:hAnsi="Arial" w:cs="Arial"/>
                <w:noProof/>
                <w:color w:val="auto"/>
                <w:lang w:eastAsia="en-GB"/>
              </w:rPr>
              <w:t>0.45%</w:t>
            </w:r>
          </w:p>
        </w:tc>
      </w:tr>
      <w:tr w:rsidR="006A2C17" w:rsidTr="00311FAC">
        <w:tc>
          <w:tcPr>
            <w:tcW w:w="4928" w:type="dxa"/>
          </w:tcPr>
          <w:p w:rsidR="0015659B" w:rsidRPr="0015659B" w:rsidRDefault="0062660D" w:rsidP="0015659B">
            <w:pPr>
              <w:spacing w:after="0"/>
              <w:jc w:val="left"/>
              <w:rPr>
                <w:rFonts w:ascii="Arial" w:eastAsia="Times New Roman" w:hAnsi="Arial" w:cs="Arial"/>
                <w:noProof/>
                <w:color w:val="auto"/>
                <w:lang w:eastAsia="en-GB"/>
              </w:rPr>
            </w:pPr>
            <w:r>
              <w:rPr>
                <w:rFonts w:ascii="Arial" w:eastAsia="Times New Roman" w:hAnsi="Arial" w:cs="Arial"/>
                <w:noProof/>
                <w:color w:val="auto"/>
                <w:lang w:eastAsia="en-GB"/>
              </w:rPr>
              <w:t>Alphabet Inc (Google)</w:t>
            </w:r>
          </w:p>
        </w:tc>
        <w:tc>
          <w:tcPr>
            <w:tcW w:w="2128" w:type="dxa"/>
          </w:tcPr>
          <w:p w:rsidR="0015659B" w:rsidRPr="0015659B" w:rsidRDefault="0062660D" w:rsidP="0015659B">
            <w:pPr>
              <w:spacing w:after="0"/>
              <w:jc w:val="center"/>
              <w:rPr>
                <w:rFonts w:ascii="Arial" w:eastAsia="Times New Roman" w:hAnsi="Arial" w:cs="Arial"/>
                <w:noProof/>
                <w:color w:val="auto"/>
                <w:lang w:eastAsia="en-GB"/>
              </w:rPr>
            </w:pPr>
            <w:r>
              <w:rPr>
                <w:rFonts w:ascii="Arial" w:eastAsia="Times New Roman" w:hAnsi="Arial" w:cs="Arial"/>
                <w:noProof/>
                <w:color w:val="auto"/>
                <w:lang w:eastAsia="en-GB"/>
              </w:rPr>
              <w:t>26.5</w:t>
            </w:r>
          </w:p>
        </w:tc>
        <w:tc>
          <w:tcPr>
            <w:tcW w:w="2550" w:type="dxa"/>
          </w:tcPr>
          <w:p w:rsidR="0015659B" w:rsidRPr="0015659B" w:rsidRDefault="0062660D" w:rsidP="0015659B">
            <w:pPr>
              <w:spacing w:after="0"/>
              <w:jc w:val="center"/>
              <w:rPr>
                <w:rFonts w:ascii="Arial" w:eastAsia="Times New Roman" w:hAnsi="Arial" w:cs="Arial"/>
                <w:noProof/>
                <w:color w:val="auto"/>
                <w:lang w:eastAsia="en-GB"/>
              </w:rPr>
            </w:pPr>
            <w:r>
              <w:rPr>
                <w:rFonts w:ascii="Arial" w:eastAsia="Times New Roman" w:hAnsi="Arial" w:cs="Arial"/>
                <w:noProof/>
                <w:color w:val="auto"/>
                <w:lang w:eastAsia="en-GB"/>
              </w:rPr>
              <w:t>0.44%</w:t>
            </w:r>
          </w:p>
        </w:tc>
      </w:tr>
      <w:tr w:rsidR="006A2C17" w:rsidTr="00311FAC">
        <w:tc>
          <w:tcPr>
            <w:tcW w:w="4928" w:type="dxa"/>
          </w:tcPr>
          <w:p w:rsidR="0015659B" w:rsidRPr="0015659B" w:rsidRDefault="0062660D" w:rsidP="0015659B">
            <w:pPr>
              <w:spacing w:after="0"/>
              <w:jc w:val="left"/>
              <w:rPr>
                <w:rFonts w:ascii="Arial" w:eastAsia="Times New Roman" w:hAnsi="Arial" w:cs="Arial"/>
                <w:noProof/>
                <w:color w:val="auto"/>
                <w:lang w:eastAsia="en-GB"/>
              </w:rPr>
            </w:pPr>
            <w:r>
              <w:rPr>
                <w:rFonts w:ascii="Arial" w:eastAsia="Times New Roman" w:hAnsi="Arial" w:cs="Arial"/>
                <w:noProof/>
                <w:color w:val="auto"/>
                <w:lang w:eastAsia="en-GB"/>
              </w:rPr>
              <w:t>Amazon.Com Inc</w:t>
            </w:r>
          </w:p>
        </w:tc>
        <w:tc>
          <w:tcPr>
            <w:tcW w:w="2128" w:type="dxa"/>
          </w:tcPr>
          <w:p w:rsidR="0015659B" w:rsidRPr="0015659B" w:rsidRDefault="0062660D" w:rsidP="0015659B">
            <w:pPr>
              <w:spacing w:after="0"/>
              <w:jc w:val="center"/>
              <w:rPr>
                <w:rFonts w:ascii="Arial" w:eastAsia="Times New Roman" w:hAnsi="Arial" w:cs="Arial"/>
                <w:noProof/>
                <w:color w:val="auto"/>
                <w:lang w:eastAsia="en-GB"/>
              </w:rPr>
            </w:pPr>
            <w:r>
              <w:rPr>
                <w:rFonts w:ascii="Arial" w:eastAsia="Times New Roman" w:hAnsi="Arial" w:cs="Arial"/>
                <w:noProof/>
                <w:color w:val="auto"/>
                <w:lang w:eastAsia="en-GB"/>
              </w:rPr>
              <w:t>26.1</w:t>
            </w:r>
          </w:p>
        </w:tc>
        <w:tc>
          <w:tcPr>
            <w:tcW w:w="2550" w:type="dxa"/>
          </w:tcPr>
          <w:p w:rsidR="0015659B" w:rsidRPr="0015659B" w:rsidRDefault="0062660D" w:rsidP="0015659B">
            <w:pPr>
              <w:spacing w:after="0"/>
              <w:jc w:val="center"/>
              <w:rPr>
                <w:rFonts w:ascii="Arial" w:eastAsia="Times New Roman" w:hAnsi="Arial" w:cs="Arial"/>
                <w:noProof/>
                <w:color w:val="auto"/>
                <w:lang w:eastAsia="en-GB"/>
              </w:rPr>
            </w:pPr>
            <w:r>
              <w:rPr>
                <w:rFonts w:ascii="Arial" w:eastAsia="Times New Roman" w:hAnsi="Arial" w:cs="Arial"/>
                <w:noProof/>
                <w:color w:val="auto"/>
                <w:lang w:eastAsia="en-GB"/>
              </w:rPr>
              <w:t>0.43%</w:t>
            </w:r>
          </w:p>
        </w:tc>
      </w:tr>
      <w:tr w:rsidR="006A2C17" w:rsidTr="00311FAC">
        <w:tc>
          <w:tcPr>
            <w:tcW w:w="4928" w:type="dxa"/>
          </w:tcPr>
          <w:p w:rsidR="0015659B" w:rsidRPr="0015659B" w:rsidRDefault="0062660D" w:rsidP="0015659B">
            <w:pPr>
              <w:spacing w:after="0"/>
              <w:jc w:val="left"/>
              <w:rPr>
                <w:rFonts w:ascii="Arial" w:eastAsia="Times New Roman" w:hAnsi="Arial" w:cs="Arial"/>
                <w:noProof/>
                <w:color w:val="auto"/>
                <w:lang w:eastAsia="en-GB"/>
              </w:rPr>
            </w:pPr>
            <w:r>
              <w:rPr>
                <w:rFonts w:ascii="Arial" w:eastAsia="Times New Roman" w:hAnsi="Arial" w:cs="Arial"/>
                <w:noProof/>
                <w:color w:val="auto"/>
                <w:lang w:eastAsia="en-GB"/>
              </w:rPr>
              <w:t>SAP SE</w:t>
            </w:r>
          </w:p>
        </w:tc>
        <w:tc>
          <w:tcPr>
            <w:tcW w:w="2128" w:type="dxa"/>
          </w:tcPr>
          <w:p w:rsidR="0015659B" w:rsidRPr="0015659B" w:rsidRDefault="0062660D" w:rsidP="0015659B">
            <w:pPr>
              <w:spacing w:after="0"/>
              <w:jc w:val="center"/>
              <w:rPr>
                <w:rFonts w:ascii="Arial" w:eastAsia="Times New Roman" w:hAnsi="Arial" w:cs="Arial"/>
                <w:noProof/>
                <w:color w:val="auto"/>
                <w:lang w:eastAsia="en-GB"/>
              </w:rPr>
            </w:pPr>
            <w:r>
              <w:rPr>
                <w:rFonts w:ascii="Arial" w:eastAsia="Times New Roman" w:hAnsi="Arial" w:cs="Arial"/>
                <w:noProof/>
                <w:color w:val="auto"/>
                <w:lang w:eastAsia="en-GB"/>
              </w:rPr>
              <w:t>25.6</w:t>
            </w:r>
          </w:p>
        </w:tc>
        <w:tc>
          <w:tcPr>
            <w:tcW w:w="2550" w:type="dxa"/>
          </w:tcPr>
          <w:p w:rsidR="0015659B" w:rsidRPr="0015659B" w:rsidRDefault="0062660D" w:rsidP="0015659B">
            <w:pPr>
              <w:spacing w:after="0"/>
              <w:jc w:val="center"/>
              <w:rPr>
                <w:rFonts w:ascii="Arial" w:eastAsia="Times New Roman" w:hAnsi="Arial" w:cs="Arial"/>
                <w:noProof/>
                <w:color w:val="auto"/>
                <w:lang w:eastAsia="en-GB"/>
              </w:rPr>
            </w:pPr>
            <w:r>
              <w:rPr>
                <w:rFonts w:ascii="Arial" w:eastAsia="Times New Roman" w:hAnsi="Arial" w:cs="Arial"/>
                <w:noProof/>
                <w:color w:val="auto"/>
                <w:lang w:eastAsia="en-GB"/>
              </w:rPr>
              <w:t>0.42%</w:t>
            </w:r>
          </w:p>
        </w:tc>
      </w:tr>
      <w:tr w:rsidR="006A2C17" w:rsidTr="00311FAC">
        <w:trPr>
          <w:trHeight w:val="437"/>
        </w:trPr>
        <w:tc>
          <w:tcPr>
            <w:tcW w:w="4928" w:type="dxa"/>
          </w:tcPr>
          <w:p w:rsidR="0015659B" w:rsidRPr="0015659B" w:rsidRDefault="0062660D" w:rsidP="0015659B">
            <w:pPr>
              <w:spacing w:after="0" w:line="360" w:lineRule="auto"/>
              <w:jc w:val="center"/>
              <w:rPr>
                <w:rFonts w:ascii="Arial" w:eastAsia="Times New Roman" w:hAnsi="Arial" w:cs="Arial"/>
                <w:noProof/>
                <w:color w:val="auto"/>
                <w:lang w:eastAsia="en-GB"/>
              </w:rPr>
            </w:pPr>
          </w:p>
        </w:tc>
        <w:tc>
          <w:tcPr>
            <w:tcW w:w="2128" w:type="dxa"/>
          </w:tcPr>
          <w:p w:rsidR="0015659B" w:rsidRPr="0015659B" w:rsidRDefault="0062660D" w:rsidP="0015659B">
            <w:pPr>
              <w:spacing w:after="0"/>
              <w:jc w:val="center"/>
              <w:rPr>
                <w:rFonts w:ascii="Arial" w:eastAsia="Times New Roman" w:hAnsi="Arial" w:cs="Arial"/>
                <w:b/>
                <w:noProof/>
                <w:color w:val="auto"/>
                <w:lang w:eastAsia="en-GB"/>
              </w:rPr>
            </w:pPr>
            <w:r>
              <w:rPr>
                <w:rFonts w:ascii="Arial" w:eastAsia="Times New Roman" w:hAnsi="Arial" w:cs="Arial"/>
                <w:b/>
                <w:noProof/>
                <w:color w:val="auto"/>
                <w:lang w:eastAsia="en-GB"/>
              </w:rPr>
              <w:t>315.3</w:t>
            </w:r>
          </w:p>
        </w:tc>
        <w:tc>
          <w:tcPr>
            <w:tcW w:w="2550" w:type="dxa"/>
          </w:tcPr>
          <w:p w:rsidR="0015659B" w:rsidRPr="0015659B" w:rsidRDefault="0062660D" w:rsidP="0015659B">
            <w:pPr>
              <w:spacing w:after="0"/>
              <w:jc w:val="center"/>
              <w:rPr>
                <w:rFonts w:ascii="Arial" w:eastAsia="Times New Roman" w:hAnsi="Arial" w:cs="Arial"/>
                <w:b/>
                <w:noProof/>
                <w:color w:val="auto"/>
                <w:lang w:eastAsia="en-GB"/>
              </w:rPr>
            </w:pPr>
            <w:r>
              <w:rPr>
                <w:rFonts w:ascii="Arial" w:eastAsia="Times New Roman" w:hAnsi="Arial" w:cs="Arial"/>
                <w:b/>
                <w:noProof/>
                <w:color w:val="auto"/>
                <w:lang w:eastAsia="en-GB"/>
              </w:rPr>
              <w:t>5.23%</w:t>
            </w:r>
          </w:p>
        </w:tc>
      </w:tr>
    </w:tbl>
    <w:p w:rsidR="00881748" w:rsidRDefault="0062660D" w:rsidP="0091362F">
      <w:pPr>
        <w:tabs>
          <w:tab w:val="left" w:pos="975"/>
        </w:tabs>
        <w:jc w:val="left"/>
        <w:rPr>
          <w:rFonts w:cs="Arial"/>
        </w:rPr>
      </w:pPr>
    </w:p>
    <w:p w:rsidR="00755FD5" w:rsidRPr="00755FD5" w:rsidRDefault="0062660D" w:rsidP="00755FD5">
      <w:pPr>
        <w:keepNext/>
        <w:keepLines/>
        <w:widowControl w:val="0"/>
        <w:spacing w:after="0"/>
        <w:rPr>
          <w:rFonts w:eastAsia="Times New Roman" w:cs="Arial"/>
          <w:b/>
          <w:color w:val="auto"/>
          <w:sz w:val="28"/>
          <w:szCs w:val="28"/>
          <w:lang w:eastAsia="en-GB"/>
        </w:rPr>
      </w:pPr>
      <w:r w:rsidRPr="00755FD5">
        <w:rPr>
          <w:rFonts w:eastAsia="Times New Roman" w:cs="Arial"/>
          <w:b/>
          <w:color w:val="auto"/>
          <w:sz w:val="28"/>
          <w:szCs w:val="28"/>
          <w:lang w:eastAsia="en-GB"/>
        </w:rPr>
        <w:t>Private Equity and Real Assets</w:t>
      </w:r>
    </w:p>
    <w:p w:rsidR="00755FD5" w:rsidRPr="00755FD5" w:rsidRDefault="0062660D" w:rsidP="00755FD5">
      <w:pPr>
        <w:widowControl w:val="0"/>
        <w:spacing w:after="0"/>
        <w:jc w:val="left"/>
        <w:rPr>
          <w:rFonts w:eastAsia="Times New Roman" w:cs="Arial"/>
          <w:color w:val="auto"/>
          <w:szCs w:val="20"/>
          <w:lang w:eastAsia="en-GB"/>
        </w:rPr>
      </w:pPr>
      <w:r w:rsidRPr="00755FD5">
        <w:rPr>
          <w:rFonts w:eastAsia="Times New Roman" w:cs="Arial"/>
          <w:color w:val="auto"/>
          <w:szCs w:val="20"/>
          <w:lang w:eastAsia="en-GB"/>
        </w:rPr>
        <w:t xml:space="preserve">Consistent with last year's strong performance, private equity investments </w:t>
      </w:r>
      <w:r w:rsidRPr="00755FD5">
        <w:rPr>
          <w:rFonts w:eastAsia="Times New Roman" w:cs="Arial"/>
          <w:color w:val="auto"/>
          <w:szCs w:val="20"/>
          <w:lang w:eastAsia="en-GB"/>
        </w:rPr>
        <w:t>surpassed the benchmark once again during this period.</w:t>
      </w:r>
    </w:p>
    <w:p w:rsidR="00755FD5" w:rsidRPr="00755FD5" w:rsidRDefault="0062660D" w:rsidP="00755FD5">
      <w:pPr>
        <w:widowControl w:val="0"/>
        <w:spacing w:after="0"/>
        <w:jc w:val="left"/>
        <w:rPr>
          <w:rFonts w:eastAsia="Times New Roman" w:cs="Arial"/>
          <w:color w:val="auto"/>
          <w:szCs w:val="20"/>
          <w:lang w:eastAsia="en-GB"/>
        </w:rPr>
      </w:pPr>
    </w:p>
    <w:p w:rsidR="00755FD5" w:rsidRDefault="0062660D" w:rsidP="00755FD5">
      <w:pPr>
        <w:widowControl w:val="0"/>
        <w:spacing w:after="0"/>
        <w:jc w:val="left"/>
        <w:rPr>
          <w:rFonts w:eastAsia="Times New Roman" w:cs="Arial"/>
          <w:color w:val="auto"/>
          <w:szCs w:val="20"/>
          <w:lang w:eastAsia="en-GB"/>
        </w:rPr>
      </w:pPr>
      <w:r w:rsidRPr="00755FD5">
        <w:rPr>
          <w:rFonts w:eastAsia="Times New Roman" w:cs="Arial"/>
          <w:color w:val="auto"/>
          <w:szCs w:val="20"/>
          <w:lang w:eastAsia="en-GB"/>
        </w:rPr>
        <w:t xml:space="preserve">Conversely, the performance of property was not so strong against benchmark during the period. </w:t>
      </w:r>
    </w:p>
    <w:p w:rsidR="00755FD5" w:rsidRPr="00755FD5" w:rsidRDefault="0062660D" w:rsidP="00755FD5">
      <w:pPr>
        <w:widowControl w:val="0"/>
        <w:spacing w:after="0"/>
        <w:jc w:val="left"/>
        <w:rPr>
          <w:rFonts w:eastAsia="Times New Roman" w:cs="Arial"/>
          <w:color w:val="auto"/>
          <w:szCs w:val="20"/>
          <w:lang w:eastAsia="en-GB"/>
        </w:rPr>
      </w:pPr>
      <w:r w:rsidRPr="00755FD5">
        <w:rPr>
          <w:rFonts w:eastAsia="Times New Roman" w:cs="Arial"/>
          <w:color w:val="auto"/>
          <w:szCs w:val="20"/>
          <w:lang w:eastAsia="en-GB"/>
        </w:rPr>
        <w:t>This reflects the initial transaction and stamp duty costs of the push to increase the portfolio size an</w:t>
      </w:r>
      <w:r w:rsidRPr="00755FD5">
        <w:rPr>
          <w:rFonts w:eastAsia="Times New Roman" w:cs="Arial"/>
          <w:color w:val="auto"/>
          <w:szCs w:val="20"/>
          <w:lang w:eastAsia="en-GB"/>
        </w:rPr>
        <w:t>d the lag in valuation uplift likely to occur in relation to property development activity. The high quality of the commercial real estate portfolio can perhaps be expected to perform worse still relative to a broad benchmark during real estate boom period</w:t>
      </w:r>
      <w:r w:rsidRPr="00755FD5">
        <w:rPr>
          <w:rFonts w:eastAsia="Times New Roman" w:cs="Arial"/>
          <w:color w:val="auto"/>
          <w:szCs w:val="20"/>
          <w:lang w:eastAsia="en-GB"/>
        </w:rPr>
        <w:t>s, while providing a much more robust portfolio in a downturn. In the long term, real estate investment performance marginally exceeds the benchmark return.</w:t>
      </w:r>
    </w:p>
    <w:p w:rsidR="00755FD5" w:rsidRPr="00755FD5" w:rsidRDefault="0062660D" w:rsidP="00755FD5">
      <w:pPr>
        <w:widowControl w:val="0"/>
        <w:spacing w:after="0"/>
        <w:jc w:val="left"/>
        <w:rPr>
          <w:rFonts w:eastAsia="Times New Roman" w:cs="Arial"/>
          <w:color w:val="auto"/>
          <w:szCs w:val="20"/>
          <w:lang w:eastAsia="en-GB"/>
        </w:rPr>
      </w:pPr>
    </w:p>
    <w:p w:rsidR="00755FD5" w:rsidRDefault="0062660D" w:rsidP="00755FD5">
      <w:pPr>
        <w:widowControl w:val="0"/>
        <w:tabs>
          <w:tab w:val="left" w:pos="975"/>
        </w:tabs>
        <w:rPr>
          <w:rFonts w:eastAsia="Times New Roman" w:cs="Arial"/>
          <w:color w:val="auto"/>
          <w:szCs w:val="20"/>
          <w:lang w:eastAsia="en-GB"/>
        </w:rPr>
      </w:pPr>
      <w:r w:rsidRPr="00755FD5">
        <w:rPr>
          <w:rFonts w:eastAsia="Times New Roman" w:cs="Arial"/>
          <w:color w:val="auto"/>
          <w:szCs w:val="20"/>
          <w:lang w:eastAsia="en-GB"/>
        </w:rPr>
        <w:t>Infrastructure investments, in contrast with the previous 12 month period,</w:t>
      </w:r>
      <w:r>
        <w:rPr>
          <w:rFonts w:eastAsia="Times New Roman" w:cs="Arial"/>
          <w:color w:val="auto"/>
          <w:szCs w:val="20"/>
          <w:lang w:eastAsia="en-GB"/>
        </w:rPr>
        <w:t xml:space="preserve"> </w:t>
      </w:r>
      <w:r w:rsidRPr="00755FD5">
        <w:rPr>
          <w:rFonts w:eastAsia="Times New Roman" w:cs="Arial"/>
          <w:color w:val="auto"/>
          <w:szCs w:val="20"/>
          <w:lang w:eastAsia="en-GB"/>
        </w:rPr>
        <w:t>generated returns on in</w:t>
      </w:r>
      <w:r w:rsidRPr="00755FD5">
        <w:rPr>
          <w:rFonts w:eastAsia="Times New Roman" w:cs="Arial"/>
          <w:color w:val="auto"/>
          <w:szCs w:val="20"/>
          <w:lang w:eastAsia="en-GB"/>
        </w:rPr>
        <w:t xml:space="preserve">vestment much lower than the benchmark. This is in part due to significant initial investment costs associated with the growth in the portfolio and can also be attributed to some short-term foreign exchange differences. </w:t>
      </w:r>
      <w:r>
        <w:rPr>
          <w:rFonts w:eastAsia="Times New Roman" w:cs="Arial"/>
          <w:color w:val="auto"/>
          <w:szCs w:val="20"/>
          <w:lang w:eastAsia="en-GB"/>
        </w:rPr>
        <w:t>The Fund</w:t>
      </w:r>
      <w:r w:rsidRPr="00755FD5">
        <w:rPr>
          <w:rFonts w:eastAsia="Times New Roman" w:cs="Arial"/>
          <w:color w:val="auto"/>
          <w:szCs w:val="20"/>
          <w:lang w:eastAsia="en-GB"/>
        </w:rPr>
        <w:t xml:space="preserve"> secured some significant ne</w:t>
      </w:r>
      <w:r w:rsidRPr="00755FD5">
        <w:rPr>
          <w:rFonts w:eastAsia="Times New Roman" w:cs="Arial"/>
          <w:color w:val="auto"/>
          <w:szCs w:val="20"/>
          <w:lang w:eastAsia="en-GB"/>
        </w:rPr>
        <w:t xml:space="preserve">w investments in 2015-16, including the acquisition of a significant stake in EDF Energie Nouvelle's portfolio of Portuguese windfarms and acquiring part ownership of Madrid's gas distribution network. </w:t>
      </w:r>
    </w:p>
    <w:p w:rsidR="00FE4B18" w:rsidRPr="00755FD5" w:rsidRDefault="0062660D" w:rsidP="00755FD5">
      <w:pPr>
        <w:widowControl w:val="0"/>
        <w:tabs>
          <w:tab w:val="left" w:pos="975"/>
        </w:tabs>
        <w:rPr>
          <w:rFonts w:eastAsia="Times New Roman" w:cs="Arial"/>
          <w:color w:val="auto"/>
          <w:szCs w:val="20"/>
          <w:lang w:eastAsia="en-GB"/>
        </w:rPr>
      </w:pPr>
    </w:p>
    <w:tbl>
      <w:tblPr>
        <w:tblStyle w:val="TableGrid4"/>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6"/>
        <w:gridCol w:w="222"/>
        <w:gridCol w:w="222"/>
      </w:tblGrid>
      <w:tr w:rsidR="006A2C17" w:rsidTr="00FE4B18">
        <w:trPr>
          <w:trHeight w:val="450"/>
        </w:trPr>
        <w:tc>
          <w:tcPr>
            <w:tcW w:w="10016" w:type="dxa"/>
          </w:tcPr>
          <w:p w:rsidR="002A18DE" w:rsidRPr="008E433A" w:rsidRDefault="0062660D" w:rsidP="00AA3AA6">
            <w:pPr>
              <w:autoSpaceDE/>
              <w:autoSpaceDN/>
              <w:adjustRightInd/>
              <w:spacing w:after="0"/>
              <w:jc w:val="left"/>
              <w:rPr>
                <w:rFonts w:ascii="Arial" w:eastAsia="Times New Roman" w:hAnsi="Arial" w:cs="Arial"/>
                <w:noProof/>
                <w:color w:val="auto"/>
                <w:lang w:eastAsia="en-GB"/>
              </w:rPr>
            </w:pPr>
            <w:r>
              <w:rPr>
                <w:noProof/>
                <w:lang w:eastAsia="en-GB"/>
              </w:rPr>
              <w:drawing>
                <wp:inline distT="0" distB="0" distL="0" distR="0" wp14:anchorId="443749C3" wp14:editId="1815943C">
                  <wp:extent cx="6507126" cy="2615565"/>
                  <wp:effectExtent l="0" t="0" r="8255" b="1333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236" w:type="dxa"/>
          </w:tcPr>
          <w:p w:rsidR="002A18DE" w:rsidRPr="008E433A" w:rsidRDefault="0062660D" w:rsidP="002A18DE">
            <w:pPr>
              <w:spacing w:after="0"/>
              <w:jc w:val="center"/>
              <w:rPr>
                <w:rFonts w:ascii="Arial" w:eastAsia="Times New Roman" w:hAnsi="Arial" w:cs="Arial"/>
                <w:b/>
                <w:noProof/>
                <w:color w:val="auto"/>
                <w:lang w:eastAsia="en-GB"/>
              </w:rPr>
            </w:pPr>
          </w:p>
        </w:tc>
        <w:tc>
          <w:tcPr>
            <w:tcW w:w="236" w:type="dxa"/>
          </w:tcPr>
          <w:p w:rsidR="002A18DE" w:rsidRPr="008E433A" w:rsidRDefault="0062660D" w:rsidP="002A18DE">
            <w:pPr>
              <w:spacing w:after="0"/>
              <w:jc w:val="center"/>
              <w:rPr>
                <w:rFonts w:ascii="Arial" w:eastAsia="Times New Roman" w:hAnsi="Arial" w:cs="Arial"/>
                <w:b/>
                <w:noProof/>
                <w:color w:val="auto"/>
                <w:lang w:eastAsia="en-GB"/>
              </w:rPr>
            </w:pPr>
          </w:p>
        </w:tc>
      </w:tr>
    </w:tbl>
    <w:p w:rsidR="002A18DE" w:rsidRPr="008E433A" w:rsidRDefault="0062660D" w:rsidP="00597BD8">
      <w:pPr>
        <w:tabs>
          <w:tab w:val="left" w:pos="975"/>
        </w:tabs>
        <w:jc w:val="left"/>
        <w:rPr>
          <w:rFonts w:cs="Arial"/>
        </w:rPr>
        <w:sectPr w:rsidR="002A18DE" w:rsidRPr="008E433A" w:rsidSect="00270387">
          <w:pgSz w:w="11900" w:h="16840" w:code="9"/>
          <w:pgMar w:top="720" w:right="720" w:bottom="720" w:left="720" w:header="283" w:footer="283" w:gutter="0"/>
          <w:cols w:space="292"/>
          <w:docGrid w:linePitch="326"/>
        </w:sectPr>
      </w:pPr>
    </w:p>
    <w:p w:rsidR="00420AC4" w:rsidRPr="00420AC4" w:rsidRDefault="0062660D" w:rsidP="00420AC4">
      <w:pPr>
        <w:widowControl w:val="0"/>
        <w:spacing w:after="0"/>
        <w:jc w:val="left"/>
        <w:rPr>
          <w:rFonts w:eastAsia="Times New Roman" w:cs="Arial"/>
          <w:color w:val="auto"/>
          <w:szCs w:val="20"/>
          <w:lang w:eastAsia="en-GB"/>
        </w:rPr>
      </w:pPr>
      <w:r w:rsidRPr="00420AC4">
        <w:rPr>
          <w:rFonts w:eastAsia="Times New Roman" w:cs="Arial"/>
          <w:color w:val="auto"/>
          <w:szCs w:val="20"/>
          <w:lang w:eastAsia="en-GB"/>
        </w:rPr>
        <w:t xml:space="preserve">Annual valuations of these less liquid asset types can be affected by a number of factors. As with all of </w:t>
      </w:r>
      <w:r>
        <w:rPr>
          <w:rFonts w:eastAsia="Times New Roman" w:cs="Arial"/>
          <w:color w:val="auto"/>
          <w:szCs w:val="20"/>
          <w:lang w:eastAsia="en-GB"/>
        </w:rPr>
        <w:t>the Fund's</w:t>
      </w:r>
      <w:r w:rsidRPr="00420AC4">
        <w:rPr>
          <w:rFonts w:eastAsia="Times New Roman" w:cs="Arial"/>
          <w:color w:val="auto"/>
          <w:szCs w:val="20"/>
          <w:lang w:eastAsia="en-GB"/>
        </w:rPr>
        <w:t xml:space="preserve"> investments, it is long term performance and the role that an investment plays in meeting the overall needs of the Fund that is key. Thus, </w:t>
      </w:r>
      <w:r>
        <w:rPr>
          <w:rFonts w:eastAsia="Times New Roman" w:cs="Arial"/>
          <w:color w:val="auto"/>
          <w:szCs w:val="20"/>
          <w:lang w:eastAsia="en-GB"/>
        </w:rPr>
        <w:t>the Fund</w:t>
      </w:r>
      <w:r w:rsidRPr="00420AC4">
        <w:rPr>
          <w:rFonts w:eastAsia="Times New Roman" w:cs="Arial"/>
          <w:color w:val="auto"/>
          <w:szCs w:val="20"/>
          <w:lang w:eastAsia="en-GB"/>
        </w:rPr>
        <w:t xml:space="preserve"> is pleased with the strongly positive yields in these asset classes. </w:t>
      </w:r>
    </w:p>
    <w:p w:rsidR="004203E0" w:rsidRDefault="0062660D" w:rsidP="0076100A">
      <w:pPr>
        <w:autoSpaceDE/>
        <w:autoSpaceDN/>
        <w:adjustRightInd/>
        <w:spacing w:after="0"/>
        <w:jc w:val="left"/>
      </w:pPr>
    </w:p>
    <w:p w:rsidR="0076100A" w:rsidRDefault="0062660D" w:rsidP="0076100A">
      <w:pPr>
        <w:autoSpaceDE/>
        <w:autoSpaceDN/>
        <w:adjustRightInd/>
        <w:spacing w:after="0"/>
        <w:jc w:val="left"/>
      </w:pPr>
      <w:r>
        <w:tab/>
      </w:r>
      <w:r>
        <w:rPr>
          <w:noProof/>
          <w:lang w:eastAsia="en-GB"/>
        </w:rPr>
        <w:drawing>
          <wp:inline distT="0" distB="0" distL="0" distR="0" wp14:anchorId="0EE485D6" wp14:editId="6FEF1385">
            <wp:extent cx="6524625" cy="5826642"/>
            <wp:effectExtent l="0" t="0" r="9525" b="317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tab/>
      </w:r>
    </w:p>
    <w:p w:rsidR="003F11A8" w:rsidRPr="003F11A8" w:rsidRDefault="0062660D" w:rsidP="003F11A8">
      <w:pPr>
        <w:widowControl w:val="0"/>
        <w:spacing w:after="0"/>
        <w:rPr>
          <w:rFonts w:eastAsiaTheme="minorEastAsia" w:cs="Arial"/>
          <w:color w:val="auto"/>
          <w:lang w:val="en" w:eastAsia="en-GB"/>
        </w:rPr>
      </w:pPr>
      <w:r>
        <w:br w:type="textWrapping" w:clear="all"/>
      </w:r>
      <w:r w:rsidRPr="003F11A8">
        <w:rPr>
          <w:rFonts w:eastAsiaTheme="minorEastAsia" w:cs="Arial"/>
          <w:bCs/>
          <w:iCs/>
          <w:color w:val="auto"/>
          <w:lang w:val="en" w:eastAsia="en-GB"/>
        </w:rPr>
        <w:t>Private Equity</w:t>
      </w:r>
      <w:r w:rsidRPr="003F11A8">
        <w:rPr>
          <w:rFonts w:eastAsiaTheme="minorEastAsia" w:cs="Arial"/>
          <w:color w:val="auto"/>
          <w:lang w:val="en" w:eastAsia="en-GB"/>
        </w:rPr>
        <w:t xml:space="preserve"> investments provide alternative opportunities to generate returns linked to movements in stock markets. The higher level of engagement by managers in the in</w:t>
      </w:r>
      <w:r w:rsidRPr="003F11A8">
        <w:rPr>
          <w:rFonts w:eastAsiaTheme="minorEastAsia" w:cs="Arial"/>
          <w:color w:val="auto"/>
          <w:lang w:val="en" w:eastAsia="en-GB"/>
        </w:rPr>
        <w:t>vestee companies gives an expectation of better long term returns, so this return expectation has to be balanced with the higher risk profile and the lack of liquidity of these investments, which typically have to be held from 7-10 years before gains can b</w:t>
      </w:r>
      <w:r w:rsidRPr="003F11A8">
        <w:rPr>
          <w:rFonts w:eastAsiaTheme="minorEastAsia" w:cs="Arial"/>
          <w:color w:val="auto"/>
          <w:lang w:val="en" w:eastAsia="en-GB"/>
        </w:rPr>
        <w:t>e realised.</w:t>
      </w:r>
    </w:p>
    <w:p w:rsidR="003F11A8" w:rsidRPr="003F11A8" w:rsidRDefault="0062660D" w:rsidP="003F11A8">
      <w:pPr>
        <w:widowControl w:val="0"/>
        <w:spacing w:after="0"/>
        <w:jc w:val="left"/>
        <w:rPr>
          <w:rFonts w:ascii="Verdana" w:eastAsiaTheme="minorEastAsia" w:hAnsi="Verdana" w:cs="Verdana"/>
          <w:color w:val="auto"/>
          <w:lang w:val="en" w:eastAsia="en-GB"/>
        </w:rPr>
      </w:pPr>
    </w:p>
    <w:p w:rsidR="003F11A8" w:rsidRDefault="0062660D" w:rsidP="003F11A8">
      <w:pPr>
        <w:widowControl w:val="0"/>
        <w:spacing w:after="0"/>
        <w:rPr>
          <w:rFonts w:eastAsiaTheme="minorEastAsia" w:cs="Arial"/>
          <w:color w:val="auto"/>
          <w:lang w:val="en" w:eastAsia="en-GB"/>
        </w:rPr>
      </w:pPr>
      <w:r w:rsidRPr="003F11A8">
        <w:rPr>
          <w:rFonts w:eastAsiaTheme="minorEastAsia" w:cs="Arial"/>
          <w:bCs/>
          <w:iCs/>
          <w:color w:val="auto"/>
          <w:lang w:val="en" w:eastAsia="en-GB"/>
        </w:rPr>
        <w:t>Infrastructure</w:t>
      </w:r>
      <w:r w:rsidRPr="003F11A8">
        <w:rPr>
          <w:rFonts w:eastAsiaTheme="minorEastAsia" w:cs="Arial"/>
          <w:color w:val="auto"/>
          <w:lang w:val="en" w:eastAsia="en-GB"/>
        </w:rPr>
        <w:t xml:space="preserve"> investments offer long-term returns that are expected to closely match the </w:t>
      </w:r>
      <w:r>
        <w:rPr>
          <w:rFonts w:eastAsiaTheme="minorEastAsia" w:cs="Arial"/>
          <w:color w:val="auto"/>
          <w:lang w:val="en" w:eastAsia="en-GB"/>
        </w:rPr>
        <w:t>Fund's</w:t>
      </w:r>
      <w:r w:rsidRPr="003F11A8">
        <w:rPr>
          <w:rFonts w:eastAsiaTheme="minorEastAsia" w:cs="Arial"/>
          <w:color w:val="auto"/>
          <w:lang w:val="en" w:eastAsia="en-GB"/>
        </w:rPr>
        <w:t xml:space="preserve"> investment needs, and, as a bonus, they provide an important source of diversification. As well as investing in traditional infrastructure funds, </w:t>
      </w:r>
      <w:r>
        <w:rPr>
          <w:rFonts w:eastAsiaTheme="minorEastAsia" w:cs="Arial"/>
          <w:color w:val="auto"/>
          <w:lang w:val="en" w:eastAsia="en-GB"/>
        </w:rPr>
        <w:t xml:space="preserve">the Fund </w:t>
      </w:r>
      <w:r w:rsidRPr="003F11A8">
        <w:rPr>
          <w:rFonts w:eastAsiaTheme="minorEastAsia" w:cs="Arial"/>
          <w:color w:val="auto"/>
          <w:lang w:val="en" w:eastAsia="en-GB"/>
        </w:rPr>
        <w:t xml:space="preserve">has made a number of direct investments in global infrastructure, notably in the renewable energy sector. The ability to invest directly </w:t>
      </w:r>
      <w:proofErr w:type="spellStart"/>
      <w:r w:rsidRPr="003F11A8">
        <w:rPr>
          <w:rFonts w:eastAsiaTheme="minorEastAsia" w:cs="Arial"/>
          <w:color w:val="auto"/>
          <w:lang w:val="en" w:eastAsia="en-GB"/>
        </w:rPr>
        <w:t>minimises</w:t>
      </w:r>
      <w:proofErr w:type="spellEnd"/>
      <w:r w:rsidRPr="003F11A8">
        <w:rPr>
          <w:rFonts w:eastAsiaTheme="minorEastAsia" w:cs="Arial"/>
          <w:color w:val="auto"/>
          <w:lang w:val="en" w:eastAsia="en-GB"/>
        </w:rPr>
        <w:t xml:space="preserve"> fee costs and has enabled </w:t>
      </w:r>
      <w:r>
        <w:rPr>
          <w:rFonts w:eastAsiaTheme="minorEastAsia" w:cs="Arial"/>
          <w:color w:val="auto"/>
          <w:lang w:val="en" w:eastAsia="en-GB"/>
        </w:rPr>
        <w:t>the Fund</w:t>
      </w:r>
      <w:r w:rsidRPr="003F11A8">
        <w:rPr>
          <w:rFonts w:eastAsiaTheme="minorEastAsia" w:cs="Arial"/>
          <w:color w:val="auto"/>
          <w:lang w:val="en" w:eastAsia="en-GB"/>
        </w:rPr>
        <w:t xml:space="preserve"> to negotiate favourable investment terms which have delivered exc</w:t>
      </w:r>
      <w:r w:rsidRPr="003F11A8">
        <w:rPr>
          <w:rFonts w:eastAsiaTheme="minorEastAsia" w:cs="Arial"/>
          <w:color w:val="auto"/>
          <w:lang w:val="en" w:eastAsia="en-GB"/>
        </w:rPr>
        <w:t>ellent performance since inception.</w:t>
      </w:r>
    </w:p>
    <w:p w:rsidR="00FE4B18" w:rsidRPr="003F11A8" w:rsidRDefault="0062660D" w:rsidP="003F11A8">
      <w:pPr>
        <w:widowControl w:val="0"/>
        <w:spacing w:after="0"/>
        <w:rPr>
          <w:rFonts w:eastAsiaTheme="minorEastAsia" w:cs="Arial"/>
          <w:color w:val="auto"/>
          <w:lang w:val="en" w:eastAsia="en-GB"/>
        </w:rPr>
      </w:pPr>
    </w:p>
    <w:p w:rsidR="003F11A8" w:rsidRPr="003F11A8" w:rsidRDefault="0062660D" w:rsidP="003F11A8">
      <w:pPr>
        <w:widowControl w:val="0"/>
        <w:spacing w:after="0"/>
        <w:jc w:val="left"/>
        <w:rPr>
          <w:rFonts w:ascii="Verdana" w:eastAsiaTheme="minorEastAsia" w:hAnsi="Verdana" w:cs="Verdana"/>
          <w:color w:val="auto"/>
          <w:lang w:val="en" w:eastAsia="en-GB"/>
        </w:rPr>
      </w:pPr>
    </w:p>
    <w:p w:rsidR="003F11A8" w:rsidRPr="003F11A8" w:rsidRDefault="0062660D" w:rsidP="003F11A8">
      <w:pPr>
        <w:widowControl w:val="0"/>
        <w:rPr>
          <w:rFonts w:eastAsiaTheme="minorEastAsia" w:cs="Arial"/>
          <w:color w:val="auto"/>
          <w:lang w:val="en" w:eastAsia="en-GB"/>
        </w:rPr>
      </w:pPr>
      <w:r w:rsidRPr="003F11A8">
        <w:rPr>
          <w:rFonts w:eastAsiaTheme="minorEastAsia" w:cs="Arial"/>
          <w:bCs/>
          <w:iCs/>
          <w:color w:val="auto"/>
          <w:lang w:val="en" w:eastAsia="en-GB"/>
        </w:rPr>
        <w:t>Real Estate</w:t>
      </w:r>
      <w:r w:rsidRPr="003F11A8">
        <w:rPr>
          <w:rFonts w:eastAsiaTheme="minorEastAsia" w:cs="Arial"/>
          <w:color w:val="auto"/>
          <w:lang w:val="en" w:eastAsia="en-GB"/>
        </w:rPr>
        <w:t xml:space="preserve"> is an important portion of </w:t>
      </w:r>
      <w:r>
        <w:rPr>
          <w:rFonts w:eastAsiaTheme="minorEastAsia" w:cs="Arial"/>
          <w:color w:val="auto"/>
          <w:lang w:val="en" w:eastAsia="en-GB"/>
        </w:rPr>
        <w:t>the Fund's</w:t>
      </w:r>
      <w:r w:rsidRPr="003F11A8">
        <w:rPr>
          <w:rFonts w:eastAsiaTheme="minorEastAsia" w:cs="Arial"/>
          <w:color w:val="auto"/>
          <w:lang w:val="en" w:eastAsia="en-GB"/>
        </w:rPr>
        <w:t xml:space="preserve"> investment portfolio because of both the diversification benefits that real estate investments bring and the rental income generated that is used to fund member benefits without the need to liquidate other investments. This role will become increasingly i</w:t>
      </w:r>
      <w:r w:rsidRPr="003F11A8">
        <w:rPr>
          <w:rFonts w:eastAsiaTheme="minorEastAsia" w:cs="Arial"/>
          <w:color w:val="auto"/>
          <w:lang w:val="en" w:eastAsia="en-GB"/>
        </w:rPr>
        <w:t>mportant as the gap between contributions and member benefits will inevitably grow as the fund matures with time.</w:t>
      </w:r>
    </w:p>
    <w:p w:rsidR="00E07573" w:rsidRDefault="0062660D" w:rsidP="00E07573">
      <w:pPr>
        <w:widowControl w:val="0"/>
        <w:spacing w:after="0"/>
        <w:jc w:val="left"/>
        <w:rPr>
          <w:rFonts w:eastAsiaTheme="minorEastAsia" w:cs="Arial"/>
          <w:color w:val="auto"/>
          <w:lang w:val="en" w:eastAsia="en-GB"/>
        </w:rPr>
      </w:pPr>
      <w:r w:rsidRPr="00E07573">
        <w:rPr>
          <w:rFonts w:eastAsiaTheme="minorEastAsia" w:cs="Arial"/>
          <w:color w:val="auto"/>
          <w:lang w:val="en" w:eastAsia="en-GB"/>
        </w:rPr>
        <w:t>Property investments accounted for 11.4% of the LCPF's total assets under management as at 31 March 2016. The largest ten direct property hold</w:t>
      </w:r>
      <w:r w:rsidRPr="00E07573">
        <w:rPr>
          <w:rFonts w:eastAsiaTheme="minorEastAsia" w:cs="Arial"/>
          <w:color w:val="auto"/>
          <w:lang w:val="en" w:eastAsia="en-GB"/>
        </w:rPr>
        <w:t>ings of the Fund were:</w:t>
      </w:r>
    </w:p>
    <w:p w:rsidR="00E07573" w:rsidRPr="00E07573" w:rsidRDefault="0062660D" w:rsidP="00E07573">
      <w:pPr>
        <w:widowControl w:val="0"/>
        <w:spacing w:after="0"/>
        <w:jc w:val="left"/>
        <w:rPr>
          <w:rFonts w:eastAsiaTheme="minorEastAsia" w:cs="Arial"/>
          <w:color w:val="auto"/>
          <w:lang w:val="en" w:eastAsia="en-GB"/>
        </w:rPr>
      </w:pPr>
    </w:p>
    <w:p w:rsidR="00F026B4" w:rsidRDefault="0062660D" w:rsidP="0076100A">
      <w:pPr>
        <w:autoSpaceDE/>
        <w:autoSpaceDN/>
        <w:adjustRightInd/>
        <w:spacing w:after="0"/>
        <w:jc w:val="left"/>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2852"/>
        <w:gridCol w:w="1843"/>
      </w:tblGrid>
      <w:tr w:rsidR="006A2C17" w:rsidTr="00E07573">
        <w:tc>
          <w:tcPr>
            <w:tcW w:w="5370" w:type="dxa"/>
          </w:tcPr>
          <w:p w:rsidR="00E07573" w:rsidRPr="00E07573" w:rsidRDefault="0062660D" w:rsidP="00E07573">
            <w:pPr>
              <w:jc w:val="left"/>
              <w:rPr>
                <w:rFonts w:cs="Arial"/>
                <w:b/>
                <w:lang w:eastAsia="en-GB"/>
              </w:rPr>
            </w:pPr>
            <w:r w:rsidRPr="00E07573">
              <w:rPr>
                <w:rFonts w:cs="Arial"/>
                <w:b/>
                <w:lang w:eastAsia="en-GB"/>
              </w:rPr>
              <w:t>Property</w:t>
            </w:r>
          </w:p>
        </w:tc>
        <w:tc>
          <w:tcPr>
            <w:tcW w:w="2852" w:type="dxa"/>
          </w:tcPr>
          <w:p w:rsidR="00E07573" w:rsidRPr="00E07573" w:rsidRDefault="0062660D" w:rsidP="00E07573">
            <w:pPr>
              <w:jc w:val="left"/>
              <w:rPr>
                <w:rFonts w:cs="Arial"/>
                <w:b/>
                <w:lang w:eastAsia="en-GB"/>
              </w:rPr>
            </w:pPr>
            <w:r w:rsidRPr="00E07573">
              <w:rPr>
                <w:rFonts w:cs="Arial"/>
                <w:b/>
                <w:lang w:eastAsia="en-GB"/>
              </w:rPr>
              <w:t>Sector</w:t>
            </w:r>
          </w:p>
        </w:tc>
        <w:tc>
          <w:tcPr>
            <w:tcW w:w="1843" w:type="dxa"/>
          </w:tcPr>
          <w:p w:rsidR="00E07573" w:rsidRPr="00E07573" w:rsidRDefault="0062660D" w:rsidP="00E07573">
            <w:pPr>
              <w:spacing w:after="0"/>
              <w:jc w:val="center"/>
              <w:rPr>
                <w:rFonts w:cs="Arial"/>
                <w:b/>
                <w:lang w:eastAsia="en-GB"/>
              </w:rPr>
            </w:pPr>
            <w:r w:rsidRPr="00E07573">
              <w:rPr>
                <w:rFonts w:cs="Arial"/>
                <w:b/>
                <w:lang w:eastAsia="en-GB"/>
              </w:rPr>
              <w:t>Market Value</w:t>
            </w:r>
          </w:p>
          <w:p w:rsidR="00E07573" w:rsidRPr="00E07573" w:rsidRDefault="0062660D" w:rsidP="00E07573">
            <w:pPr>
              <w:spacing w:after="0"/>
              <w:jc w:val="center"/>
              <w:rPr>
                <w:rFonts w:cs="Arial"/>
                <w:b/>
                <w:lang w:eastAsia="en-GB"/>
              </w:rPr>
            </w:pPr>
            <w:r w:rsidRPr="00E07573">
              <w:rPr>
                <w:rFonts w:cs="Arial"/>
                <w:b/>
                <w:lang w:eastAsia="en-GB"/>
              </w:rPr>
              <w:t>as at 31 March 201</w:t>
            </w:r>
            <w:r>
              <w:rPr>
                <w:rFonts w:cs="Arial"/>
                <w:b/>
                <w:lang w:eastAsia="en-GB"/>
              </w:rPr>
              <w:t>6</w:t>
            </w:r>
          </w:p>
          <w:p w:rsidR="00E07573" w:rsidRPr="00E07573" w:rsidRDefault="0062660D" w:rsidP="00E07573">
            <w:pPr>
              <w:jc w:val="center"/>
              <w:rPr>
                <w:rFonts w:cs="Arial"/>
                <w:b/>
                <w:lang w:eastAsia="en-GB"/>
              </w:rPr>
            </w:pPr>
            <w:r w:rsidRPr="00E07573">
              <w:rPr>
                <w:rFonts w:cs="Arial"/>
                <w:b/>
                <w:lang w:eastAsia="en-GB"/>
              </w:rPr>
              <w:t>£m</w:t>
            </w:r>
          </w:p>
        </w:tc>
      </w:tr>
      <w:tr w:rsidR="006A2C17" w:rsidTr="00E07573">
        <w:tc>
          <w:tcPr>
            <w:tcW w:w="5370" w:type="dxa"/>
          </w:tcPr>
          <w:p w:rsidR="00E07573" w:rsidRPr="00E07573" w:rsidRDefault="0062660D" w:rsidP="00E07573">
            <w:pPr>
              <w:jc w:val="left"/>
              <w:rPr>
                <w:rFonts w:cs="Arial"/>
                <w:lang w:eastAsia="en-GB"/>
              </w:rPr>
            </w:pPr>
            <w:r>
              <w:rPr>
                <w:rFonts w:cs="Arial"/>
                <w:lang w:eastAsia="en-GB"/>
              </w:rPr>
              <w:t>Helmont House, Cardiff</w:t>
            </w:r>
          </w:p>
        </w:tc>
        <w:tc>
          <w:tcPr>
            <w:tcW w:w="2852" w:type="dxa"/>
          </w:tcPr>
          <w:p w:rsidR="00E07573" w:rsidRPr="00E07573" w:rsidRDefault="0062660D" w:rsidP="00E07573">
            <w:pPr>
              <w:jc w:val="left"/>
              <w:rPr>
                <w:rFonts w:cs="Arial"/>
                <w:lang w:eastAsia="en-GB"/>
              </w:rPr>
            </w:pPr>
            <w:r>
              <w:rPr>
                <w:rFonts w:cs="Arial"/>
                <w:lang w:eastAsia="en-GB"/>
              </w:rPr>
              <w:t>Multi-let commercial</w:t>
            </w:r>
          </w:p>
        </w:tc>
        <w:tc>
          <w:tcPr>
            <w:tcW w:w="1843" w:type="dxa"/>
          </w:tcPr>
          <w:p w:rsidR="00E07573" w:rsidRPr="00E07573" w:rsidRDefault="0062660D" w:rsidP="00E07573">
            <w:pPr>
              <w:jc w:val="center"/>
              <w:rPr>
                <w:rFonts w:cs="Arial"/>
                <w:lang w:eastAsia="en-GB"/>
              </w:rPr>
            </w:pPr>
            <w:r>
              <w:rPr>
                <w:rFonts w:cs="Arial"/>
                <w:lang w:eastAsia="en-GB"/>
              </w:rPr>
              <w:t>35.6</w:t>
            </w:r>
          </w:p>
        </w:tc>
      </w:tr>
      <w:tr w:rsidR="006A2C17" w:rsidTr="00E07573">
        <w:tc>
          <w:tcPr>
            <w:tcW w:w="5370" w:type="dxa"/>
          </w:tcPr>
          <w:p w:rsidR="00E07573" w:rsidRPr="00E07573" w:rsidRDefault="0062660D" w:rsidP="00E07573">
            <w:pPr>
              <w:jc w:val="left"/>
              <w:rPr>
                <w:rFonts w:cs="Arial"/>
                <w:lang w:eastAsia="en-GB"/>
              </w:rPr>
            </w:pPr>
            <w:r w:rsidRPr="00E07573">
              <w:rPr>
                <w:rFonts w:cs="Arial"/>
                <w:lang w:eastAsia="en-GB"/>
              </w:rPr>
              <w:t xml:space="preserve">1-3 </w:t>
            </w:r>
            <w:proofErr w:type="spellStart"/>
            <w:r w:rsidRPr="00E07573">
              <w:rPr>
                <w:rFonts w:cs="Arial"/>
                <w:lang w:eastAsia="en-GB"/>
              </w:rPr>
              <w:t>Dufferin</w:t>
            </w:r>
            <w:proofErr w:type="spellEnd"/>
            <w:r w:rsidRPr="00E07573">
              <w:rPr>
                <w:rFonts w:cs="Arial"/>
                <w:lang w:eastAsia="en-GB"/>
              </w:rPr>
              <w:t xml:space="preserve"> St, London</w:t>
            </w:r>
            <w:r w:rsidRPr="00E07573">
              <w:rPr>
                <w:rFonts w:cs="Arial"/>
                <w:lang w:eastAsia="en-GB"/>
              </w:rPr>
              <w:tab/>
            </w:r>
          </w:p>
        </w:tc>
        <w:tc>
          <w:tcPr>
            <w:tcW w:w="2852" w:type="dxa"/>
          </w:tcPr>
          <w:p w:rsidR="00E07573" w:rsidRPr="00E07573" w:rsidRDefault="0062660D" w:rsidP="00E07573">
            <w:pPr>
              <w:jc w:val="left"/>
              <w:rPr>
                <w:rFonts w:cs="Arial"/>
                <w:lang w:eastAsia="en-GB"/>
              </w:rPr>
            </w:pPr>
            <w:r>
              <w:rPr>
                <w:rFonts w:cs="Arial"/>
                <w:lang w:eastAsia="en-GB"/>
              </w:rPr>
              <w:t>Offices</w:t>
            </w:r>
          </w:p>
        </w:tc>
        <w:tc>
          <w:tcPr>
            <w:tcW w:w="1843" w:type="dxa"/>
          </w:tcPr>
          <w:p w:rsidR="00E07573" w:rsidRPr="00E07573" w:rsidRDefault="0062660D" w:rsidP="00E07573">
            <w:pPr>
              <w:jc w:val="center"/>
              <w:rPr>
                <w:rFonts w:cs="Arial"/>
                <w:lang w:eastAsia="en-GB"/>
              </w:rPr>
            </w:pPr>
            <w:r>
              <w:rPr>
                <w:rFonts w:cs="Arial"/>
                <w:lang w:eastAsia="en-GB"/>
              </w:rPr>
              <w:t>31.3</w:t>
            </w:r>
          </w:p>
        </w:tc>
      </w:tr>
      <w:tr w:rsidR="006A2C17" w:rsidTr="00E07573">
        <w:tc>
          <w:tcPr>
            <w:tcW w:w="5370" w:type="dxa"/>
          </w:tcPr>
          <w:p w:rsidR="00E07573" w:rsidRPr="00E07573" w:rsidRDefault="0062660D" w:rsidP="00E07573">
            <w:pPr>
              <w:jc w:val="left"/>
              <w:rPr>
                <w:rFonts w:cs="Arial"/>
                <w:lang w:eastAsia="en-GB"/>
              </w:rPr>
            </w:pPr>
            <w:r w:rsidRPr="00E07573">
              <w:rPr>
                <w:rFonts w:cs="Arial"/>
                <w:lang w:eastAsia="en-GB"/>
              </w:rPr>
              <w:t>Princes Mead Shopping Centre, Farnborough</w:t>
            </w:r>
          </w:p>
        </w:tc>
        <w:tc>
          <w:tcPr>
            <w:tcW w:w="2852" w:type="dxa"/>
          </w:tcPr>
          <w:p w:rsidR="00E07573" w:rsidRPr="00E07573" w:rsidRDefault="0062660D" w:rsidP="00E07573">
            <w:pPr>
              <w:jc w:val="left"/>
              <w:rPr>
                <w:rFonts w:cs="Arial"/>
                <w:lang w:eastAsia="en-GB"/>
              </w:rPr>
            </w:pPr>
            <w:r w:rsidRPr="00E07573">
              <w:rPr>
                <w:rFonts w:cs="Arial"/>
                <w:lang w:eastAsia="en-GB"/>
              </w:rPr>
              <w:t>Shopping Centre</w:t>
            </w:r>
          </w:p>
        </w:tc>
        <w:tc>
          <w:tcPr>
            <w:tcW w:w="1843" w:type="dxa"/>
          </w:tcPr>
          <w:p w:rsidR="00E07573" w:rsidRPr="00E07573" w:rsidRDefault="0062660D" w:rsidP="00E07573">
            <w:pPr>
              <w:jc w:val="center"/>
              <w:rPr>
                <w:rFonts w:cs="Arial"/>
                <w:lang w:eastAsia="en-GB"/>
              </w:rPr>
            </w:pPr>
            <w:r>
              <w:rPr>
                <w:rFonts w:cs="Arial"/>
                <w:lang w:eastAsia="en-GB"/>
              </w:rPr>
              <w:t>28.6</w:t>
            </w:r>
          </w:p>
        </w:tc>
      </w:tr>
      <w:tr w:rsidR="006A2C17" w:rsidTr="00E07573">
        <w:tc>
          <w:tcPr>
            <w:tcW w:w="5370" w:type="dxa"/>
          </w:tcPr>
          <w:p w:rsidR="00E07573" w:rsidRPr="00E07573" w:rsidRDefault="0062660D" w:rsidP="00E07573">
            <w:pPr>
              <w:jc w:val="left"/>
              <w:rPr>
                <w:rFonts w:cs="Arial"/>
                <w:lang w:eastAsia="en-GB"/>
              </w:rPr>
            </w:pPr>
            <w:r w:rsidRPr="00E07573">
              <w:rPr>
                <w:rFonts w:cs="Arial"/>
                <w:lang w:eastAsia="en-GB"/>
              </w:rPr>
              <w:t xml:space="preserve">St </w:t>
            </w:r>
            <w:proofErr w:type="spellStart"/>
            <w:r w:rsidRPr="00E07573">
              <w:rPr>
                <w:rFonts w:cs="Arial"/>
                <w:lang w:eastAsia="en-GB"/>
              </w:rPr>
              <w:t>Edmondsbury</w:t>
            </w:r>
            <w:proofErr w:type="spellEnd"/>
            <w:r w:rsidRPr="00E07573">
              <w:rPr>
                <w:rFonts w:cs="Arial"/>
                <w:lang w:eastAsia="en-GB"/>
              </w:rPr>
              <w:t xml:space="preserve"> Retail </w:t>
            </w:r>
            <w:r w:rsidRPr="00E07573">
              <w:rPr>
                <w:rFonts w:cs="Arial"/>
                <w:lang w:eastAsia="en-GB"/>
              </w:rPr>
              <w:t>Park, Bury St Edmunds</w:t>
            </w:r>
          </w:p>
        </w:tc>
        <w:tc>
          <w:tcPr>
            <w:tcW w:w="2852" w:type="dxa"/>
          </w:tcPr>
          <w:p w:rsidR="00E07573" w:rsidRPr="00E07573" w:rsidRDefault="0062660D" w:rsidP="00E07573">
            <w:pPr>
              <w:jc w:val="left"/>
              <w:rPr>
                <w:rFonts w:cs="Arial"/>
                <w:lang w:eastAsia="en-GB"/>
              </w:rPr>
            </w:pPr>
            <w:r w:rsidRPr="00E07573">
              <w:rPr>
                <w:rFonts w:cs="Arial"/>
                <w:lang w:eastAsia="en-GB"/>
              </w:rPr>
              <w:t>Retail / Warehouse</w:t>
            </w:r>
          </w:p>
        </w:tc>
        <w:tc>
          <w:tcPr>
            <w:tcW w:w="1843" w:type="dxa"/>
          </w:tcPr>
          <w:p w:rsidR="00E07573" w:rsidRPr="00E07573" w:rsidRDefault="0062660D" w:rsidP="00DF1738">
            <w:pPr>
              <w:jc w:val="center"/>
              <w:rPr>
                <w:rFonts w:cs="Arial"/>
                <w:lang w:eastAsia="en-GB"/>
              </w:rPr>
            </w:pPr>
            <w:r w:rsidRPr="00E07573">
              <w:rPr>
                <w:rFonts w:cs="Arial"/>
                <w:lang w:eastAsia="en-GB"/>
              </w:rPr>
              <w:t>21.</w:t>
            </w:r>
            <w:r>
              <w:rPr>
                <w:rFonts w:cs="Arial"/>
                <w:lang w:eastAsia="en-GB"/>
              </w:rPr>
              <w:t>8</w:t>
            </w:r>
          </w:p>
        </w:tc>
      </w:tr>
      <w:tr w:rsidR="006A2C17" w:rsidTr="00E07573">
        <w:tc>
          <w:tcPr>
            <w:tcW w:w="5370" w:type="dxa"/>
          </w:tcPr>
          <w:p w:rsidR="00E07573" w:rsidRPr="00E07573" w:rsidRDefault="0062660D" w:rsidP="00E07573">
            <w:pPr>
              <w:jc w:val="left"/>
              <w:rPr>
                <w:rFonts w:cs="Arial"/>
                <w:lang w:eastAsia="en-GB"/>
              </w:rPr>
            </w:pPr>
            <w:r w:rsidRPr="00E07573">
              <w:rPr>
                <w:rFonts w:cs="Arial"/>
                <w:lang w:eastAsia="en-GB"/>
              </w:rPr>
              <w:t>1 &amp; 2 Woodbridge Meadows, Guildford</w:t>
            </w:r>
          </w:p>
        </w:tc>
        <w:tc>
          <w:tcPr>
            <w:tcW w:w="2852" w:type="dxa"/>
          </w:tcPr>
          <w:p w:rsidR="00E07573" w:rsidRPr="00E07573" w:rsidRDefault="0062660D" w:rsidP="00E07573">
            <w:pPr>
              <w:jc w:val="left"/>
              <w:rPr>
                <w:rFonts w:cs="Arial"/>
                <w:lang w:eastAsia="en-GB"/>
              </w:rPr>
            </w:pPr>
            <w:r w:rsidRPr="00E07573">
              <w:rPr>
                <w:rFonts w:cs="Arial"/>
                <w:lang w:eastAsia="en-GB"/>
              </w:rPr>
              <w:t>Multi let commercial</w:t>
            </w:r>
          </w:p>
        </w:tc>
        <w:tc>
          <w:tcPr>
            <w:tcW w:w="1843" w:type="dxa"/>
          </w:tcPr>
          <w:p w:rsidR="00E07573" w:rsidRPr="00E07573" w:rsidRDefault="0062660D" w:rsidP="00E07573">
            <w:pPr>
              <w:jc w:val="center"/>
              <w:rPr>
                <w:rFonts w:cs="Arial"/>
                <w:lang w:eastAsia="en-GB"/>
              </w:rPr>
            </w:pPr>
            <w:r>
              <w:rPr>
                <w:rFonts w:cs="Arial"/>
                <w:lang w:eastAsia="en-GB"/>
              </w:rPr>
              <w:t>20.0</w:t>
            </w:r>
          </w:p>
        </w:tc>
      </w:tr>
      <w:tr w:rsidR="006A2C17" w:rsidTr="00E07573">
        <w:tc>
          <w:tcPr>
            <w:tcW w:w="5370" w:type="dxa"/>
          </w:tcPr>
          <w:p w:rsidR="00E07573" w:rsidRPr="00E07573" w:rsidRDefault="0062660D" w:rsidP="00E07573">
            <w:pPr>
              <w:jc w:val="left"/>
              <w:rPr>
                <w:rFonts w:cs="Arial"/>
                <w:lang w:eastAsia="en-GB"/>
              </w:rPr>
            </w:pPr>
            <w:r w:rsidRPr="00E07573">
              <w:rPr>
                <w:rFonts w:cs="Arial"/>
                <w:lang w:eastAsia="en-GB"/>
              </w:rPr>
              <w:t>Weir Road, Wimbledon</w:t>
            </w:r>
          </w:p>
        </w:tc>
        <w:tc>
          <w:tcPr>
            <w:tcW w:w="2852" w:type="dxa"/>
          </w:tcPr>
          <w:p w:rsidR="00E07573" w:rsidRPr="00E07573" w:rsidRDefault="0062660D" w:rsidP="00E07573">
            <w:pPr>
              <w:jc w:val="left"/>
              <w:rPr>
                <w:rFonts w:cs="Arial"/>
                <w:lang w:eastAsia="en-GB"/>
              </w:rPr>
            </w:pPr>
            <w:r w:rsidRPr="00E07573">
              <w:rPr>
                <w:rFonts w:cs="Arial"/>
                <w:lang w:eastAsia="en-GB"/>
              </w:rPr>
              <w:t>Industrial / Warehouse</w:t>
            </w:r>
          </w:p>
        </w:tc>
        <w:tc>
          <w:tcPr>
            <w:tcW w:w="1843" w:type="dxa"/>
          </w:tcPr>
          <w:p w:rsidR="00E07573" w:rsidRPr="00E07573" w:rsidRDefault="0062660D" w:rsidP="00E07573">
            <w:pPr>
              <w:jc w:val="center"/>
              <w:rPr>
                <w:rFonts w:cs="Arial"/>
                <w:lang w:eastAsia="en-GB"/>
              </w:rPr>
            </w:pPr>
            <w:r>
              <w:rPr>
                <w:rFonts w:cs="Arial"/>
                <w:lang w:eastAsia="en-GB"/>
              </w:rPr>
              <w:t>19.8</w:t>
            </w:r>
          </w:p>
        </w:tc>
      </w:tr>
      <w:tr w:rsidR="006A2C17" w:rsidTr="00E07573">
        <w:tc>
          <w:tcPr>
            <w:tcW w:w="5370" w:type="dxa"/>
          </w:tcPr>
          <w:p w:rsidR="00DF1738" w:rsidRPr="00E07573" w:rsidRDefault="0062660D" w:rsidP="00C67120">
            <w:pPr>
              <w:jc w:val="left"/>
              <w:rPr>
                <w:rFonts w:cs="Arial"/>
                <w:lang w:eastAsia="en-GB"/>
              </w:rPr>
            </w:pPr>
            <w:r>
              <w:rPr>
                <w:rFonts w:cs="Arial"/>
                <w:lang w:eastAsia="en-GB"/>
              </w:rPr>
              <w:t>Unit H, Tuscany Park, Wakefield</w:t>
            </w:r>
          </w:p>
        </w:tc>
        <w:tc>
          <w:tcPr>
            <w:tcW w:w="2852" w:type="dxa"/>
          </w:tcPr>
          <w:p w:rsidR="00DF1738" w:rsidRPr="00E07573" w:rsidRDefault="0062660D" w:rsidP="00E07573">
            <w:pPr>
              <w:jc w:val="left"/>
              <w:rPr>
                <w:rFonts w:cs="Arial"/>
                <w:lang w:eastAsia="en-GB"/>
              </w:rPr>
            </w:pPr>
            <w:r>
              <w:rPr>
                <w:rFonts w:cs="Arial"/>
                <w:lang w:eastAsia="en-GB"/>
              </w:rPr>
              <w:t>Industrial / Warehouse</w:t>
            </w:r>
          </w:p>
        </w:tc>
        <w:tc>
          <w:tcPr>
            <w:tcW w:w="1843" w:type="dxa"/>
          </w:tcPr>
          <w:p w:rsidR="00DF1738" w:rsidRPr="00E07573" w:rsidRDefault="0062660D" w:rsidP="00E07573">
            <w:pPr>
              <w:jc w:val="center"/>
              <w:rPr>
                <w:rFonts w:cs="Arial"/>
                <w:lang w:eastAsia="en-GB"/>
              </w:rPr>
            </w:pPr>
            <w:r>
              <w:rPr>
                <w:rFonts w:cs="Arial"/>
                <w:lang w:eastAsia="en-GB"/>
              </w:rPr>
              <w:t>18.9</w:t>
            </w:r>
          </w:p>
        </w:tc>
      </w:tr>
      <w:tr w:rsidR="006A2C17" w:rsidTr="00E07573">
        <w:tc>
          <w:tcPr>
            <w:tcW w:w="5370" w:type="dxa"/>
          </w:tcPr>
          <w:p w:rsidR="00DF1738" w:rsidRPr="00E07573" w:rsidRDefault="0062660D" w:rsidP="00E07573">
            <w:pPr>
              <w:jc w:val="left"/>
              <w:rPr>
                <w:rFonts w:cs="Arial"/>
                <w:lang w:eastAsia="en-GB"/>
              </w:rPr>
            </w:pPr>
            <w:r>
              <w:rPr>
                <w:rFonts w:cs="Arial"/>
                <w:lang w:eastAsia="en-GB"/>
              </w:rPr>
              <w:t>Benson House, Leeds</w:t>
            </w:r>
          </w:p>
        </w:tc>
        <w:tc>
          <w:tcPr>
            <w:tcW w:w="2852" w:type="dxa"/>
          </w:tcPr>
          <w:p w:rsidR="00DF1738" w:rsidRPr="00E07573" w:rsidRDefault="0062660D" w:rsidP="00E07573">
            <w:pPr>
              <w:jc w:val="left"/>
              <w:rPr>
                <w:rFonts w:cs="Arial"/>
                <w:lang w:eastAsia="en-GB"/>
              </w:rPr>
            </w:pPr>
            <w:r>
              <w:rPr>
                <w:rFonts w:cs="Arial"/>
                <w:lang w:eastAsia="en-GB"/>
              </w:rPr>
              <w:t>Offices</w:t>
            </w:r>
          </w:p>
        </w:tc>
        <w:tc>
          <w:tcPr>
            <w:tcW w:w="1843" w:type="dxa"/>
          </w:tcPr>
          <w:p w:rsidR="00DF1738" w:rsidRPr="00E07573" w:rsidRDefault="0062660D" w:rsidP="00E07573">
            <w:pPr>
              <w:jc w:val="center"/>
              <w:rPr>
                <w:rFonts w:cs="Arial"/>
                <w:lang w:eastAsia="en-GB"/>
              </w:rPr>
            </w:pPr>
            <w:r>
              <w:rPr>
                <w:rFonts w:cs="Arial"/>
                <w:lang w:eastAsia="en-GB"/>
              </w:rPr>
              <w:t>18.2</w:t>
            </w:r>
          </w:p>
        </w:tc>
      </w:tr>
      <w:tr w:rsidR="006A2C17" w:rsidTr="00E07573">
        <w:tc>
          <w:tcPr>
            <w:tcW w:w="5370" w:type="dxa"/>
          </w:tcPr>
          <w:p w:rsidR="00E07573" w:rsidRPr="00E07573" w:rsidRDefault="0062660D" w:rsidP="00E07573">
            <w:pPr>
              <w:jc w:val="left"/>
              <w:rPr>
                <w:rFonts w:cs="Arial"/>
                <w:lang w:eastAsia="en-GB"/>
              </w:rPr>
            </w:pPr>
            <w:r w:rsidRPr="00E07573">
              <w:rPr>
                <w:rFonts w:cs="Arial"/>
                <w:lang w:eastAsia="en-GB"/>
              </w:rPr>
              <w:t>Oxonian Park, Oxford</w:t>
            </w:r>
          </w:p>
        </w:tc>
        <w:tc>
          <w:tcPr>
            <w:tcW w:w="2852" w:type="dxa"/>
          </w:tcPr>
          <w:p w:rsidR="00E07573" w:rsidRPr="00E07573" w:rsidRDefault="0062660D" w:rsidP="00E07573">
            <w:pPr>
              <w:jc w:val="left"/>
              <w:rPr>
                <w:rFonts w:cs="Arial"/>
                <w:lang w:eastAsia="en-GB"/>
              </w:rPr>
            </w:pPr>
            <w:r w:rsidRPr="00E07573">
              <w:rPr>
                <w:rFonts w:cs="Arial"/>
                <w:lang w:eastAsia="en-GB"/>
              </w:rPr>
              <w:t>Industrial / Warehouse</w:t>
            </w:r>
          </w:p>
        </w:tc>
        <w:tc>
          <w:tcPr>
            <w:tcW w:w="1843" w:type="dxa"/>
          </w:tcPr>
          <w:p w:rsidR="00E07573" w:rsidRPr="00E07573" w:rsidRDefault="0062660D" w:rsidP="00C67120">
            <w:pPr>
              <w:jc w:val="center"/>
              <w:rPr>
                <w:rFonts w:cs="Arial"/>
                <w:lang w:eastAsia="en-GB"/>
              </w:rPr>
            </w:pPr>
            <w:r>
              <w:rPr>
                <w:rFonts w:cs="Arial"/>
                <w:lang w:eastAsia="en-GB"/>
              </w:rPr>
              <w:t>17.9</w:t>
            </w:r>
          </w:p>
        </w:tc>
      </w:tr>
      <w:tr w:rsidR="006A2C17" w:rsidTr="00E07573">
        <w:tc>
          <w:tcPr>
            <w:tcW w:w="5370" w:type="dxa"/>
          </w:tcPr>
          <w:p w:rsidR="00C67120" w:rsidRPr="00E07573" w:rsidRDefault="0062660D" w:rsidP="00C67120">
            <w:pPr>
              <w:jc w:val="left"/>
              <w:rPr>
                <w:rFonts w:cs="Arial"/>
                <w:lang w:eastAsia="en-GB"/>
              </w:rPr>
            </w:pPr>
            <w:r>
              <w:rPr>
                <w:rFonts w:cs="Arial"/>
                <w:lang w:eastAsia="en-GB"/>
              </w:rPr>
              <w:t>Tuscany Park, Wakefield</w:t>
            </w:r>
          </w:p>
        </w:tc>
        <w:tc>
          <w:tcPr>
            <w:tcW w:w="2852" w:type="dxa"/>
          </w:tcPr>
          <w:p w:rsidR="00C67120" w:rsidRPr="00E07573" w:rsidRDefault="0062660D" w:rsidP="00C67120">
            <w:pPr>
              <w:jc w:val="left"/>
              <w:rPr>
                <w:rFonts w:cs="Arial"/>
                <w:lang w:eastAsia="en-GB"/>
              </w:rPr>
            </w:pPr>
            <w:r>
              <w:rPr>
                <w:rFonts w:cs="Arial"/>
                <w:lang w:eastAsia="en-GB"/>
              </w:rPr>
              <w:t>Industrial / Warehouse</w:t>
            </w:r>
          </w:p>
        </w:tc>
        <w:tc>
          <w:tcPr>
            <w:tcW w:w="1843" w:type="dxa"/>
          </w:tcPr>
          <w:p w:rsidR="00C67120" w:rsidRPr="00E07573" w:rsidRDefault="0062660D" w:rsidP="00C67120">
            <w:pPr>
              <w:jc w:val="center"/>
              <w:rPr>
                <w:rFonts w:cs="Arial"/>
                <w:lang w:eastAsia="en-GB"/>
              </w:rPr>
            </w:pPr>
            <w:r>
              <w:rPr>
                <w:rFonts w:cs="Arial"/>
                <w:lang w:eastAsia="en-GB"/>
              </w:rPr>
              <w:t>17.5</w:t>
            </w:r>
          </w:p>
        </w:tc>
      </w:tr>
      <w:tr w:rsidR="006A2C17" w:rsidTr="00E07573">
        <w:tc>
          <w:tcPr>
            <w:tcW w:w="5370" w:type="dxa"/>
          </w:tcPr>
          <w:p w:rsidR="00C67120" w:rsidRPr="00E07573" w:rsidRDefault="0062660D" w:rsidP="00C67120">
            <w:pPr>
              <w:jc w:val="left"/>
              <w:rPr>
                <w:rFonts w:cs="Arial"/>
                <w:lang w:eastAsia="en-GB"/>
              </w:rPr>
            </w:pPr>
          </w:p>
        </w:tc>
        <w:tc>
          <w:tcPr>
            <w:tcW w:w="2852" w:type="dxa"/>
          </w:tcPr>
          <w:p w:rsidR="00C67120" w:rsidRPr="00E07573" w:rsidRDefault="0062660D" w:rsidP="00C67120">
            <w:pPr>
              <w:jc w:val="left"/>
              <w:rPr>
                <w:rFonts w:cs="Arial"/>
                <w:lang w:eastAsia="en-GB"/>
              </w:rPr>
            </w:pPr>
          </w:p>
        </w:tc>
        <w:tc>
          <w:tcPr>
            <w:tcW w:w="1843" w:type="dxa"/>
          </w:tcPr>
          <w:p w:rsidR="00C67120" w:rsidRPr="00E07573" w:rsidRDefault="0062660D" w:rsidP="00C67120">
            <w:pPr>
              <w:jc w:val="center"/>
              <w:rPr>
                <w:rFonts w:cs="Arial"/>
                <w:b/>
                <w:lang w:eastAsia="en-GB"/>
              </w:rPr>
            </w:pPr>
            <w:r>
              <w:rPr>
                <w:rFonts w:cs="Arial"/>
                <w:b/>
                <w:lang w:eastAsia="en-GB"/>
              </w:rPr>
              <w:t>229.6</w:t>
            </w:r>
          </w:p>
        </w:tc>
      </w:tr>
    </w:tbl>
    <w:p w:rsidR="00E07573" w:rsidRDefault="0062660D" w:rsidP="0076100A">
      <w:pPr>
        <w:autoSpaceDE/>
        <w:autoSpaceDN/>
        <w:adjustRightInd/>
        <w:spacing w:after="0"/>
        <w:jc w:val="left"/>
      </w:pPr>
    </w:p>
    <w:p w:rsidR="00F026B4" w:rsidRDefault="0062660D" w:rsidP="0076100A">
      <w:pPr>
        <w:autoSpaceDE/>
        <w:autoSpaceDN/>
        <w:adjustRightInd/>
        <w:spacing w:after="0"/>
        <w:jc w:val="left"/>
      </w:pPr>
    </w:p>
    <w:p w:rsidR="00C67120" w:rsidRPr="00C67120" w:rsidRDefault="0062660D" w:rsidP="00C67120">
      <w:pPr>
        <w:widowControl w:val="0"/>
        <w:spacing w:after="0"/>
        <w:jc w:val="left"/>
        <w:rPr>
          <w:rFonts w:eastAsiaTheme="minorEastAsia" w:cs="Arial"/>
          <w:color w:val="auto"/>
          <w:lang w:val="en" w:eastAsia="en-GB"/>
        </w:rPr>
      </w:pPr>
      <w:r w:rsidRPr="00C67120">
        <w:rPr>
          <w:rFonts w:eastAsiaTheme="minorEastAsia" w:cs="Arial"/>
          <w:color w:val="auto"/>
          <w:lang w:val="en" w:eastAsia="en-GB"/>
        </w:rPr>
        <w:t xml:space="preserve">This year, </w:t>
      </w:r>
      <w:r>
        <w:rPr>
          <w:rFonts w:eastAsiaTheme="minorEastAsia" w:cs="Arial"/>
          <w:color w:val="auto"/>
          <w:lang w:val="en" w:eastAsia="en-GB"/>
        </w:rPr>
        <w:t>the Fund</w:t>
      </w:r>
      <w:r w:rsidRPr="00C67120">
        <w:rPr>
          <w:rFonts w:eastAsiaTheme="minorEastAsia" w:cs="Arial"/>
          <w:color w:val="auto"/>
          <w:lang w:val="en" w:eastAsia="en-GB"/>
        </w:rPr>
        <w:t xml:space="preserve"> has extended its property development activity as a means of acquiring investment assets at competitive prices and focused a part of its property investment allocation on local investment in the County of Lancashire. At 31 March 2016 the Fund had two proj</w:t>
      </w:r>
      <w:r w:rsidRPr="00C67120">
        <w:rPr>
          <w:rFonts w:eastAsiaTheme="minorEastAsia" w:cs="Arial"/>
          <w:color w:val="auto"/>
          <w:lang w:val="en" w:eastAsia="en-GB"/>
        </w:rPr>
        <w:t>ects under construction in the private-rented and student accommodation sectors with a gross development value of £50m. Several other North-West based property projects are also being actively considered.</w:t>
      </w:r>
    </w:p>
    <w:p w:rsidR="00F13328" w:rsidRDefault="0062660D" w:rsidP="0076100A">
      <w:pPr>
        <w:autoSpaceDE/>
        <w:autoSpaceDN/>
        <w:adjustRightInd/>
        <w:spacing w:after="0"/>
        <w:jc w:val="left"/>
      </w:pPr>
    </w:p>
    <w:p w:rsidR="00C67120" w:rsidRDefault="0062660D" w:rsidP="0076100A">
      <w:pPr>
        <w:autoSpaceDE/>
        <w:autoSpaceDN/>
        <w:adjustRightInd/>
        <w:spacing w:after="0"/>
        <w:jc w:val="left"/>
      </w:pPr>
    </w:p>
    <w:p w:rsidR="00C67120" w:rsidRDefault="0062660D" w:rsidP="0076100A">
      <w:pPr>
        <w:autoSpaceDE/>
        <w:autoSpaceDN/>
        <w:adjustRightInd/>
        <w:spacing w:after="0"/>
        <w:jc w:val="left"/>
      </w:pPr>
    </w:p>
    <w:p w:rsidR="00C67120" w:rsidRPr="00C67120" w:rsidRDefault="0062660D" w:rsidP="00C67120">
      <w:pPr>
        <w:keepNext/>
        <w:keepLines/>
        <w:widowControl w:val="0"/>
        <w:spacing w:after="0"/>
        <w:rPr>
          <w:rFonts w:eastAsia="Times New Roman" w:cs="Arial"/>
          <w:b/>
          <w:color w:val="auto"/>
          <w:sz w:val="28"/>
          <w:szCs w:val="28"/>
          <w:lang w:eastAsia="en-GB"/>
        </w:rPr>
      </w:pPr>
      <w:r w:rsidRPr="00C67120">
        <w:rPr>
          <w:rFonts w:eastAsia="Times New Roman" w:cs="Arial"/>
          <w:b/>
          <w:color w:val="auto"/>
          <w:sz w:val="28"/>
          <w:szCs w:val="28"/>
          <w:lang w:eastAsia="en-GB"/>
        </w:rPr>
        <w:t>Credit strategies</w:t>
      </w:r>
    </w:p>
    <w:p w:rsidR="00C67120" w:rsidRPr="00C67120" w:rsidRDefault="0062660D" w:rsidP="00C67120">
      <w:pPr>
        <w:keepNext/>
        <w:keepLines/>
        <w:widowControl w:val="0"/>
        <w:spacing w:after="0"/>
        <w:rPr>
          <w:rFonts w:eastAsiaTheme="minorEastAsia" w:cs="Arial"/>
          <w:color w:val="auto"/>
          <w:lang w:val="en" w:eastAsia="en-GB"/>
        </w:rPr>
      </w:pPr>
      <w:r w:rsidRPr="00C67120">
        <w:rPr>
          <w:rFonts w:eastAsiaTheme="minorEastAsia" w:cs="Arial"/>
          <w:color w:val="auto"/>
          <w:lang w:val="en" w:eastAsia="en-GB"/>
        </w:rPr>
        <w:t xml:space="preserve">Credit strategies follow four </w:t>
      </w:r>
      <w:r w:rsidRPr="00C67120">
        <w:rPr>
          <w:rFonts w:eastAsiaTheme="minorEastAsia" w:cs="Arial"/>
          <w:color w:val="auto"/>
          <w:lang w:val="en" w:eastAsia="en-GB"/>
        </w:rPr>
        <w:t>themes. Investments in emerging market debt amounted to £402.</w:t>
      </w:r>
      <w:r>
        <w:rPr>
          <w:rFonts w:eastAsiaTheme="minorEastAsia" w:cs="Arial"/>
          <w:color w:val="auto"/>
          <w:lang w:val="en" w:eastAsia="en-GB"/>
        </w:rPr>
        <w:t>1</w:t>
      </w:r>
      <w:r w:rsidRPr="00C67120">
        <w:rPr>
          <w:rFonts w:eastAsiaTheme="minorEastAsia" w:cs="Arial"/>
          <w:color w:val="auto"/>
          <w:lang w:val="en" w:eastAsia="en-GB"/>
        </w:rPr>
        <w:t>m (6.7% of the Fund), £337m (5.</w:t>
      </w:r>
      <w:r>
        <w:rPr>
          <w:rFonts w:eastAsiaTheme="minorEastAsia" w:cs="Arial"/>
          <w:color w:val="auto"/>
          <w:lang w:val="en" w:eastAsia="en-GB"/>
        </w:rPr>
        <w:t>5</w:t>
      </w:r>
      <w:r w:rsidRPr="00C67120">
        <w:rPr>
          <w:rFonts w:eastAsiaTheme="minorEastAsia" w:cs="Arial"/>
          <w:color w:val="auto"/>
          <w:lang w:val="en" w:eastAsia="en-GB"/>
        </w:rPr>
        <w:t>%) was invested in non-investment grade secured lending, £406.1</w:t>
      </w:r>
      <w:r>
        <w:rPr>
          <w:rFonts w:eastAsiaTheme="minorEastAsia" w:cs="Arial"/>
          <w:color w:val="auto"/>
          <w:lang w:val="en" w:eastAsia="en-GB"/>
        </w:rPr>
        <w:t>m</w:t>
      </w:r>
      <w:r w:rsidRPr="00C67120">
        <w:rPr>
          <w:rFonts w:eastAsiaTheme="minorEastAsia" w:cs="Arial"/>
          <w:color w:val="auto"/>
          <w:lang w:val="en" w:eastAsia="en-GB"/>
        </w:rPr>
        <w:t xml:space="preserve"> (6.</w:t>
      </w:r>
      <w:r>
        <w:rPr>
          <w:rFonts w:eastAsiaTheme="minorEastAsia" w:cs="Arial"/>
          <w:color w:val="auto"/>
          <w:lang w:val="en" w:eastAsia="en-GB"/>
        </w:rPr>
        <w:t>8</w:t>
      </w:r>
      <w:r w:rsidRPr="00C67120">
        <w:rPr>
          <w:rFonts w:eastAsiaTheme="minorEastAsia" w:cs="Arial"/>
          <w:color w:val="auto"/>
          <w:lang w:val="en" w:eastAsia="en-GB"/>
        </w:rPr>
        <w:t>%) in cyclical credit opportunities and £392.</w:t>
      </w:r>
      <w:r>
        <w:rPr>
          <w:rFonts w:eastAsiaTheme="minorEastAsia" w:cs="Arial"/>
          <w:color w:val="auto"/>
          <w:lang w:val="en" w:eastAsia="en-GB"/>
        </w:rPr>
        <w:t>6</w:t>
      </w:r>
      <w:r w:rsidRPr="00C67120">
        <w:rPr>
          <w:rFonts w:eastAsiaTheme="minorEastAsia" w:cs="Arial"/>
          <w:color w:val="auto"/>
          <w:lang w:val="en" w:eastAsia="en-GB"/>
        </w:rPr>
        <w:t xml:space="preserve">m (6.5%) in debt secured on real assets.  </w:t>
      </w:r>
    </w:p>
    <w:p w:rsidR="00C67120" w:rsidRPr="00C67120" w:rsidRDefault="0062660D" w:rsidP="00C67120">
      <w:pPr>
        <w:keepNext/>
        <w:keepLines/>
        <w:widowControl w:val="0"/>
        <w:spacing w:after="0"/>
        <w:rPr>
          <w:rFonts w:eastAsiaTheme="minorEastAsia" w:cs="Arial"/>
          <w:color w:val="auto"/>
          <w:lang w:val="en" w:eastAsia="en-GB"/>
        </w:rPr>
      </w:pPr>
    </w:p>
    <w:p w:rsidR="00C67120" w:rsidRPr="00C67120" w:rsidRDefault="0062660D" w:rsidP="00FE4B18">
      <w:pPr>
        <w:keepNext/>
        <w:keepLines/>
        <w:widowControl w:val="0"/>
        <w:spacing w:after="0"/>
        <w:jc w:val="left"/>
        <w:rPr>
          <w:rFonts w:eastAsia="Times New Roman" w:cs="Arial"/>
          <w:b/>
          <w:color w:val="auto"/>
          <w:sz w:val="28"/>
          <w:szCs w:val="28"/>
          <w:lang w:eastAsia="en-GB"/>
        </w:rPr>
      </w:pPr>
      <w:r w:rsidRPr="00C67120">
        <w:rPr>
          <w:rFonts w:eastAsiaTheme="minorEastAsia" w:cs="Arial"/>
          <w:color w:val="auto"/>
          <w:lang w:val="en" w:eastAsia="en-GB"/>
        </w:rPr>
        <w:t>Target levels of investment are approximately £450m in each category and further commitments were made during 2015-16. Investment levels will approach targets over the coming years as those commitments are drawn down</w:t>
      </w:r>
      <w:r w:rsidRPr="00C67120">
        <w:rPr>
          <w:rFonts w:eastAsia="Times New Roman" w:cs="Arial"/>
          <w:b/>
          <w:color w:val="auto"/>
          <w:sz w:val="28"/>
          <w:szCs w:val="28"/>
          <w:lang w:eastAsia="en-GB"/>
        </w:rPr>
        <w:t xml:space="preserve">. </w:t>
      </w:r>
    </w:p>
    <w:p w:rsidR="00F13328" w:rsidRPr="00C67120" w:rsidRDefault="0062660D" w:rsidP="00C67120">
      <w:pPr>
        <w:keepNext/>
        <w:keepLines/>
        <w:widowControl w:val="0"/>
        <w:spacing w:after="0"/>
        <w:rPr>
          <w:rFonts w:eastAsia="Times New Roman" w:cs="Arial"/>
          <w:b/>
          <w:color w:val="auto"/>
          <w:sz w:val="28"/>
          <w:szCs w:val="28"/>
          <w:lang w:eastAsia="en-GB"/>
        </w:rPr>
      </w:pPr>
    </w:p>
    <w:p w:rsidR="004203E0" w:rsidRDefault="0062660D" w:rsidP="0076100A">
      <w:pPr>
        <w:autoSpaceDE/>
        <w:autoSpaceDN/>
        <w:adjustRightInd/>
        <w:spacing w:after="0"/>
        <w:jc w:val="left"/>
      </w:pPr>
    </w:p>
    <w:p w:rsidR="004E1324" w:rsidRPr="00F13328" w:rsidRDefault="0062660D" w:rsidP="00AE1A5A">
      <w:pPr>
        <w:autoSpaceDE/>
        <w:autoSpaceDN/>
        <w:adjustRightInd/>
        <w:spacing w:after="0" w:line="276" w:lineRule="auto"/>
        <w:jc w:val="left"/>
        <w:rPr>
          <w:rFonts w:eastAsia="Times New Roman" w:cs="Arial"/>
          <w:noProof/>
          <w:color w:val="auto"/>
          <w:lang w:eastAsia="en-GB"/>
        </w:rPr>
      </w:pPr>
    </w:p>
    <w:p w:rsidR="007B5569" w:rsidRDefault="0062660D" w:rsidP="00AE1A5A">
      <w:pPr>
        <w:autoSpaceDE/>
        <w:autoSpaceDN/>
        <w:adjustRightInd/>
        <w:spacing w:after="0"/>
        <w:jc w:val="left"/>
      </w:pPr>
    </w:p>
    <w:p w:rsidR="002F2785" w:rsidRDefault="0062660D" w:rsidP="0076100A">
      <w:pPr>
        <w:autoSpaceDE/>
        <w:autoSpaceDN/>
        <w:adjustRightInd/>
        <w:spacing w:after="0"/>
        <w:jc w:val="left"/>
      </w:pPr>
    </w:p>
    <w:p w:rsidR="000213CE" w:rsidRDefault="0062660D" w:rsidP="00FE5149">
      <w:pPr>
        <w:autoSpaceDE/>
        <w:autoSpaceDN/>
        <w:adjustRightInd/>
        <w:spacing w:after="0"/>
        <w:jc w:val="left"/>
        <w:rPr>
          <w:rFonts w:cs="Arial"/>
        </w:rPr>
      </w:pPr>
    </w:p>
    <w:p w:rsidR="002D4F64" w:rsidRDefault="0062660D" w:rsidP="005E28A4">
      <w:pPr>
        <w:spacing w:line="276" w:lineRule="auto"/>
        <w:jc w:val="left"/>
        <w:rPr>
          <w:rFonts w:eastAsia="Times New Roman" w:cs="Arial"/>
          <w:noProof/>
          <w:color w:val="auto"/>
          <w:lang w:eastAsia="en-GB"/>
        </w:rPr>
      </w:pPr>
      <w:r>
        <w:rPr>
          <w:noProof/>
          <w:lang w:eastAsia="en-GB"/>
        </w:rPr>
        <w:drawing>
          <wp:inline distT="0" distB="0" distL="0" distR="0" wp14:anchorId="41CCB8AC" wp14:editId="65D572ED">
            <wp:extent cx="6475228" cy="3538220"/>
            <wp:effectExtent l="0" t="0" r="1905" b="508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D4F64" w:rsidRDefault="0062660D" w:rsidP="005E28A4">
      <w:pPr>
        <w:spacing w:line="276" w:lineRule="auto"/>
        <w:jc w:val="left"/>
        <w:rPr>
          <w:rFonts w:eastAsia="Times New Roman" w:cs="Arial"/>
          <w:noProof/>
          <w:color w:val="auto"/>
          <w:lang w:eastAsia="en-GB"/>
        </w:rPr>
      </w:pPr>
    </w:p>
    <w:p w:rsidR="007636D6" w:rsidRDefault="0062660D" w:rsidP="005E28A4">
      <w:pPr>
        <w:spacing w:line="276" w:lineRule="auto"/>
        <w:jc w:val="left"/>
        <w:rPr>
          <w:rFonts w:eastAsia="Times New Roman" w:cs="Arial"/>
          <w:noProof/>
          <w:color w:val="auto"/>
          <w:lang w:eastAsia="en-GB"/>
        </w:rPr>
      </w:pPr>
    </w:p>
    <w:p w:rsidR="007636D6" w:rsidRDefault="0062660D" w:rsidP="007636D6">
      <w:pPr>
        <w:widowControl w:val="0"/>
        <w:spacing w:after="0" w:line="276" w:lineRule="auto"/>
        <w:jc w:val="left"/>
        <w:rPr>
          <w:rFonts w:eastAsia="Times New Roman" w:cs="Arial"/>
          <w:b/>
          <w:color w:val="auto"/>
          <w:sz w:val="28"/>
          <w:szCs w:val="28"/>
          <w:lang w:eastAsia="en-GB"/>
        </w:rPr>
      </w:pPr>
      <w:r w:rsidRPr="000C00CF">
        <w:rPr>
          <w:rFonts w:eastAsia="Times New Roman" w:cs="Arial"/>
          <w:b/>
          <w:color w:val="auto"/>
          <w:sz w:val="28"/>
          <w:szCs w:val="28"/>
          <w:lang w:eastAsia="en-GB"/>
        </w:rPr>
        <w:t xml:space="preserve">Emerging markets sovereign </w:t>
      </w:r>
      <w:r w:rsidRPr="000C00CF">
        <w:rPr>
          <w:rFonts w:eastAsia="Times New Roman" w:cs="Arial"/>
          <w:b/>
          <w:color w:val="auto"/>
          <w:sz w:val="28"/>
          <w:szCs w:val="28"/>
          <w:lang w:eastAsia="en-GB"/>
        </w:rPr>
        <w:t>debt</w:t>
      </w:r>
    </w:p>
    <w:p w:rsidR="007636D6" w:rsidRPr="000C00CF" w:rsidRDefault="0062660D" w:rsidP="007636D6">
      <w:pPr>
        <w:widowControl w:val="0"/>
        <w:spacing w:after="0"/>
        <w:jc w:val="left"/>
        <w:rPr>
          <w:rFonts w:eastAsiaTheme="minorEastAsia" w:cs="Arial"/>
          <w:color w:val="auto"/>
          <w:lang w:val="en" w:eastAsia="en-GB"/>
        </w:rPr>
      </w:pPr>
      <w:r>
        <w:rPr>
          <w:rFonts w:eastAsiaTheme="minorEastAsia" w:cs="Arial"/>
          <w:color w:val="auto"/>
          <w:lang w:val="en" w:eastAsia="en-GB"/>
        </w:rPr>
        <w:t>R</w:t>
      </w:r>
      <w:r w:rsidRPr="000C00CF">
        <w:rPr>
          <w:rFonts w:eastAsiaTheme="minorEastAsia" w:cs="Arial"/>
          <w:color w:val="auto"/>
          <w:lang w:val="en" w:eastAsia="en-GB"/>
        </w:rPr>
        <w:t>eturns suffered from a number of different effects, notably ongoing crises in a number of jurisdictions, continuing depression in global economic demand growth, and a large currency devaluation by the Chinese economy.</w:t>
      </w:r>
    </w:p>
    <w:p w:rsidR="007636D6" w:rsidRPr="000C00CF" w:rsidRDefault="0062660D" w:rsidP="007636D6">
      <w:pPr>
        <w:widowControl w:val="0"/>
        <w:spacing w:after="0"/>
        <w:jc w:val="left"/>
        <w:rPr>
          <w:rFonts w:eastAsiaTheme="minorEastAsia" w:cs="Arial"/>
          <w:color w:val="auto"/>
          <w:lang w:val="en" w:eastAsia="en-GB"/>
        </w:rPr>
      </w:pPr>
    </w:p>
    <w:p w:rsidR="007636D6" w:rsidRPr="000C00CF" w:rsidRDefault="0062660D" w:rsidP="007636D6">
      <w:pPr>
        <w:widowControl w:val="0"/>
        <w:spacing w:after="0"/>
        <w:jc w:val="left"/>
        <w:rPr>
          <w:rFonts w:eastAsiaTheme="minorEastAsia" w:cs="Arial"/>
          <w:color w:val="auto"/>
          <w:lang w:val="en" w:eastAsia="en-GB"/>
        </w:rPr>
      </w:pPr>
      <w:r w:rsidRPr="000C00CF">
        <w:rPr>
          <w:rFonts w:eastAsiaTheme="minorEastAsia" w:cs="Arial"/>
          <w:color w:val="auto"/>
          <w:lang w:val="en" w:eastAsia="en-GB"/>
        </w:rPr>
        <w:t xml:space="preserve">Since inception, the </w:t>
      </w:r>
      <w:r>
        <w:rPr>
          <w:rFonts w:eastAsiaTheme="minorEastAsia" w:cs="Arial"/>
          <w:color w:val="auto"/>
          <w:lang w:val="en" w:eastAsia="en-GB"/>
        </w:rPr>
        <w:t>Fund</w:t>
      </w:r>
      <w:r w:rsidRPr="000C00CF">
        <w:rPr>
          <w:rFonts w:eastAsiaTheme="minorEastAsia" w:cs="Arial"/>
          <w:color w:val="auto"/>
          <w:lang w:val="en" w:eastAsia="en-GB"/>
        </w:rPr>
        <w:t>'s inv</w:t>
      </w:r>
      <w:r w:rsidRPr="000C00CF">
        <w:rPr>
          <w:rFonts w:eastAsiaTheme="minorEastAsia" w:cs="Arial"/>
          <w:color w:val="auto"/>
          <w:lang w:val="en" w:eastAsia="en-GB"/>
        </w:rPr>
        <w:t>estments in emerging markets debt have achieved a small positive return of 0.55%. Emerging markets started the 2016 calendar year well, with the JPM GBI Emerging Markets Global Diversified Index rising at a rate equivalent to 13.84% per annum over the thre</w:t>
      </w:r>
      <w:r w:rsidRPr="000C00CF">
        <w:rPr>
          <w:rFonts w:eastAsiaTheme="minorEastAsia" w:cs="Arial"/>
          <w:color w:val="auto"/>
          <w:lang w:val="en" w:eastAsia="en-GB"/>
        </w:rPr>
        <w:t xml:space="preserve">e months to 31 March 2016, with </w:t>
      </w:r>
      <w:r>
        <w:rPr>
          <w:rFonts w:eastAsiaTheme="minorEastAsia" w:cs="Arial"/>
          <w:color w:val="auto"/>
          <w:lang w:val="en" w:eastAsia="en-GB"/>
        </w:rPr>
        <w:t>the Fund's</w:t>
      </w:r>
      <w:r w:rsidRPr="000C00CF">
        <w:rPr>
          <w:rFonts w:eastAsiaTheme="minorEastAsia" w:cs="Arial"/>
          <w:color w:val="auto"/>
          <w:lang w:val="en" w:eastAsia="en-GB"/>
        </w:rPr>
        <w:t xml:space="preserve"> emerging market investments rising 10.24% over the same period.</w:t>
      </w:r>
    </w:p>
    <w:p w:rsidR="007636D6" w:rsidRPr="000C00CF" w:rsidRDefault="0062660D" w:rsidP="007636D6">
      <w:pPr>
        <w:widowControl w:val="0"/>
        <w:spacing w:after="0"/>
        <w:jc w:val="left"/>
        <w:rPr>
          <w:rFonts w:eastAsiaTheme="minorEastAsia" w:cs="Arial"/>
          <w:color w:val="auto"/>
          <w:lang w:val="en" w:eastAsia="en-GB"/>
        </w:rPr>
      </w:pPr>
    </w:p>
    <w:p w:rsidR="007636D6" w:rsidRPr="000C00CF" w:rsidRDefault="0062660D" w:rsidP="007636D6">
      <w:pPr>
        <w:widowControl w:val="0"/>
        <w:spacing w:after="0"/>
        <w:jc w:val="left"/>
        <w:rPr>
          <w:rFonts w:eastAsiaTheme="minorEastAsia" w:cs="Arial"/>
          <w:color w:val="auto"/>
          <w:lang w:val="en" w:eastAsia="en-GB"/>
        </w:rPr>
      </w:pPr>
      <w:r w:rsidRPr="000C00CF">
        <w:rPr>
          <w:rFonts w:eastAsiaTheme="minorEastAsia" w:cs="Arial"/>
          <w:color w:val="auto"/>
          <w:lang w:val="en" w:eastAsia="en-GB"/>
        </w:rPr>
        <w:t xml:space="preserve">These investments are considered likely to benefit from long-term global economic growth and strengthening of the currencies of emerging economies, </w:t>
      </w:r>
      <w:r w:rsidRPr="000C00CF">
        <w:rPr>
          <w:rFonts w:eastAsiaTheme="minorEastAsia" w:cs="Arial"/>
          <w:color w:val="auto"/>
          <w:lang w:val="en" w:eastAsia="en-GB"/>
        </w:rPr>
        <w:t>even if there is some short term volatility. In addition, the asset class provides useful diversification from other more mainstream credit investments.</w:t>
      </w:r>
    </w:p>
    <w:p w:rsidR="007636D6" w:rsidRDefault="0062660D" w:rsidP="005E28A4">
      <w:pPr>
        <w:spacing w:line="276" w:lineRule="auto"/>
        <w:jc w:val="left"/>
        <w:rPr>
          <w:rFonts w:eastAsia="Times New Roman" w:cs="Arial"/>
          <w:noProof/>
          <w:color w:val="auto"/>
          <w:lang w:eastAsia="en-GB"/>
        </w:rPr>
      </w:pPr>
    </w:p>
    <w:p w:rsidR="007636D6" w:rsidRDefault="0062660D" w:rsidP="005E28A4">
      <w:pPr>
        <w:spacing w:line="276" w:lineRule="auto"/>
        <w:jc w:val="left"/>
        <w:rPr>
          <w:rFonts w:eastAsia="Times New Roman" w:cs="Arial"/>
          <w:noProof/>
          <w:color w:val="auto"/>
          <w:lang w:eastAsia="en-GB"/>
        </w:rPr>
      </w:pPr>
    </w:p>
    <w:p w:rsidR="00EC416B" w:rsidRDefault="0062660D">
      <w:pPr>
        <w:autoSpaceDE/>
        <w:autoSpaceDN/>
        <w:adjustRightInd/>
        <w:spacing w:after="0"/>
        <w:jc w:val="left"/>
        <w:rPr>
          <w:rFonts w:cs="Arial"/>
        </w:rPr>
      </w:pPr>
    </w:p>
    <w:p w:rsidR="00E85FE0" w:rsidRPr="00E01613" w:rsidRDefault="0062660D" w:rsidP="00DC1E0D">
      <w:pPr>
        <w:spacing w:after="0"/>
        <w:jc w:val="left"/>
        <w:rPr>
          <w:rFonts w:eastAsia="Times New Roman" w:cs="Arial"/>
          <w:color w:val="auto"/>
          <w:szCs w:val="20"/>
          <w:lang w:eastAsia="en-GB"/>
        </w:rPr>
      </w:pPr>
      <w:r>
        <w:rPr>
          <w:noProof/>
          <w:lang w:eastAsia="en-GB"/>
        </w:rPr>
        <w:drawing>
          <wp:inline distT="0" distB="0" distL="0" distR="0" wp14:anchorId="48A6E323" wp14:editId="456484EA">
            <wp:extent cx="6390005" cy="4104168"/>
            <wp:effectExtent l="0" t="0" r="10795" b="1079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C1E0D" w:rsidRDefault="0062660D" w:rsidP="00DC1E0D">
      <w:pPr>
        <w:spacing w:after="0"/>
        <w:ind w:left="720"/>
        <w:contextualSpacing/>
        <w:jc w:val="left"/>
        <w:rPr>
          <w:rFonts w:eastAsia="Times New Roman" w:cs="Arial"/>
          <w:color w:val="auto"/>
          <w:lang w:eastAsia="en-GB"/>
        </w:rPr>
      </w:pPr>
    </w:p>
    <w:p w:rsidR="000C00CF" w:rsidRDefault="0062660D" w:rsidP="00DC1E0D">
      <w:pPr>
        <w:spacing w:after="0"/>
        <w:ind w:left="720"/>
        <w:contextualSpacing/>
        <w:jc w:val="left"/>
        <w:rPr>
          <w:rFonts w:eastAsia="Times New Roman" w:cs="Arial"/>
          <w:color w:val="auto"/>
          <w:lang w:eastAsia="en-GB"/>
        </w:rPr>
      </w:pPr>
    </w:p>
    <w:p w:rsidR="000C00CF" w:rsidRDefault="0062660D" w:rsidP="00DC1E0D">
      <w:pPr>
        <w:spacing w:after="0"/>
        <w:ind w:left="720"/>
        <w:contextualSpacing/>
        <w:jc w:val="left"/>
        <w:rPr>
          <w:rFonts w:eastAsia="Times New Roman" w:cs="Arial"/>
          <w:color w:val="auto"/>
          <w:lang w:eastAsia="en-GB"/>
        </w:rPr>
      </w:pPr>
    </w:p>
    <w:p w:rsidR="007636D6" w:rsidRPr="007636D6" w:rsidRDefault="0062660D" w:rsidP="007636D6">
      <w:pPr>
        <w:widowControl w:val="0"/>
        <w:spacing w:after="0" w:line="276" w:lineRule="auto"/>
        <w:jc w:val="left"/>
        <w:rPr>
          <w:rFonts w:eastAsia="Times New Roman" w:cs="Arial"/>
          <w:b/>
          <w:color w:val="auto"/>
          <w:sz w:val="28"/>
          <w:szCs w:val="28"/>
          <w:lang w:eastAsia="en-GB"/>
        </w:rPr>
      </w:pPr>
      <w:r w:rsidRPr="007636D6">
        <w:rPr>
          <w:rFonts w:eastAsia="Times New Roman" w:cs="Arial"/>
          <w:b/>
          <w:color w:val="auto"/>
          <w:sz w:val="28"/>
          <w:szCs w:val="28"/>
          <w:lang w:eastAsia="en-GB"/>
        </w:rPr>
        <w:t>Senior secured loans</w:t>
      </w:r>
    </w:p>
    <w:p w:rsidR="007636D6" w:rsidRPr="007636D6" w:rsidRDefault="0062660D" w:rsidP="007636D6">
      <w:pPr>
        <w:widowControl w:val="0"/>
        <w:spacing w:after="0"/>
        <w:jc w:val="left"/>
        <w:rPr>
          <w:rFonts w:eastAsiaTheme="minorEastAsia" w:cs="Arial"/>
          <w:color w:val="auto"/>
          <w:lang w:val="en" w:eastAsia="en-GB"/>
        </w:rPr>
      </w:pPr>
      <w:r w:rsidRPr="007636D6">
        <w:rPr>
          <w:rFonts w:eastAsiaTheme="minorEastAsia" w:cs="Arial"/>
          <w:color w:val="auto"/>
          <w:lang w:val="en" w:eastAsia="en-GB"/>
        </w:rPr>
        <w:t xml:space="preserve">Investments in non-investment grade secured debt (i.e. lending to smaller companies) recorded a return of 6.2% during the period versus a benchmark of 5.05%. These investments deliver regular cash flows that are reinvested and the investment team believes </w:t>
      </w:r>
      <w:r w:rsidRPr="007636D6">
        <w:rPr>
          <w:rFonts w:eastAsiaTheme="minorEastAsia" w:cs="Arial"/>
          <w:color w:val="auto"/>
          <w:lang w:val="en" w:eastAsia="en-GB"/>
        </w:rPr>
        <w:t xml:space="preserve">that they provide an excellent risk/reward profile when compared to traded bonds.  </w:t>
      </w:r>
    </w:p>
    <w:p w:rsidR="007636D6" w:rsidRPr="007636D6" w:rsidRDefault="0062660D" w:rsidP="007636D6">
      <w:pPr>
        <w:widowControl w:val="0"/>
        <w:spacing w:after="0"/>
        <w:jc w:val="left"/>
        <w:rPr>
          <w:rFonts w:ascii="Verdana" w:eastAsiaTheme="minorEastAsia" w:hAnsi="Verdana" w:cs="Verdana"/>
          <w:color w:val="auto"/>
          <w:lang w:val="en" w:eastAsia="en-GB"/>
        </w:rPr>
      </w:pPr>
    </w:p>
    <w:p w:rsidR="007636D6" w:rsidRPr="007636D6" w:rsidRDefault="0062660D" w:rsidP="007636D6">
      <w:pPr>
        <w:widowControl w:val="0"/>
        <w:spacing w:after="0"/>
        <w:rPr>
          <w:rFonts w:ascii="Verdana" w:eastAsiaTheme="minorEastAsia" w:hAnsi="Verdana" w:cs="Verdana"/>
          <w:lang w:val="en" w:eastAsia="en-GB"/>
        </w:rPr>
      </w:pPr>
      <w:r>
        <w:rPr>
          <w:rFonts w:eastAsiaTheme="minorEastAsia" w:cs="Arial"/>
          <w:color w:val="auto"/>
          <w:lang w:val="en" w:eastAsia="en-GB"/>
        </w:rPr>
        <w:t>The Fund</w:t>
      </w:r>
      <w:r w:rsidRPr="007636D6">
        <w:rPr>
          <w:rFonts w:eastAsiaTheme="minorEastAsia" w:cs="Arial"/>
          <w:color w:val="auto"/>
          <w:lang w:val="en" w:eastAsia="en-GB"/>
        </w:rPr>
        <w:t xml:space="preserve"> added further investments to this credit category during the year, and was recognised by the prestigious Alternative Investment Forum with an award for Best Use o</w:t>
      </w:r>
      <w:r w:rsidRPr="007636D6">
        <w:rPr>
          <w:rFonts w:eastAsiaTheme="minorEastAsia" w:cs="Arial"/>
          <w:color w:val="auto"/>
          <w:lang w:val="en" w:eastAsia="en-GB"/>
        </w:rPr>
        <w:t>f Private Debt</w:t>
      </w:r>
      <w:r w:rsidRPr="007636D6">
        <w:rPr>
          <w:rFonts w:ascii="Verdana" w:eastAsiaTheme="minorEastAsia" w:hAnsi="Verdana" w:cs="Verdana"/>
          <w:color w:val="auto"/>
          <w:lang w:val="en" w:eastAsia="en-GB"/>
        </w:rPr>
        <w:t>.</w:t>
      </w:r>
    </w:p>
    <w:p w:rsidR="000C00CF" w:rsidRPr="00DC1E0D" w:rsidRDefault="0062660D" w:rsidP="00DC1E0D">
      <w:pPr>
        <w:spacing w:after="0"/>
        <w:ind w:left="720"/>
        <w:contextualSpacing/>
        <w:jc w:val="left"/>
        <w:rPr>
          <w:rFonts w:eastAsia="Times New Roman" w:cs="Arial"/>
          <w:color w:val="auto"/>
          <w:lang w:eastAsia="en-GB"/>
        </w:rPr>
      </w:pPr>
    </w:p>
    <w:p w:rsidR="00B96641" w:rsidRDefault="0062660D" w:rsidP="00E002E6">
      <w:pPr>
        <w:autoSpaceDE/>
        <w:autoSpaceDN/>
        <w:adjustRightInd/>
        <w:spacing w:after="0"/>
        <w:jc w:val="left"/>
        <w:rPr>
          <w:rFonts w:eastAsia="Times New Roman" w:cs="Times New Roman"/>
          <w:color w:val="auto"/>
          <w:szCs w:val="20"/>
          <w:lang w:eastAsia="en-GB"/>
        </w:rPr>
      </w:pPr>
    </w:p>
    <w:p w:rsidR="000C00CF" w:rsidRDefault="0062660D" w:rsidP="00E002E6">
      <w:pPr>
        <w:autoSpaceDE/>
        <w:autoSpaceDN/>
        <w:adjustRightInd/>
        <w:spacing w:after="0"/>
        <w:jc w:val="left"/>
        <w:rPr>
          <w:rFonts w:eastAsia="Times New Roman" w:cs="Times New Roman"/>
          <w:color w:val="auto"/>
          <w:szCs w:val="20"/>
          <w:lang w:eastAsia="en-GB"/>
        </w:rPr>
      </w:pPr>
      <w:r>
        <w:rPr>
          <w:noProof/>
          <w:lang w:eastAsia="en-GB"/>
        </w:rPr>
        <w:drawing>
          <wp:inline distT="0" distB="0" distL="0" distR="0" wp14:anchorId="3C4BDE9F" wp14:editId="45A85CE4">
            <wp:extent cx="6623685" cy="3051544"/>
            <wp:effectExtent l="0" t="0" r="5715" b="1587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C00CF" w:rsidRDefault="0062660D" w:rsidP="00E002E6">
      <w:pPr>
        <w:autoSpaceDE/>
        <w:autoSpaceDN/>
        <w:adjustRightInd/>
        <w:spacing w:after="0"/>
        <w:jc w:val="left"/>
        <w:rPr>
          <w:rFonts w:eastAsia="Times New Roman" w:cs="Times New Roman"/>
          <w:color w:val="auto"/>
          <w:szCs w:val="20"/>
          <w:lang w:eastAsia="en-GB"/>
        </w:rPr>
      </w:pPr>
    </w:p>
    <w:p w:rsidR="007636D6" w:rsidRPr="007636D6" w:rsidRDefault="0062660D" w:rsidP="007636D6">
      <w:pPr>
        <w:widowControl w:val="0"/>
        <w:spacing w:after="0" w:line="276" w:lineRule="auto"/>
        <w:rPr>
          <w:rFonts w:eastAsia="Times New Roman" w:cs="Arial"/>
          <w:b/>
          <w:color w:val="auto"/>
          <w:sz w:val="28"/>
          <w:szCs w:val="28"/>
          <w:lang w:eastAsia="en-GB"/>
        </w:rPr>
      </w:pPr>
      <w:r w:rsidRPr="007636D6">
        <w:rPr>
          <w:rFonts w:eastAsia="Times New Roman" w:cs="Arial"/>
          <w:b/>
          <w:color w:val="auto"/>
          <w:sz w:val="28"/>
          <w:szCs w:val="28"/>
          <w:lang w:eastAsia="en-GB"/>
        </w:rPr>
        <w:t>Credit opportunities</w:t>
      </w:r>
    </w:p>
    <w:p w:rsidR="007636D6" w:rsidRPr="007636D6" w:rsidRDefault="0062660D" w:rsidP="007636D6">
      <w:pPr>
        <w:widowControl w:val="0"/>
        <w:spacing w:after="0"/>
        <w:rPr>
          <w:rFonts w:eastAsiaTheme="minorEastAsia" w:cs="Arial"/>
          <w:color w:val="auto"/>
          <w:lang w:val="en" w:eastAsia="en-GB"/>
        </w:rPr>
      </w:pPr>
      <w:r w:rsidRPr="007636D6">
        <w:rPr>
          <w:rFonts w:eastAsiaTheme="minorEastAsia" w:cs="Arial"/>
          <w:color w:val="auto"/>
          <w:lang w:val="en" w:eastAsia="en-GB"/>
        </w:rPr>
        <w:t>Investments in cyclical credit opportunities delivered 7.21% during the year versus a benchmark of 7.00%. These investments seek to take advantage of specific opportunities where 'technical' factors mean that assets can be acquired at a discount to their l</w:t>
      </w:r>
      <w:r w:rsidRPr="007636D6">
        <w:rPr>
          <w:rFonts w:eastAsiaTheme="minorEastAsia" w:cs="Arial"/>
          <w:color w:val="auto"/>
          <w:lang w:val="en" w:eastAsia="en-GB"/>
        </w:rPr>
        <w:t xml:space="preserve">ong-term economic value. </w:t>
      </w:r>
    </w:p>
    <w:p w:rsidR="007636D6" w:rsidRPr="007636D6" w:rsidRDefault="0062660D" w:rsidP="007636D6">
      <w:pPr>
        <w:widowControl w:val="0"/>
        <w:spacing w:after="0"/>
        <w:jc w:val="left"/>
        <w:rPr>
          <w:rFonts w:ascii="Verdana" w:eastAsiaTheme="minorEastAsia" w:hAnsi="Verdana" w:cs="Verdana"/>
          <w:lang w:val="en" w:eastAsia="en-GB"/>
        </w:rPr>
      </w:pPr>
    </w:p>
    <w:p w:rsidR="007636D6" w:rsidRPr="007636D6" w:rsidRDefault="0062660D" w:rsidP="007636D6">
      <w:pPr>
        <w:widowControl w:val="0"/>
        <w:spacing w:after="0"/>
        <w:jc w:val="left"/>
        <w:rPr>
          <w:rFonts w:eastAsiaTheme="minorEastAsia" w:cs="Arial"/>
          <w:color w:val="auto"/>
          <w:lang w:val="en" w:eastAsia="en-GB"/>
        </w:rPr>
      </w:pPr>
      <w:r w:rsidRPr="007636D6">
        <w:rPr>
          <w:rFonts w:eastAsiaTheme="minorEastAsia" w:cs="Arial"/>
          <w:color w:val="auto"/>
          <w:lang w:val="en" w:eastAsia="en-GB"/>
        </w:rPr>
        <w:t>Generating returns in this credit category requires manager skill in identifying investment opportunities and in managing investments to achieve maximum value. The investments may be illiquid, meaning they have to be held to matu</w:t>
      </w:r>
      <w:r w:rsidRPr="007636D6">
        <w:rPr>
          <w:rFonts w:eastAsiaTheme="minorEastAsia" w:cs="Arial"/>
          <w:color w:val="auto"/>
          <w:lang w:val="en" w:eastAsia="en-GB"/>
        </w:rPr>
        <w:t xml:space="preserve">rity in order to </w:t>
      </w:r>
      <w:proofErr w:type="spellStart"/>
      <w:r w:rsidRPr="007636D6">
        <w:rPr>
          <w:rFonts w:eastAsiaTheme="minorEastAsia" w:cs="Arial"/>
          <w:color w:val="auto"/>
          <w:lang w:val="en" w:eastAsia="en-GB"/>
        </w:rPr>
        <w:t>realise</w:t>
      </w:r>
      <w:proofErr w:type="spellEnd"/>
      <w:r w:rsidRPr="007636D6">
        <w:rPr>
          <w:rFonts w:eastAsiaTheme="minorEastAsia" w:cs="Arial"/>
          <w:color w:val="auto"/>
          <w:lang w:val="en" w:eastAsia="en-GB"/>
        </w:rPr>
        <w:t xml:space="preserve"> gains. They provide a diversification benefit and the expectation of excess returns over the medium term. However, valuations require a degree of manager judgement, so return figures should be treated with caution until the portfol</w:t>
      </w:r>
      <w:r w:rsidRPr="007636D6">
        <w:rPr>
          <w:rFonts w:eastAsiaTheme="minorEastAsia" w:cs="Arial"/>
          <w:color w:val="auto"/>
          <w:lang w:val="en" w:eastAsia="en-GB"/>
        </w:rPr>
        <w:t xml:space="preserve">io is mature and has a significant track record of </w:t>
      </w:r>
      <w:proofErr w:type="spellStart"/>
      <w:r w:rsidRPr="007636D6">
        <w:rPr>
          <w:rFonts w:eastAsiaTheme="minorEastAsia" w:cs="Arial"/>
          <w:color w:val="auto"/>
          <w:lang w:val="en" w:eastAsia="en-GB"/>
        </w:rPr>
        <w:t>realising</w:t>
      </w:r>
      <w:proofErr w:type="spellEnd"/>
      <w:r w:rsidRPr="007636D6">
        <w:rPr>
          <w:rFonts w:eastAsiaTheme="minorEastAsia" w:cs="Arial"/>
          <w:color w:val="auto"/>
          <w:lang w:val="en" w:eastAsia="en-GB"/>
        </w:rPr>
        <w:t xml:space="preserve"> mark-to-market gains.</w:t>
      </w:r>
    </w:p>
    <w:p w:rsidR="007636D6" w:rsidRPr="007636D6" w:rsidRDefault="0062660D" w:rsidP="007636D6">
      <w:pPr>
        <w:widowControl w:val="0"/>
        <w:spacing w:after="0"/>
        <w:jc w:val="left"/>
        <w:rPr>
          <w:rFonts w:ascii="Verdana" w:eastAsiaTheme="minorEastAsia" w:hAnsi="Verdana" w:cs="Verdana"/>
          <w:lang w:val="en" w:eastAsia="en-GB"/>
        </w:rPr>
      </w:pPr>
    </w:p>
    <w:p w:rsidR="000C00CF" w:rsidRDefault="0062660D" w:rsidP="00E002E6">
      <w:pPr>
        <w:autoSpaceDE/>
        <w:autoSpaceDN/>
        <w:adjustRightInd/>
        <w:spacing w:after="0"/>
        <w:jc w:val="left"/>
        <w:rPr>
          <w:rFonts w:eastAsia="Times New Roman" w:cs="Times New Roman"/>
          <w:color w:val="auto"/>
          <w:szCs w:val="20"/>
          <w:lang w:eastAsia="en-GB"/>
        </w:rPr>
      </w:pPr>
    </w:p>
    <w:p w:rsidR="000C00CF" w:rsidRDefault="0062660D" w:rsidP="00E002E6">
      <w:pPr>
        <w:autoSpaceDE/>
        <w:autoSpaceDN/>
        <w:adjustRightInd/>
        <w:spacing w:after="0"/>
        <w:jc w:val="left"/>
        <w:rPr>
          <w:rFonts w:eastAsia="Times New Roman" w:cs="Times New Roman"/>
          <w:color w:val="auto"/>
          <w:szCs w:val="20"/>
          <w:lang w:eastAsia="en-GB"/>
        </w:rPr>
      </w:pPr>
      <w:r>
        <w:rPr>
          <w:noProof/>
          <w:lang w:eastAsia="en-GB"/>
        </w:rPr>
        <w:drawing>
          <wp:inline distT="0" distB="0" distL="0" distR="0" wp14:anchorId="67007C94" wp14:editId="18B82D3C">
            <wp:extent cx="6517640" cy="3551274"/>
            <wp:effectExtent l="0" t="0" r="16510"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C00CF" w:rsidRDefault="0062660D" w:rsidP="00E002E6">
      <w:pPr>
        <w:autoSpaceDE/>
        <w:autoSpaceDN/>
        <w:adjustRightInd/>
        <w:spacing w:after="0"/>
        <w:jc w:val="left"/>
        <w:rPr>
          <w:rFonts w:eastAsia="Times New Roman" w:cs="Times New Roman"/>
          <w:color w:val="auto"/>
          <w:szCs w:val="20"/>
          <w:lang w:eastAsia="en-GB"/>
        </w:rPr>
      </w:pPr>
    </w:p>
    <w:p w:rsidR="000C00CF" w:rsidRDefault="0062660D" w:rsidP="00E002E6">
      <w:pPr>
        <w:autoSpaceDE/>
        <w:autoSpaceDN/>
        <w:adjustRightInd/>
        <w:spacing w:after="0"/>
        <w:jc w:val="left"/>
        <w:rPr>
          <w:rFonts w:eastAsia="Times New Roman" w:cs="Times New Roman"/>
          <w:color w:val="auto"/>
          <w:szCs w:val="20"/>
          <w:lang w:eastAsia="en-GB"/>
        </w:rPr>
      </w:pPr>
    </w:p>
    <w:p w:rsidR="00311FAC" w:rsidRDefault="0062660D" w:rsidP="00E002E6">
      <w:pPr>
        <w:autoSpaceDE/>
        <w:autoSpaceDN/>
        <w:adjustRightInd/>
        <w:spacing w:after="0"/>
        <w:jc w:val="left"/>
        <w:rPr>
          <w:rFonts w:eastAsia="Times New Roman" w:cs="Times New Roman"/>
          <w:color w:val="auto"/>
          <w:szCs w:val="20"/>
          <w:lang w:eastAsia="en-GB"/>
        </w:rPr>
      </w:pPr>
    </w:p>
    <w:p w:rsidR="00311FAC" w:rsidRDefault="0062660D" w:rsidP="00E002E6">
      <w:pPr>
        <w:autoSpaceDE/>
        <w:autoSpaceDN/>
        <w:adjustRightInd/>
        <w:spacing w:after="0"/>
        <w:jc w:val="left"/>
        <w:rPr>
          <w:rFonts w:eastAsia="Times New Roman" w:cs="Times New Roman"/>
          <w:color w:val="auto"/>
          <w:szCs w:val="20"/>
          <w:lang w:eastAsia="en-GB"/>
        </w:rPr>
      </w:pPr>
    </w:p>
    <w:p w:rsidR="00311FAC" w:rsidRPr="00311FAC" w:rsidRDefault="0062660D" w:rsidP="00311FAC">
      <w:pPr>
        <w:widowControl w:val="0"/>
        <w:spacing w:after="0" w:line="276" w:lineRule="auto"/>
        <w:jc w:val="left"/>
        <w:rPr>
          <w:rFonts w:eastAsia="Times New Roman" w:cs="Arial"/>
          <w:b/>
          <w:color w:val="auto"/>
          <w:sz w:val="28"/>
          <w:szCs w:val="28"/>
          <w:lang w:eastAsia="en-GB"/>
        </w:rPr>
      </w:pPr>
      <w:r w:rsidRPr="00311FAC">
        <w:rPr>
          <w:rFonts w:eastAsia="Times New Roman" w:cs="Arial"/>
          <w:b/>
          <w:color w:val="auto"/>
          <w:sz w:val="28"/>
          <w:szCs w:val="28"/>
          <w:lang w:eastAsia="en-GB"/>
        </w:rPr>
        <w:t>Loans secured on real assets</w:t>
      </w:r>
    </w:p>
    <w:p w:rsidR="00311FAC" w:rsidRPr="00311FAC" w:rsidRDefault="0062660D" w:rsidP="00311FAC">
      <w:pPr>
        <w:widowControl w:val="0"/>
        <w:spacing w:after="0"/>
        <w:jc w:val="left"/>
        <w:rPr>
          <w:rFonts w:eastAsiaTheme="minorEastAsia" w:cs="Arial"/>
          <w:color w:val="auto"/>
          <w:lang w:val="en" w:eastAsia="en-GB"/>
        </w:rPr>
      </w:pPr>
      <w:r w:rsidRPr="00311FAC">
        <w:rPr>
          <w:rFonts w:eastAsiaTheme="minorEastAsia" w:cs="Arial"/>
          <w:color w:val="auto"/>
          <w:lang w:val="en" w:eastAsia="en-GB"/>
        </w:rPr>
        <w:t xml:space="preserve">These showed significant returns during the period: 7.35% versus a benchmark of 3.06%. The current environment provides an excellent </w:t>
      </w:r>
      <w:r w:rsidRPr="00311FAC">
        <w:rPr>
          <w:rFonts w:eastAsiaTheme="minorEastAsia" w:cs="Arial"/>
          <w:color w:val="auto"/>
          <w:lang w:val="en" w:eastAsia="en-GB"/>
        </w:rPr>
        <w:t>backdrop for good quality deals to be done with higher returns than might be expected in the longer-term.</w:t>
      </w:r>
    </w:p>
    <w:p w:rsidR="00311FAC" w:rsidRPr="00311FAC" w:rsidRDefault="0062660D" w:rsidP="00311FAC">
      <w:pPr>
        <w:widowControl w:val="0"/>
        <w:spacing w:after="0"/>
        <w:jc w:val="left"/>
        <w:rPr>
          <w:rFonts w:eastAsiaTheme="minorEastAsia" w:cs="Arial"/>
          <w:color w:val="auto"/>
          <w:lang w:val="en" w:eastAsia="en-GB"/>
        </w:rPr>
      </w:pPr>
    </w:p>
    <w:p w:rsidR="00311FAC" w:rsidRPr="00311FAC" w:rsidRDefault="0062660D" w:rsidP="00311FAC">
      <w:pPr>
        <w:widowControl w:val="0"/>
        <w:spacing w:after="0"/>
        <w:jc w:val="left"/>
        <w:rPr>
          <w:rFonts w:eastAsiaTheme="minorEastAsia" w:cs="Arial"/>
          <w:color w:val="auto"/>
          <w:lang w:val="en" w:eastAsia="en-GB"/>
        </w:rPr>
      </w:pPr>
      <w:r w:rsidRPr="00311FAC">
        <w:rPr>
          <w:rFonts w:eastAsiaTheme="minorEastAsia" w:cs="Arial"/>
          <w:color w:val="auto"/>
          <w:lang w:val="en" w:eastAsia="en-GB"/>
        </w:rPr>
        <w:t>These investments are typically long-dated in nature and provide a very low-risk profile, being secured, typically, on real estate. Properly underwri</w:t>
      </w:r>
      <w:r w:rsidRPr="00311FAC">
        <w:rPr>
          <w:rFonts w:eastAsiaTheme="minorEastAsia" w:cs="Arial"/>
          <w:color w:val="auto"/>
          <w:lang w:val="en" w:eastAsia="en-GB"/>
        </w:rPr>
        <w:t>tten and managed, there is a very low expectation of loss. While generating lower expectations of long-term return, these investments should provide a very good match for the long-term needs of LCPF to generate income and protect the value of the portfolio</w:t>
      </w:r>
      <w:r w:rsidRPr="00311FAC">
        <w:rPr>
          <w:rFonts w:eastAsiaTheme="minorEastAsia" w:cs="Arial"/>
          <w:color w:val="auto"/>
          <w:lang w:val="en" w:eastAsia="en-GB"/>
        </w:rPr>
        <w:t>.</w:t>
      </w:r>
    </w:p>
    <w:p w:rsidR="000C00CF" w:rsidRDefault="0062660D" w:rsidP="00E002E6">
      <w:pPr>
        <w:autoSpaceDE/>
        <w:autoSpaceDN/>
        <w:adjustRightInd/>
        <w:spacing w:after="0"/>
        <w:jc w:val="left"/>
        <w:rPr>
          <w:rFonts w:eastAsia="Times New Roman" w:cs="Times New Roman"/>
          <w:color w:val="auto"/>
          <w:szCs w:val="20"/>
          <w:lang w:eastAsia="en-GB"/>
        </w:rPr>
      </w:pPr>
    </w:p>
    <w:p w:rsidR="000C00CF" w:rsidRDefault="0062660D" w:rsidP="00E002E6">
      <w:pPr>
        <w:autoSpaceDE/>
        <w:autoSpaceDN/>
        <w:adjustRightInd/>
        <w:spacing w:after="0"/>
        <w:jc w:val="left"/>
        <w:rPr>
          <w:rFonts w:eastAsia="Times New Roman" w:cs="Times New Roman"/>
          <w:color w:val="auto"/>
          <w:szCs w:val="20"/>
          <w:lang w:eastAsia="en-GB"/>
        </w:rPr>
      </w:pPr>
    </w:p>
    <w:p w:rsidR="000C00CF" w:rsidRDefault="0062660D" w:rsidP="00E002E6">
      <w:pPr>
        <w:autoSpaceDE/>
        <w:autoSpaceDN/>
        <w:adjustRightInd/>
        <w:spacing w:after="0"/>
        <w:jc w:val="left"/>
        <w:rPr>
          <w:rFonts w:eastAsia="Times New Roman" w:cs="Times New Roman"/>
          <w:color w:val="auto"/>
          <w:szCs w:val="20"/>
          <w:lang w:eastAsia="en-GB"/>
        </w:rPr>
      </w:pPr>
    </w:p>
    <w:p w:rsidR="000C00CF" w:rsidRDefault="0062660D" w:rsidP="00E002E6">
      <w:pPr>
        <w:autoSpaceDE/>
        <w:autoSpaceDN/>
        <w:adjustRightInd/>
        <w:spacing w:after="0"/>
        <w:jc w:val="left"/>
        <w:rPr>
          <w:rFonts w:eastAsia="Times New Roman" w:cs="Times New Roman"/>
          <w:color w:val="auto"/>
          <w:szCs w:val="20"/>
          <w:lang w:eastAsia="en-GB"/>
        </w:rPr>
      </w:pPr>
    </w:p>
    <w:p w:rsidR="000C00CF" w:rsidRDefault="0062660D" w:rsidP="00E002E6">
      <w:pPr>
        <w:autoSpaceDE/>
        <w:autoSpaceDN/>
        <w:adjustRightInd/>
        <w:spacing w:after="0"/>
        <w:jc w:val="left"/>
        <w:rPr>
          <w:rFonts w:eastAsia="Times New Roman" w:cs="Times New Roman"/>
          <w:color w:val="auto"/>
          <w:szCs w:val="20"/>
          <w:lang w:eastAsia="en-GB"/>
        </w:rPr>
      </w:pPr>
    </w:p>
    <w:p w:rsidR="000C00CF" w:rsidRDefault="0062660D" w:rsidP="00E002E6">
      <w:pPr>
        <w:autoSpaceDE/>
        <w:autoSpaceDN/>
        <w:adjustRightInd/>
        <w:spacing w:after="0"/>
        <w:jc w:val="left"/>
        <w:rPr>
          <w:rFonts w:eastAsia="Times New Roman" w:cs="Times New Roman"/>
          <w:color w:val="auto"/>
          <w:szCs w:val="20"/>
          <w:lang w:eastAsia="en-GB"/>
        </w:rPr>
      </w:pPr>
      <w:r>
        <w:rPr>
          <w:noProof/>
          <w:lang w:eastAsia="en-GB"/>
        </w:rPr>
        <w:drawing>
          <wp:inline distT="0" distB="0" distL="0" distR="0" wp14:anchorId="6CAC06C0" wp14:editId="1E8BD72F">
            <wp:extent cx="6496050" cy="3072809"/>
            <wp:effectExtent l="0" t="0" r="0" b="133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C1633" w:rsidRDefault="0062660D" w:rsidP="00E002E6">
      <w:pPr>
        <w:autoSpaceDE/>
        <w:autoSpaceDN/>
        <w:adjustRightInd/>
        <w:spacing w:after="0"/>
        <w:jc w:val="left"/>
        <w:rPr>
          <w:rFonts w:eastAsia="Times New Roman" w:cs="Times New Roman"/>
          <w:color w:val="auto"/>
          <w:szCs w:val="20"/>
          <w:lang w:eastAsia="en-GB"/>
        </w:rPr>
      </w:pPr>
    </w:p>
    <w:p w:rsidR="00DC1633" w:rsidRPr="00DC1633" w:rsidRDefault="0062660D" w:rsidP="00DC1633">
      <w:pPr>
        <w:keepNext/>
        <w:keepLines/>
        <w:widowControl w:val="0"/>
        <w:spacing w:before="240" w:after="0"/>
        <w:rPr>
          <w:rFonts w:eastAsia="Times New Roman" w:cs="Arial"/>
          <w:b/>
          <w:color w:val="auto"/>
          <w:sz w:val="28"/>
          <w:szCs w:val="28"/>
          <w:lang w:eastAsia="en-GB"/>
        </w:rPr>
      </w:pPr>
      <w:r w:rsidRPr="00DC1633">
        <w:rPr>
          <w:rFonts w:eastAsia="Times New Roman" w:cs="Arial"/>
          <w:b/>
          <w:color w:val="auto"/>
          <w:sz w:val="28"/>
          <w:szCs w:val="28"/>
          <w:lang w:eastAsia="en-GB"/>
        </w:rPr>
        <w:t>Trend</w:t>
      </w:r>
    </w:p>
    <w:p w:rsidR="00DC1633" w:rsidRPr="00DC1633" w:rsidRDefault="0062660D" w:rsidP="00DC1633">
      <w:pPr>
        <w:widowControl w:val="0"/>
        <w:spacing w:after="0"/>
        <w:jc w:val="left"/>
        <w:rPr>
          <w:rFonts w:eastAsiaTheme="minorEastAsia" w:cs="Arial"/>
          <w:color w:val="auto"/>
          <w:lang w:val="en" w:eastAsia="en-GB"/>
        </w:rPr>
      </w:pPr>
      <w:r>
        <w:rPr>
          <w:rFonts w:eastAsiaTheme="minorEastAsia" w:cs="Arial"/>
          <w:color w:val="auto"/>
          <w:lang w:val="en" w:eastAsia="en-GB"/>
        </w:rPr>
        <w:t>The Fund's</w:t>
      </w:r>
      <w:r w:rsidRPr="00DC1633">
        <w:rPr>
          <w:rFonts w:eastAsiaTheme="minorEastAsia" w:cs="Arial"/>
          <w:color w:val="auto"/>
          <w:lang w:val="en" w:eastAsia="en-GB"/>
        </w:rPr>
        <w:t xml:space="preserve"> investment strategy focuses on reducing reliance on assets such as listed equities in </w:t>
      </w:r>
      <w:proofErr w:type="spellStart"/>
      <w:r w:rsidRPr="00DC1633">
        <w:rPr>
          <w:rFonts w:eastAsiaTheme="minorEastAsia" w:cs="Arial"/>
          <w:color w:val="auto"/>
          <w:lang w:val="en" w:eastAsia="en-GB"/>
        </w:rPr>
        <w:t>favour</w:t>
      </w:r>
      <w:proofErr w:type="spellEnd"/>
      <w:r w:rsidRPr="00DC1633">
        <w:rPr>
          <w:rFonts w:eastAsiaTheme="minorEastAsia" w:cs="Arial"/>
          <w:color w:val="auto"/>
          <w:lang w:val="en" w:eastAsia="en-GB"/>
        </w:rPr>
        <w:t xml:space="preserve"> of asset classes such as infrastructure and floating rate credit, and to deliver increased diversification, for example through increased allocations to real esta</w:t>
      </w:r>
      <w:r w:rsidRPr="00DC1633">
        <w:rPr>
          <w:rFonts w:eastAsiaTheme="minorEastAsia" w:cs="Arial"/>
          <w:color w:val="auto"/>
          <w:lang w:val="en" w:eastAsia="en-GB"/>
        </w:rPr>
        <w:t>te and other alternative asset types.</w:t>
      </w:r>
    </w:p>
    <w:p w:rsidR="00DC1633" w:rsidRPr="00DC1633" w:rsidRDefault="0062660D" w:rsidP="00DC1633">
      <w:pPr>
        <w:widowControl w:val="0"/>
        <w:spacing w:after="0"/>
        <w:jc w:val="left"/>
        <w:rPr>
          <w:rFonts w:eastAsiaTheme="minorEastAsia" w:cs="Arial"/>
          <w:color w:val="auto"/>
          <w:lang w:val="en" w:eastAsia="en-GB"/>
        </w:rPr>
      </w:pPr>
    </w:p>
    <w:p w:rsidR="00E41276" w:rsidRDefault="0062660D" w:rsidP="00E41276">
      <w:pPr>
        <w:widowControl w:val="0"/>
        <w:jc w:val="left"/>
        <w:rPr>
          <w:rFonts w:eastAsiaTheme="minorEastAsia" w:cs="Arial"/>
          <w:color w:val="auto"/>
          <w:lang w:val="en" w:eastAsia="en-GB"/>
        </w:rPr>
      </w:pPr>
      <w:r w:rsidRPr="00DC1633">
        <w:rPr>
          <w:rFonts w:eastAsiaTheme="minorEastAsia" w:cs="Arial"/>
          <w:color w:val="auto"/>
          <w:lang w:val="en" w:eastAsia="en-GB"/>
        </w:rPr>
        <w:t>This move towards a diverse range of asset classes has resulted in equity accounting for 4</w:t>
      </w:r>
      <w:r>
        <w:rPr>
          <w:rFonts w:eastAsiaTheme="minorEastAsia" w:cs="Arial"/>
          <w:color w:val="auto"/>
          <w:lang w:val="en" w:eastAsia="en-GB"/>
        </w:rPr>
        <w:t>9</w:t>
      </w:r>
      <w:r w:rsidRPr="00DC1633">
        <w:rPr>
          <w:rFonts w:eastAsiaTheme="minorEastAsia" w:cs="Arial"/>
          <w:color w:val="auto"/>
          <w:lang w:val="en" w:eastAsia="en-GB"/>
        </w:rPr>
        <w:t xml:space="preserve">% of </w:t>
      </w:r>
      <w:r>
        <w:rPr>
          <w:rFonts w:eastAsiaTheme="minorEastAsia" w:cs="Arial"/>
          <w:color w:val="auto"/>
          <w:lang w:val="en" w:eastAsia="en-GB"/>
        </w:rPr>
        <w:t>the Fund</w:t>
      </w:r>
      <w:r w:rsidRPr="00DC1633">
        <w:rPr>
          <w:rFonts w:eastAsiaTheme="minorEastAsia" w:cs="Arial"/>
          <w:color w:val="auto"/>
          <w:lang w:val="en" w:eastAsia="en-GB"/>
        </w:rPr>
        <w:t xml:space="preserve"> at 31 March 2016, compared with 77% at 31 March 2010. During the same period, infrastructure investments have in</w:t>
      </w:r>
      <w:r w:rsidRPr="00DC1633">
        <w:rPr>
          <w:rFonts w:eastAsiaTheme="minorEastAsia" w:cs="Arial"/>
          <w:color w:val="auto"/>
          <w:lang w:val="en" w:eastAsia="en-GB"/>
        </w:rPr>
        <w:t>creased from 5.6% to 9.5% and are likely to grow further, in line with the Fund's raised aspiration level of 12.5%</w:t>
      </w:r>
      <w:r>
        <w:rPr>
          <w:rFonts w:eastAsiaTheme="minorEastAsia" w:cs="Arial"/>
          <w:color w:val="auto"/>
          <w:lang w:val="en" w:eastAsia="en-GB"/>
        </w:rPr>
        <w:t>.</w:t>
      </w:r>
    </w:p>
    <w:p w:rsidR="00F23BF2" w:rsidRDefault="0062660D" w:rsidP="00E41276">
      <w:pPr>
        <w:widowControl w:val="0"/>
        <w:jc w:val="left"/>
        <w:rPr>
          <w:rFonts w:eastAsia="Times New Roman" w:cs="Times New Roman"/>
          <w:color w:val="auto"/>
          <w:szCs w:val="20"/>
          <w:lang w:eastAsia="en-GB"/>
        </w:rPr>
      </w:pPr>
    </w:p>
    <w:p w:rsidR="000C00CF" w:rsidRDefault="0062660D" w:rsidP="00E002E6">
      <w:pPr>
        <w:autoSpaceDE/>
        <w:autoSpaceDN/>
        <w:adjustRightInd/>
        <w:spacing w:after="0"/>
        <w:jc w:val="left"/>
        <w:rPr>
          <w:rFonts w:eastAsia="Times New Roman" w:cs="Times New Roman"/>
          <w:color w:val="auto"/>
          <w:szCs w:val="20"/>
          <w:lang w:eastAsia="en-GB"/>
        </w:rPr>
      </w:pPr>
      <w:r>
        <w:rPr>
          <w:noProof/>
          <w:lang w:eastAsia="en-GB"/>
        </w:rPr>
        <w:drawing>
          <wp:inline distT="0" distB="0" distL="0" distR="0" wp14:anchorId="75CADB0C" wp14:editId="02424550">
            <wp:extent cx="6560185" cy="4008475"/>
            <wp:effectExtent l="0" t="0" r="12065"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C00CF" w:rsidRDefault="0062660D" w:rsidP="00E002E6">
      <w:pPr>
        <w:autoSpaceDE/>
        <w:autoSpaceDN/>
        <w:adjustRightInd/>
        <w:spacing w:after="0"/>
        <w:jc w:val="left"/>
        <w:rPr>
          <w:rFonts w:eastAsia="Times New Roman" w:cs="Times New Roman"/>
          <w:color w:val="auto"/>
          <w:szCs w:val="20"/>
          <w:lang w:eastAsia="en-GB"/>
        </w:rPr>
      </w:pPr>
    </w:p>
    <w:p w:rsidR="00DC398D" w:rsidRPr="00DC398D" w:rsidRDefault="0062660D" w:rsidP="00CC57F6">
      <w:pPr>
        <w:widowControl w:val="0"/>
        <w:spacing w:after="0"/>
        <w:jc w:val="left"/>
        <w:rPr>
          <w:rFonts w:eastAsiaTheme="minorEastAsia" w:cs="Arial"/>
          <w:color w:val="auto"/>
          <w:lang w:val="en" w:eastAsia="en-GB"/>
        </w:rPr>
      </w:pPr>
      <w:r w:rsidRPr="00DC398D">
        <w:rPr>
          <w:rFonts w:eastAsiaTheme="minorEastAsia" w:cs="Arial"/>
          <w:color w:val="auto"/>
          <w:lang w:val="en" w:eastAsia="en-GB"/>
        </w:rPr>
        <w:t>At 31 March 2016, equity holdings were towards the middle of their 40%-60% target range, with assets under management of 48.9%. Property remained at the bottom of its 10-20% target range at 11.4%, and credit, infrastructure and cash, at a total of 39.7% we</w:t>
      </w:r>
      <w:r w:rsidRPr="00DC398D">
        <w:rPr>
          <w:rFonts w:eastAsiaTheme="minorEastAsia" w:cs="Arial"/>
          <w:color w:val="auto"/>
          <w:lang w:val="en" w:eastAsia="en-GB"/>
        </w:rPr>
        <w:t xml:space="preserve">re at the top of the 20-40% target range. </w:t>
      </w:r>
      <w:r>
        <w:rPr>
          <w:rFonts w:eastAsiaTheme="minorEastAsia" w:cs="Arial"/>
          <w:color w:val="auto"/>
          <w:lang w:val="en" w:eastAsia="en-GB"/>
        </w:rPr>
        <w:t>The Fund</w:t>
      </w:r>
      <w:r w:rsidRPr="00DC398D">
        <w:rPr>
          <w:rFonts w:eastAsiaTheme="minorEastAsia" w:cs="Arial"/>
          <w:color w:val="auto"/>
          <w:lang w:val="en" w:eastAsia="en-GB"/>
        </w:rPr>
        <w:t xml:space="preserve"> had higher levels of cash than would be the strategic level, due to the impact of transitioning between different asset classes.</w:t>
      </w:r>
    </w:p>
    <w:p w:rsidR="000C00CF" w:rsidRDefault="0062660D" w:rsidP="00E002E6">
      <w:pPr>
        <w:autoSpaceDE/>
        <w:autoSpaceDN/>
        <w:adjustRightInd/>
        <w:spacing w:after="0"/>
        <w:jc w:val="left"/>
        <w:rPr>
          <w:rFonts w:eastAsia="Times New Roman" w:cs="Times New Roman"/>
          <w:color w:val="auto"/>
          <w:szCs w:val="20"/>
          <w:lang w:eastAsia="en-GB"/>
        </w:rPr>
      </w:pPr>
    </w:p>
    <w:p w:rsidR="008E6529" w:rsidRPr="008E6529" w:rsidRDefault="0062660D" w:rsidP="008E6529">
      <w:pPr>
        <w:keepNext/>
        <w:keepLines/>
        <w:widowControl w:val="0"/>
        <w:spacing w:before="240" w:after="0"/>
        <w:rPr>
          <w:rFonts w:ascii="ArialMT" w:eastAsiaTheme="minorEastAsia" w:hAnsi="ArialMT" w:cs="ArialMT"/>
          <w:color w:val="auto"/>
          <w:lang w:val="en" w:eastAsia="en-GB"/>
        </w:rPr>
      </w:pPr>
      <w:r w:rsidRPr="008E6529">
        <w:rPr>
          <w:rFonts w:eastAsia="Times New Roman" w:cs="Arial"/>
          <w:b/>
          <w:color w:val="auto"/>
          <w:sz w:val="28"/>
          <w:szCs w:val="28"/>
          <w:lang w:eastAsia="en-GB"/>
        </w:rPr>
        <w:t>Future Commitments</w:t>
      </w:r>
    </w:p>
    <w:p w:rsidR="008E6529" w:rsidRPr="008E6529" w:rsidRDefault="0062660D" w:rsidP="008E6529">
      <w:pPr>
        <w:widowControl w:val="0"/>
        <w:spacing w:after="0"/>
        <w:jc w:val="left"/>
        <w:rPr>
          <w:rFonts w:eastAsiaTheme="minorEastAsia" w:cs="Arial"/>
          <w:color w:val="auto"/>
          <w:lang w:val="en" w:eastAsia="en-GB"/>
        </w:rPr>
      </w:pPr>
      <w:r w:rsidRPr="008E6529">
        <w:rPr>
          <w:rFonts w:eastAsiaTheme="minorEastAsia" w:cs="Arial"/>
          <w:color w:val="auto"/>
          <w:lang w:val="en" w:eastAsia="en-GB"/>
        </w:rPr>
        <w:t xml:space="preserve">As at 31 March 2016, </w:t>
      </w:r>
      <w:r>
        <w:rPr>
          <w:rFonts w:eastAsiaTheme="minorEastAsia" w:cs="Arial"/>
          <w:color w:val="auto"/>
          <w:lang w:val="en" w:eastAsia="en-GB"/>
        </w:rPr>
        <w:t>the Fund</w:t>
      </w:r>
      <w:r w:rsidRPr="008E6529">
        <w:rPr>
          <w:rFonts w:eastAsiaTheme="minorEastAsia" w:cs="Arial"/>
          <w:color w:val="auto"/>
          <w:lang w:val="en" w:eastAsia="en-GB"/>
        </w:rPr>
        <w:t xml:space="preserve"> had committed to invest a </w:t>
      </w:r>
      <w:r w:rsidRPr="008E6529">
        <w:rPr>
          <w:rFonts w:eastAsiaTheme="minorEastAsia" w:cs="Arial"/>
          <w:color w:val="auto"/>
          <w:lang w:val="en" w:eastAsia="en-GB"/>
        </w:rPr>
        <w:t>further £323.</w:t>
      </w:r>
      <w:r>
        <w:rPr>
          <w:rFonts w:eastAsiaTheme="minorEastAsia" w:cs="Arial"/>
          <w:color w:val="auto"/>
          <w:lang w:val="en" w:eastAsia="en-GB"/>
        </w:rPr>
        <w:t>3</w:t>
      </w:r>
      <w:r w:rsidRPr="008E6529">
        <w:rPr>
          <w:rFonts w:eastAsiaTheme="minorEastAsia" w:cs="Arial"/>
          <w:color w:val="auto"/>
          <w:lang w:val="en" w:eastAsia="en-GB"/>
        </w:rPr>
        <w:t>m in infrastructure investments, £342m in private equity funds, £33.7m in property developments, and £497.</w:t>
      </w:r>
      <w:r>
        <w:rPr>
          <w:rFonts w:eastAsiaTheme="minorEastAsia" w:cs="Arial"/>
          <w:color w:val="auto"/>
          <w:lang w:val="en" w:eastAsia="en-GB"/>
        </w:rPr>
        <w:t>2</w:t>
      </w:r>
      <w:r w:rsidRPr="008E6529">
        <w:rPr>
          <w:rFonts w:eastAsiaTheme="minorEastAsia" w:cs="Arial"/>
          <w:color w:val="auto"/>
          <w:lang w:val="en" w:eastAsia="en-GB"/>
        </w:rPr>
        <w:t>m in various credit strategies. These commitments will be met from the holdings of cash and cash equivalents that the Fund holds togeth</w:t>
      </w:r>
      <w:r w:rsidRPr="008E6529">
        <w:rPr>
          <w:rFonts w:eastAsiaTheme="minorEastAsia" w:cs="Arial"/>
          <w:color w:val="auto"/>
          <w:lang w:val="en" w:eastAsia="en-GB"/>
        </w:rPr>
        <w:t>er with distributions from the maturity of existing investments as well as from continuing to rebalance positions in other asset classes.</w:t>
      </w:r>
    </w:p>
    <w:p w:rsidR="000C00CF" w:rsidRDefault="0062660D" w:rsidP="00E002E6">
      <w:pPr>
        <w:autoSpaceDE/>
        <w:autoSpaceDN/>
        <w:adjustRightInd/>
        <w:spacing w:after="0"/>
        <w:jc w:val="left"/>
        <w:rPr>
          <w:rFonts w:eastAsia="Times New Roman" w:cs="Times New Roman"/>
          <w:color w:val="auto"/>
          <w:szCs w:val="20"/>
          <w:lang w:eastAsia="en-GB"/>
        </w:rPr>
      </w:pPr>
    </w:p>
    <w:p w:rsidR="00C52466" w:rsidRPr="00C52466" w:rsidRDefault="0062660D" w:rsidP="00C52466">
      <w:pPr>
        <w:keepNext/>
        <w:keepLines/>
        <w:widowControl w:val="0"/>
        <w:spacing w:before="240" w:after="0"/>
        <w:rPr>
          <w:rFonts w:eastAsia="Times New Roman" w:cs="Arial"/>
          <w:b/>
          <w:color w:val="auto"/>
          <w:sz w:val="28"/>
          <w:szCs w:val="28"/>
          <w:lang w:eastAsia="en-GB"/>
        </w:rPr>
      </w:pPr>
      <w:r w:rsidRPr="00C52466">
        <w:rPr>
          <w:rFonts w:eastAsia="Times New Roman" w:cs="Arial"/>
          <w:b/>
          <w:color w:val="auto"/>
          <w:sz w:val="28"/>
          <w:szCs w:val="28"/>
          <w:lang w:eastAsia="en-GB"/>
        </w:rPr>
        <w:t>Cashflow</w:t>
      </w:r>
    </w:p>
    <w:p w:rsidR="00C52466" w:rsidRPr="00C52466" w:rsidRDefault="0062660D" w:rsidP="00C52466">
      <w:pPr>
        <w:widowControl w:val="0"/>
        <w:spacing w:after="0"/>
        <w:jc w:val="left"/>
        <w:rPr>
          <w:rFonts w:eastAsiaTheme="minorEastAsia" w:cs="Arial"/>
          <w:color w:val="auto"/>
          <w:lang w:val="en" w:eastAsia="en-GB"/>
        </w:rPr>
      </w:pPr>
      <w:r w:rsidRPr="00C52466">
        <w:rPr>
          <w:rFonts w:eastAsiaTheme="minorEastAsia" w:cs="Arial"/>
          <w:color w:val="auto"/>
          <w:lang w:val="en" w:eastAsia="en-GB"/>
        </w:rPr>
        <w:t>During 2015-16, cash inflows during the year consisted of £343.2m and cash outflows were £303.6m, representing a net cash inflow of £39.6m (compared with an outflow of £42.2m in the previous year). Benefits payable amounted to £245.8m and were partially of</w:t>
      </w:r>
      <w:r w:rsidRPr="00C52466">
        <w:rPr>
          <w:rFonts w:eastAsiaTheme="minorEastAsia" w:cs="Arial"/>
          <w:color w:val="auto"/>
          <w:lang w:val="en" w:eastAsia="en-GB"/>
        </w:rPr>
        <w:t xml:space="preserve">fset by net investment income of £99.1m (including £13.1m accrued dividends); contributions of £238.6m and transfers in of £5.5m. </w:t>
      </w:r>
    </w:p>
    <w:p w:rsidR="00C52466" w:rsidRPr="00C52466" w:rsidRDefault="0062660D" w:rsidP="00C52466">
      <w:pPr>
        <w:widowControl w:val="0"/>
        <w:spacing w:after="0"/>
        <w:jc w:val="left"/>
        <w:rPr>
          <w:rFonts w:eastAsiaTheme="minorEastAsia" w:cs="Arial"/>
          <w:color w:val="auto"/>
          <w:lang w:val="en" w:eastAsia="en-GB"/>
        </w:rPr>
      </w:pPr>
    </w:p>
    <w:p w:rsidR="00C52466" w:rsidRDefault="0062660D" w:rsidP="00C52466">
      <w:pPr>
        <w:widowControl w:val="0"/>
        <w:spacing w:after="0"/>
        <w:jc w:val="left"/>
        <w:rPr>
          <w:rFonts w:eastAsiaTheme="minorEastAsia" w:cs="Arial"/>
          <w:color w:val="auto"/>
          <w:lang w:val="en" w:eastAsia="en-GB"/>
        </w:rPr>
      </w:pPr>
      <w:r w:rsidRPr="00C52466">
        <w:rPr>
          <w:rFonts w:eastAsiaTheme="minorEastAsia" w:cs="Arial"/>
          <w:color w:val="auto"/>
          <w:lang w:val="en" w:eastAsia="en-GB"/>
        </w:rPr>
        <w:t>Currently, investment income more than covers any shortfall in contributions received versus benefits paid. As outlined abov</w:t>
      </w:r>
      <w:r w:rsidRPr="00C52466">
        <w:rPr>
          <w:rFonts w:eastAsiaTheme="minorEastAsia" w:cs="Arial"/>
          <w:color w:val="auto"/>
          <w:lang w:val="en" w:eastAsia="en-GB"/>
        </w:rPr>
        <w:t xml:space="preserve">e, </w:t>
      </w:r>
      <w:r>
        <w:rPr>
          <w:rFonts w:eastAsiaTheme="minorEastAsia" w:cs="Arial"/>
          <w:color w:val="auto"/>
          <w:lang w:val="en" w:eastAsia="en-GB"/>
        </w:rPr>
        <w:t>the Fund</w:t>
      </w:r>
      <w:r w:rsidRPr="00C52466">
        <w:rPr>
          <w:rFonts w:eastAsiaTheme="minorEastAsia" w:cs="Arial"/>
          <w:color w:val="auto"/>
          <w:lang w:val="en" w:eastAsia="en-GB"/>
        </w:rPr>
        <w:t xml:space="preserve"> continues to shift its asset allocation towards income generating assets to ensure that this remains the case in the medium term.</w:t>
      </w:r>
    </w:p>
    <w:p w:rsidR="00FE4B18" w:rsidRPr="00C52466" w:rsidRDefault="0062660D" w:rsidP="00C52466">
      <w:pPr>
        <w:widowControl w:val="0"/>
        <w:spacing w:after="0"/>
        <w:jc w:val="left"/>
        <w:rPr>
          <w:rFonts w:eastAsiaTheme="minorEastAsia" w:cs="Arial"/>
          <w:color w:val="auto"/>
          <w:lang w:val="en" w:eastAsia="en-GB"/>
        </w:rPr>
      </w:pPr>
    </w:p>
    <w:p w:rsidR="00CF468F" w:rsidRPr="00CF468F" w:rsidRDefault="0062660D" w:rsidP="00CF468F">
      <w:pPr>
        <w:keepNext/>
        <w:keepLines/>
        <w:widowControl w:val="0"/>
        <w:spacing w:before="240" w:after="0"/>
        <w:rPr>
          <w:rFonts w:ascii="Verdana" w:eastAsiaTheme="minorEastAsia" w:hAnsi="Verdana" w:cs="Verdana"/>
          <w:b/>
          <w:bCs/>
          <w:color w:val="auto"/>
          <w:highlight w:val="yellow"/>
          <w:lang w:val="en" w:eastAsia="en-GB"/>
        </w:rPr>
      </w:pPr>
      <w:r w:rsidRPr="00CF468F">
        <w:rPr>
          <w:rFonts w:eastAsia="Times New Roman" w:cs="Arial"/>
          <w:b/>
          <w:color w:val="auto"/>
          <w:sz w:val="28"/>
          <w:szCs w:val="28"/>
          <w:lang w:eastAsia="en-GB"/>
        </w:rPr>
        <w:t>Governance</w:t>
      </w:r>
    </w:p>
    <w:p w:rsidR="00CF468F" w:rsidRPr="00CF468F" w:rsidRDefault="0062660D" w:rsidP="00CF468F">
      <w:pPr>
        <w:widowControl w:val="0"/>
        <w:spacing w:after="0"/>
        <w:jc w:val="left"/>
        <w:rPr>
          <w:rFonts w:eastAsiaTheme="minorEastAsia" w:cs="Arial"/>
          <w:color w:val="auto"/>
          <w:lang w:val="en" w:eastAsia="en-GB"/>
        </w:rPr>
      </w:pPr>
      <w:r w:rsidRPr="00CF468F">
        <w:rPr>
          <w:rFonts w:eastAsiaTheme="minorEastAsia" w:cs="Arial"/>
          <w:color w:val="auto"/>
          <w:lang w:val="en" w:eastAsia="en-GB"/>
        </w:rPr>
        <w:t>There are four levels of responsibility for the investment management of the Lancashire County Pension</w:t>
      </w:r>
      <w:r w:rsidRPr="00CF468F">
        <w:rPr>
          <w:rFonts w:eastAsiaTheme="minorEastAsia" w:cs="Arial"/>
          <w:color w:val="auto"/>
          <w:lang w:val="en" w:eastAsia="en-GB"/>
        </w:rPr>
        <w:t xml:space="preserve"> Fund:</w:t>
      </w:r>
    </w:p>
    <w:p w:rsidR="00CF468F" w:rsidRPr="00CF468F" w:rsidRDefault="0062660D" w:rsidP="00CF468F">
      <w:pPr>
        <w:widowControl w:val="0"/>
        <w:spacing w:after="0"/>
        <w:jc w:val="left"/>
        <w:rPr>
          <w:rFonts w:eastAsiaTheme="minorEastAsia" w:cs="Arial"/>
          <w:color w:val="auto"/>
          <w:lang w:val="en" w:eastAsia="en-GB"/>
        </w:rPr>
      </w:pPr>
    </w:p>
    <w:p w:rsidR="00CF468F" w:rsidRDefault="0062660D" w:rsidP="00CD7572">
      <w:pPr>
        <w:widowControl w:val="0"/>
        <w:numPr>
          <w:ilvl w:val="0"/>
          <w:numId w:val="35"/>
        </w:numPr>
        <w:autoSpaceDE/>
        <w:autoSpaceDN/>
        <w:adjustRightInd/>
        <w:spacing w:after="0"/>
        <w:jc w:val="left"/>
        <w:rPr>
          <w:rFonts w:eastAsiaTheme="minorEastAsia" w:cs="Arial"/>
          <w:color w:val="auto"/>
          <w:lang w:val="en" w:eastAsia="en-GB"/>
        </w:rPr>
      </w:pPr>
      <w:r w:rsidRPr="00CF468F">
        <w:rPr>
          <w:rFonts w:eastAsiaTheme="minorEastAsia" w:cs="Arial"/>
          <w:color w:val="auto"/>
          <w:lang w:val="en" w:eastAsia="en-GB"/>
        </w:rPr>
        <w:t>The County Council’s Pension Fund Committee takes major policy decisions and monitors overall performance. The Pension Fund Committee comprises fourteen County Councillors and seven voting co-optees representing other interested organisations;</w:t>
      </w:r>
    </w:p>
    <w:p w:rsidR="008E3D45" w:rsidRDefault="0062660D" w:rsidP="008E3D45">
      <w:pPr>
        <w:widowControl w:val="0"/>
        <w:autoSpaceDE/>
        <w:autoSpaceDN/>
        <w:adjustRightInd/>
        <w:spacing w:after="0"/>
        <w:jc w:val="left"/>
        <w:rPr>
          <w:rFonts w:eastAsiaTheme="minorEastAsia" w:cs="Arial"/>
          <w:color w:val="auto"/>
          <w:lang w:val="en" w:eastAsia="en-GB"/>
        </w:rPr>
      </w:pPr>
    </w:p>
    <w:p w:rsidR="008E3D45" w:rsidRPr="005F1718" w:rsidRDefault="0062660D" w:rsidP="005F1718">
      <w:pPr>
        <w:widowControl w:val="0"/>
        <w:numPr>
          <w:ilvl w:val="0"/>
          <w:numId w:val="35"/>
        </w:numPr>
        <w:autoSpaceDE/>
        <w:autoSpaceDN/>
        <w:adjustRightInd/>
        <w:spacing w:after="0"/>
        <w:jc w:val="left"/>
        <w:rPr>
          <w:rFonts w:eastAsiaTheme="minorEastAsia" w:cs="Arial"/>
          <w:color w:val="auto"/>
          <w:lang w:val="en" w:eastAsia="en-GB"/>
        </w:rPr>
      </w:pPr>
      <w:r w:rsidRPr="005F1718">
        <w:rPr>
          <w:rFonts w:eastAsiaTheme="minorEastAsia" w:cs="Arial"/>
          <w:color w:val="auto"/>
          <w:lang w:val="en" w:eastAsia="en-GB"/>
        </w:rPr>
        <w:t>The</w:t>
      </w:r>
      <w:r w:rsidRPr="005F1718">
        <w:rPr>
          <w:rFonts w:eastAsiaTheme="minorEastAsia" w:cs="Arial"/>
          <w:color w:val="auto"/>
          <w:lang w:val="en" w:eastAsia="en-GB"/>
        </w:rPr>
        <w:t xml:space="preserve"> Investment Panel ("the Panel") provides expert professional advice to the Pension Fund Committee in relation to investment strategy. The Panel support</w:t>
      </w:r>
      <w:r w:rsidRPr="005F1718">
        <w:rPr>
          <w:rFonts w:eastAsiaTheme="minorEastAsia" w:cs="Arial"/>
          <w:color w:val="auto"/>
          <w:lang w:val="en" w:eastAsia="en-GB"/>
        </w:rPr>
        <w:t>s</w:t>
      </w:r>
      <w:r w:rsidRPr="005F1718">
        <w:rPr>
          <w:rFonts w:eastAsiaTheme="minorEastAsia" w:cs="Arial"/>
          <w:color w:val="auto"/>
          <w:lang w:val="en" w:eastAsia="en-GB"/>
        </w:rPr>
        <w:t xml:space="preserve"> the Head of Fund with the specialist advice required by the Pension Fund Committee.</w:t>
      </w:r>
      <w:r>
        <w:rPr>
          <w:rFonts w:eastAsiaTheme="minorEastAsia" w:cs="Arial"/>
          <w:color w:val="auto"/>
          <w:lang w:val="en" w:eastAsia="en-GB"/>
        </w:rPr>
        <w:t xml:space="preserve">  The I</w:t>
      </w:r>
      <w:r w:rsidRPr="005F1718">
        <w:rPr>
          <w:rFonts w:eastAsiaTheme="minorEastAsia" w:cs="Arial"/>
          <w:color w:val="auto"/>
          <w:lang w:val="en" w:eastAsia="en-GB"/>
        </w:rPr>
        <w:t xml:space="preserve">nvestment </w:t>
      </w:r>
      <w:r>
        <w:rPr>
          <w:rFonts w:eastAsiaTheme="minorEastAsia" w:cs="Arial"/>
          <w:color w:val="auto"/>
          <w:lang w:val="en" w:eastAsia="en-GB"/>
        </w:rPr>
        <w:t>P</w:t>
      </w:r>
      <w:r w:rsidRPr="005F1718">
        <w:rPr>
          <w:rFonts w:eastAsiaTheme="minorEastAsia" w:cs="Arial"/>
          <w:color w:val="auto"/>
          <w:lang w:val="en" w:eastAsia="en-GB"/>
        </w:rPr>
        <w:t>an</w:t>
      </w:r>
      <w:r w:rsidRPr="005F1718">
        <w:rPr>
          <w:rFonts w:eastAsiaTheme="minorEastAsia" w:cs="Arial"/>
          <w:color w:val="auto"/>
          <w:lang w:val="en" w:eastAsia="en-GB"/>
        </w:rPr>
        <w:t>el consists of two independent external investment advisors and the Head of Fund.</w:t>
      </w:r>
    </w:p>
    <w:p w:rsidR="00CF468F" w:rsidRPr="00CF468F" w:rsidRDefault="0062660D" w:rsidP="005F1718">
      <w:pPr>
        <w:widowControl w:val="0"/>
        <w:autoSpaceDE/>
        <w:autoSpaceDN/>
        <w:adjustRightInd/>
        <w:spacing w:after="0"/>
        <w:ind w:left="720"/>
        <w:jc w:val="left"/>
        <w:rPr>
          <w:rFonts w:eastAsiaTheme="minorEastAsia" w:cs="Arial"/>
          <w:color w:val="auto"/>
          <w:lang w:val="en" w:eastAsia="en-GB"/>
        </w:rPr>
      </w:pPr>
    </w:p>
    <w:p w:rsidR="00CF468F" w:rsidRPr="00CF468F" w:rsidRDefault="0062660D" w:rsidP="00CD7572">
      <w:pPr>
        <w:widowControl w:val="0"/>
        <w:numPr>
          <w:ilvl w:val="0"/>
          <w:numId w:val="35"/>
        </w:numPr>
        <w:autoSpaceDE/>
        <w:autoSpaceDN/>
        <w:adjustRightInd/>
        <w:spacing w:after="0" w:line="259" w:lineRule="auto"/>
        <w:jc w:val="left"/>
        <w:rPr>
          <w:rFonts w:eastAsiaTheme="minorEastAsia" w:cs="Arial"/>
          <w:color w:val="auto"/>
          <w:lang w:val="en" w:eastAsia="en-GB"/>
        </w:rPr>
      </w:pPr>
      <w:r w:rsidRPr="00CF468F">
        <w:rPr>
          <w:rFonts w:eastAsiaTheme="minorEastAsia" w:cs="Arial"/>
          <w:color w:val="auto"/>
          <w:lang w:val="en" w:eastAsia="en-GB"/>
        </w:rPr>
        <w:t xml:space="preserve">The Investment Management Team of fund employees undertake day-to-day investment fund selection, monitoring and due-diligence; </w:t>
      </w:r>
    </w:p>
    <w:p w:rsidR="00CF468F" w:rsidRPr="00CF468F" w:rsidRDefault="0062660D" w:rsidP="00CF468F">
      <w:pPr>
        <w:widowControl w:val="0"/>
        <w:spacing w:after="0"/>
        <w:ind w:left="720"/>
        <w:jc w:val="left"/>
        <w:rPr>
          <w:rFonts w:eastAsiaTheme="minorEastAsia" w:cs="Arial"/>
          <w:color w:val="auto"/>
          <w:lang w:val="en" w:eastAsia="en-GB"/>
        </w:rPr>
      </w:pPr>
    </w:p>
    <w:p w:rsidR="00CF468F" w:rsidRPr="00CF468F" w:rsidRDefault="0062660D" w:rsidP="00CD7572">
      <w:pPr>
        <w:widowControl w:val="0"/>
        <w:numPr>
          <w:ilvl w:val="0"/>
          <w:numId w:val="35"/>
        </w:numPr>
        <w:autoSpaceDE/>
        <w:autoSpaceDN/>
        <w:adjustRightInd/>
        <w:spacing w:after="0" w:line="259" w:lineRule="auto"/>
        <w:jc w:val="left"/>
        <w:rPr>
          <w:rFonts w:eastAsiaTheme="minorEastAsia" w:cs="Arial"/>
          <w:color w:val="auto"/>
          <w:lang w:val="en" w:eastAsia="en-GB"/>
        </w:rPr>
      </w:pPr>
      <w:r w:rsidRPr="00CF468F">
        <w:rPr>
          <w:rFonts w:eastAsiaTheme="minorEastAsia" w:cs="Arial"/>
          <w:color w:val="auto"/>
          <w:lang w:val="en" w:eastAsia="en-GB"/>
        </w:rPr>
        <w:t xml:space="preserve">Finally, external investment managers (or </w:t>
      </w:r>
      <w:r w:rsidRPr="00CF468F">
        <w:rPr>
          <w:rFonts w:eastAsiaTheme="minorEastAsia" w:cs="Arial"/>
          <w:color w:val="auto"/>
          <w:lang w:val="en" w:eastAsia="en-GB"/>
        </w:rPr>
        <w:t xml:space="preserve">managers of </w:t>
      </w:r>
      <w:proofErr w:type="spellStart"/>
      <w:r w:rsidRPr="00CF468F">
        <w:rPr>
          <w:rFonts w:eastAsiaTheme="minorEastAsia" w:cs="Arial"/>
          <w:color w:val="auto"/>
          <w:lang w:val="en" w:eastAsia="en-GB"/>
        </w:rPr>
        <w:t>unitised</w:t>
      </w:r>
      <w:proofErr w:type="spellEnd"/>
      <w:r w:rsidRPr="00CF468F">
        <w:rPr>
          <w:rFonts w:eastAsiaTheme="minorEastAsia" w:cs="Arial"/>
          <w:color w:val="auto"/>
          <w:lang w:val="en" w:eastAsia="en-GB"/>
        </w:rPr>
        <w:t xml:space="preserve"> investments held by the Fund) fix precise weightings and select the individual investments within their particular remit;</w:t>
      </w:r>
    </w:p>
    <w:p w:rsidR="00CF468F" w:rsidRPr="00CF468F" w:rsidRDefault="0062660D" w:rsidP="00CF468F">
      <w:pPr>
        <w:widowControl w:val="0"/>
        <w:spacing w:after="0"/>
        <w:jc w:val="left"/>
        <w:rPr>
          <w:rFonts w:eastAsiaTheme="minorEastAsia" w:cs="Arial"/>
          <w:color w:val="auto"/>
          <w:lang w:val="en" w:eastAsia="en-GB"/>
        </w:rPr>
      </w:pPr>
    </w:p>
    <w:p w:rsidR="00CF468F" w:rsidRDefault="0062660D" w:rsidP="00CF468F">
      <w:pPr>
        <w:widowControl w:val="0"/>
        <w:spacing w:after="0"/>
        <w:jc w:val="left"/>
        <w:rPr>
          <w:rFonts w:eastAsiaTheme="minorEastAsia" w:cs="Arial"/>
          <w:color w:val="0000FF"/>
          <w:u w:val="single"/>
          <w:lang w:val="en" w:eastAsia="en-GB"/>
        </w:rPr>
      </w:pPr>
      <w:r w:rsidRPr="00CF468F">
        <w:rPr>
          <w:rFonts w:eastAsiaTheme="minorEastAsia" w:cs="Arial"/>
          <w:color w:val="auto"/>
          <w:lang w:val="en" w:eastAsia="en-GB"/>
        </w:rPr>
        <w:t xml:space="preserve">A more detailed description of the responsibilities of the Committee, its Sub-Committees and the Panel is found </w:t>
      </w:r>
      <w:r w:rsidRPr="00CF468F">
        <w:rPr>
          <w:rFonts w:eastAsiaTheme="minorEastAsia" w:cs="Arial"/>
          <w:color w:val="auto"/>
          <w:lang w:val="en" w:eastAsia="en-GB"/>
        </w:rPr>
        <w:t>in the Governance Policy Statement</w:t>
      </w:r>
      <w:r w:rsidRPr="00CF468F">
        <w:rPr>
          <w:rFonts w:ascii="Verdana" w:eastAsiaTheme="minorEastAsia" w:hAnsi="Verdana" w:cs="Verdana"/>
          <w:color w:val="auto"/>
          <w:lang w:val="en" w:eastAsia="en-GB"/>
        </w:rPr>
        <w:t xml:space="preserve">. </w:t>
      </w:r>
      <w:hyperlink r:id="rId37" w:history="1">
        <w:r w:rsidRPr="00CF468F">
          <w:rPr>
            <w:rFonts w:eastAsiaTheme="minorEastAsia" w:cs="Arial"/>
            <w:color w:val="0000FF"/>
            <w:u w:val="single"/>
            <w:lang w:val="en" w:eastAsia="en-GB"/>
          </w:rPr>
          <w:t>Governance Policy Statement</w:t>
        </w:r>
      </w:hyperlink>
    </w:p>
    <w:p w:rsidR="00C71CE8" w:rsidRPr="00CF468F" w:rsidRDefault="0062660D" w:rsidP="00CF468F">
      <w:pPr>
        <w:widowControl w:val="0"/>
        <w:spacing w:after="0"/>
        <w:jc w:val="left"/>
        <w:rPr>
          <w:rFonts w:ascii="Verdana" w:eastAsiaTheme="minorEastAsia" w:hAnsi="Verdana" w:cs="Verdana"/>
          <w:color w:val="0000FF"/>
          <w:u w:val="single"/>
          <w:lang w:val="en" w:eastAsia="en-GB"/>
        </w:rPr>
      </w:pPr>
    </w:p>
    <w:p w:rsidR="00CF468F" w:rsidRPr="00CF468F" w:rsidRDefault="0062660D" w:rsidP="00CF468F">
      <w:pPr>
        <w:keepNext/>
        <w:keepLines/>
        <w:widowControl w:val="0"/>
        <w:spacing w:before="240" w:after="0"/>
        <w:rPr>
          <w:rFonts w:ascii="Verdana" w:eastAsiaTheme="minorEastAsia" w:hAnsi="Verdana" w:cs="Verdana"/>
          <w:color w:val="auto"/>
          <w:lang w:val="en" w:eastAsia="en-GB"/>
        </w:rPr>
      </w:pPr>
      <w:r w:rsidRPr="00CF468F">
        <w:rPr>
          <w:rFonts w:eastAsia="Times New Roman" w:cs="Arial"/>
          <w:b/>
          <w:color w:val="auto"/>
          <w:sz w:val="28"/>
          <w:szCs w:val="28"/>
          <w:lang w:eastAsia="en-GB"/>
        </w:rPr>
        <w:t>Social, Environmental, and Ethical Considerations</w:t>
      </w:r>
    </w:p>
    <w:p w:rsidR="00CF468F" w:rsidRPr="00CF468F" w:rsidRDefault="0062660D" w:rsidP="00CF468F">
      <w:pPr>
        <w:widowControl w:val="0"/>
        <w:spacing w:after="0"/>
        <w:jc w:val="left"/>
        <w:rPr>
          <w:rFonts w:eastAsiaTheme="minorEastAsia" w:cs="Arial"/>
          <w:color w:val="auto"/>
          <w:lang w:val="en" w:eastAsia="en-GB"/>
        </w:rPr>
      </w:pPr>
      <w:r>
        <w:rPr>
          <w:rFonts w:eastAsiaTheme="minorEastAsia" w:cs="Arial"/>
          <w:color w:val="auto"/>
          <w:lang w:val="en" w:eastAsia="en-GB"/>
        </w:rPr>
        <w:t xml:space="preserve">The </w:t>
      </w:r>
      <w:r>
        <w:rPr>
          <w:rFonts w:eastAsiaTheme="minorEastAsia" w:cs="Arial"/>
          <w:color w:val="auto"/>
          <w:lang w:val="en" w:eastAsia="en-GB"/>
        </w:rPr>
        <w:t>F</w:t>
      </w:r>
      <w:r>
        <w:rPr>
          <w:rFonts w:eastAsiaTheme="minorEastAsia" w:cs="Arial"/>
          <w:color w:val="auto"/>
          <w:lang w:val="en" w:eastAsia="en-GB"/>
        </w:rPr>
        <w:t>und</w:t>
      </w:r>
      <w:r w:rsidRPr="00CF468F">
        <w:rPr>
          <w:rFonts w:eastAsiaTheme="minorEastAsia" w:cs="Arial"/>
          <w:color w:val="auto"/>
          <w:lang w:val="en" w:eastAsia="en-GB"/>
        </w:rPr>
        <w:t xml:space="preserve"> takes an active stance on corporate governance issues. It uses Pensions Investment Research Consultants (“PIRC”) to vote on its behalf at shareholder meetings. PIRC advises on Socially Responsible Investment issues and issues voting guidance and commentar</w:t>
      </w:r>
      <w:r w:rsidRPr="00CF468F">
        <w:rPr>
          <w:rFonts w:eastAsiaTheme="minorEastAsia" w:cs="Arial"/>
          <w:color w:val="auto"/>
          <w:lang w:val="en" w:eastAsia="en-GB"/>
        </w:rPr>
        <w:t>y for shareholder meetings. PIRC is instructed to vote the Fund's shares in accordance with its guidelines unless an Investment Manager requests a different vote for investment management reasons. In the latter case, the Director of the Fund will decide ho</w:t>
      </w:r>
      <w:r w:rsidRPr="00CF468F">
        <w:rPr>
          <w:rFonts w:eastAsiaTheme="minorEastAsia" w:cs="Arial"/>
          <w:color w:val="auto"/>
          <w:lang w:val="en" w:eastAsia="en-GB"/>
        </w:rPr>
        <w:t xml:space="preserve">w best to cast the vote in the long-term financial interest of </w:t>
      </w:r>
      <w:r>
        <w:rPr>
          <w:rFonts w:eastAsiaTheme="minorEastAsia" w:cs="Arial"/>
          <w:color w:val="auto"/>
          <w:lang w:val="en" w:eastAsia="en-GB"/>
        </w:rPr>
        <w:t>the Fund</w:t>
      </w:r>
      <w:r w:rsidRPr="00CF468F">
        <w:rPr>
          <w:rFonts w:eastAsiaTheme="minorEastAsia" w:cs="Arial"/>
          <w:color w:val="auto"/>
          <w:lang w:val="en" w:eastAsia="en-GB"/>
        </w:rPr>
        <w:t>.</w:t>
      </w:r>
    </w:p>
    <w:p w:rsidR="00CF468F" w:rsidRPr="00CF468F" w:rsidRDefault="0062660D" w:rsidP="00CF468F">
      <w:pPr>
        <w:widowControl w:val="0"/>
        <w:spacing w:after="0"/>
        <w:jc w:val="left"/>
        <w:rPr>
          <w:rFonts w:eastAsiaTheme="minorEastAsia" w:cs="Arial"/>
          <w:color w:val="auto"/>
          <w:lang w:val="en" w:eastAsia="en-GB"/>
        </w:rPr>
      </w:pPr>
    </w:p>
    <w:p w:rsidR="00CF468F" w:rsidRPr="00CF468F" w:rsidRDefault="0062660D" w:rsidP="00CF468F">
      <w:pPr>
        <w:widowControl w:val="0"/>
        <w:spacing w:after="0"/>
        <w:jc w:val="left"/>
        <w:rPr>
          <w:rFonts w:eastAsiaTheme="minorEastAsia" w:cs="Arial"/>
          <w:color w:val="auto"/>
          <w:lang w:val="en" w:eastAsia="en-GB"/>
        </w:rPr>
      </w:pPr>
      <w:r w:rsidRPr="00CF468F">
        <w:rPr>
          <w:rFonts w:eastAsiaTheme="minorEastAsia" w:cs="Arial"/>
          <w:color w:val="auto"/>
          <w:lang w:val="en" w:eastAsia="en-GB"/>
        </w:rPr>
        <w:t>The Fund is a member of the Local Authority Pension Fund Forum (“LAPFF”), which is a group of like-minded local authority pension funds that meet to discuss and act / engage in respe</w:t>
      </w:r>
      <w:r w:rsidRPr="00CF468F">
        <w:rPr>
          <w:rFonts w:eastAsiaTheme="minorEastAsia" w:cs="Arial"/>
          <w:color w:val="auto"/>
          <w:lang w:val="en" w:eastAsia="en-GB"/>
        </w:rPr>
        <w:t>ct of Socially Responsible Investment and Corporate Governance issues.</w:t>
      </w:r>
    </w:p>
    <w:p w:rsidR="00CF468F" w:rsidRPr="00CF468F" w:rsidRDefault="0062660D" w:rsidP="00CF468F">
      <w:pPr>
        <w:widowControl w:val="0"/>
        <w:spacing w:after="0"/>
        <w:jc w:val="left"/>
        <w:rPr>
          <w:rFonts w:ascii="Verdana" w:eastAsiaTheme="minorEastAsia" w:hAnsi="Verdana" w:cs="Verdana"/>
          <w:color w:val="auto"/>
          <w:lang w:val="en" w:eastAsia="en-GB"/>
        </w:rPr>
      </w:pPr>
    </w:p>
    <w:p w:rsidR="00CF468F" w:rsidRPr="00CF468F" w:rsidRDefault="0062660D" w:rsidP="000478F5">
      <w:pPr>
        <w:keepNext/>
        <w:keepLines/>
        <w:widowControl w:val="0"/>
        <w:spacing w:before="240" w:after="0"/>
        <w:rPr>
          <w:rFonts w:ascii="ArialMT" w:eastAsiaTheme="minorEastAsia" w:hAnsi="ArialMT" w:cs="ArialMT"/>
          <w:color w:val="auto"/>
          <w:lang w:val="en" w:eastAsia="en-GB"/>
        </w:rPr>
      </w:pPr>
      <w:r w:rsidRPr="00CF468F">
        <w:rPr>
          <w:rFonts w:eastAsia="Times New Roman" w:cs="Arial"/>
          <w:b/>
          <w:color w:val="auto"/>
          <w:sz w:val="28"/>
          <w:szCs w:val="28"/>
          <w:lang w:eastAsia="en-GB"/>
        </w:rPr>
        <w:t>Policy on Voting</w:t>
      </w:r>
    </w:p>
    <w:p w:rsidR="00CF468F" w:rsidRPr="00CF468F" w:rsidRDefault="0062660D" w:rsidP="00CF468F">
      <w:pPr>
        <w:widowControl w:val="0"/>
        <w:spacing w:after="0"/>
        <w:jc w:val="left"/>
        <w:rPr>
          <w:rFonts w:eastAsiaTheme="minorEastAsia" w:cs="Arial"/>
          <w:color w:val="auto"/>
          <w:lang w:val="en" w:eastAsia="en-GB"/>
        </w:rPr>
      </w:pPr>
      <w:r w:rsidRPr="00CF468F">
        <w:rPr>
          <w:rFonts w:eastAsiaTheme="minorEastAsia" w:cs="Arial"/>
          <w:color w:val="auto"/>
          <w:lang w:val="en" w:eastAsia="en-GB"/>
        </w:rPr>
        <w:t xml:space="preserve">For many years, </w:t>
      </w:r>
      <w:r w:rsidRPr="000478F5">
        <w:rPr>
          <w:rFonts w:eastAsiaTheme="minorEastAsia" w:cs="Arial"/>
          <w:color w:val="auto"/>
          <w:lang w:val="en" w:eastAsia="en-GB"/>
        </w:rPr>
        <w:t>the Fund</w:t>
      </w:r>
      <w:r w:rsidRPr="00CF468F">
        <w:rPr>
          <w:rFonts w:eastAsiaTheme="minorEastAsia" w:cs="Arial"/>
          <w:color w:val="auto"/>
          <w:lang w:val="en" w:eastAsia="en-GB"/>
        </w:rPr>
        <w:t xml:space="preserve"> has followed the voting recommendations of PIRC with the Fund's managers being instructed to vote at shareholder meetings in accordance with PIRC's recommendations. PIRC has been acting as the LCPF's proxy since 2011 and casting </w:t>
      </w:r>
      <w:r>
        <w:rPr>
          <w:rFonts w:eastAsiaTheme="minorEastAsia" w:cs="Arial"/>
          <w:color w:val="auto"/>
          <w:lang w:val="en" w:eastAsia="en-GB"/>
        </w:rPr>
        <w:t>the Fund's</w:t>
      </w:r>
      <w:r w:rsidRPr="00CF468F">
        <w:rPr>
          <w:rFonts w:eastAsiaTheme="minorEastAsia" w:cs="Arial"/>
          <w:color w:val="auto"/>
          <w:lang w:val="en" w:eastAsia="en-GB"/>
        </w:rPr>
        <w:t xml:space="preserve"> votes directly </w:t>
      </w:r>
      <w:r w:rsidRPr="00CF468F">
        <w:rPr>
          <w:rFonts w:eastAsiaTheme="minorEastAsia" w:cs="Arial"/>
          <w:color w:val="auto"/>
          <w:lang w:val="en" w:eastAsia="en-GB"/>
        </w:rPr>
        <w:t>at shareholder meetings.</w:t>
      </w:r>
    </w:p>
    <w:p w:rsidR="00CF468F" w:rsidRPr="00CF468F" w:rsidRDefault="0062660D" w:rsidP="00CF468F">
      <w:pPr>
        <w:widowControl w:val="0"/>
        <w:spacing w:after="0"/>
        <w:jc w:val="left"/>
        <w:rPr>
          <w:rFonts w:eastAsiaTheme="minorEastAsia" w:cs="Arial"/>
          <w:color w:val="auto"/>
          <w:lang w:val="en" w:eastAsia="en-GB"/>
        </w:rPr>
      </w:pPr>
    </w:p>
    <w:p w:rsidR="00CF468F" w:rsidRPr="00CF468F" w:rsidRDefault="0062660D" w:rsidP="00CF468F">
      <w:pPr>
        <w:widowControl w:val="0"/>
        <w:spacing w:after="0"/>
        <w:jc w:val="left"/>
        <w:rPr>
          <w:rFonts w:eastAsiaTheme="minorEastAsia" w:cs="Arial"/>
          <w:color w:val="auto"/>
          <w:lang w:val="en" w:eastAsia="en-GB"/>
        </w:rPr>
      </w:pPr>
      <w:r>
        <w:rPr>
          <w:rFonts w:eastAsiaTheme="minorEastAsia" w:cs="Arial"/>
          <w:color w:val="auto"/>
          <w:lang w:val="en" w:eastAsia="en-GB"/>
        </w:rPr>
        <w:t>The Fund's</w:t>
      </w:r>
      <w:r w:rsidRPr="00CF468F">
        <w:rPr>
          <w:rFonts w:eastAsiaTheme="minorEastAsia" w:cs="Arial"/>
          <w:color w:val="auto"/>
          <w:lang w:val="en" w:eastAsia="en-GB"/>
        </w:rPr>
        <w:t xml:space="preserve"> investment managers receive advance notice of PIRC's voting intentions and may raise concerns with the Fund if they do not believe the recommended stance on a vote is in the best financial interests of the Fund.</w:t>
      </w:r>
    </w:p>
    <w:p w:rsidR="00CF468F" w:rsidRPr="00CF468F" w:rsidRDefault="0062660D" w:rsidP="00CF468F">
      <w:pPr>
        <w:widowControl w:val="0"/>
        <w:spacing w:after="0"/>
        <w:jc w:val="left"/>
        <w:rPr>
          <w:rFonts w:ascii="Verdana" w:eastAsiaTheme="minorEastAsia" w:hAnsi="Verdana" w:cs="Verdana"/>
          <w:color w:val="auto"/>
          <w:lang w:val="en" w:eastAsia="en-GB"/>
        </w:rPr>
      </w:pPr>
    </w:p>
    <w:p w:rsidR="00CF468F" w:rsidRPr="00CF468F" w:rsidRDefault="0062660D" w:rsidP="00CF468F">
      <w:pPr>
        <w:widowControl w:val="0"/>
        <w:spacing w:after="0"/>
        <w:jc w:val="left"/>
        <w:rPr>
          <w:rFonts w:eastAsiaTheme="minorEastAsia" w:cs="Arial"/>
          <w:color w:val="auto"/>
          <w:lang w:val="en" w:eastAsia="en-GB"/>
        </w:rPr>
      </w:pPr>
      <w:r w:rsidRPr="00CF468F">
        <w:rPr>
          <w:rFonts w:eastAsiaTheme="minorEastAsia" w:cs="Arial"/>
          <w:color w:val="auto"/>
          <w:lang w:val="en" w:eastAsia="en-GB"/>
        </w:rPr>
        <w:t>The Co</w:t>
      </w:r>
      <w:r w:rsidRPr="00CF468F">
        <w:rPr>
          <w:rFonts w:eastAsiaTheme="minorEastAsia" w:cs="Arial"/>
          <w:color w:val="auto"/>
          <w:lang w:val="en" w:eastAsia="en-GB"/>
        </w:rPr>
        <w:t xml:space="preserve">mmittee delegates its agreement of any significant departure from the guidelines proposed by the managers, to the Director as Chair of the Investment Panel. In all voting decisions the long-term financial interests of the Fund are paramount. There were no </w:t>
      </w:r>
      <w:r w:rsidRPr="00CF468F">
        <w:rPr>
          <w:rFonts w:eastAsiaTheme="minorEastAsia" w:cs="Arial"/>
          <w:color w:val="auto"/>
          <w:lang w:val="en" w:eastAsia="en-GB"/>
        </w:rPr>
        <w:t>occurrences of this during 2015-16.</w:t>
      </w:r>
    </w:p>
    <w:p w:rsidR="00CF468F" w:rsidRPr="00CF468F" w:rsidRDefault="0062660D" w:rsidP="00CF468F">
      <w:pPr>
        <w:widowControl w:val="0"/>
        <w:spacing w:after="0"/>
        <w:jc w:val="left"/>
        <w:rPr>
          <w:rFonts w:ascii="ArialMT" w:eastAsiaTheme="minorEastAsia" w:hAnsi="ArialMT" w:cs="ArialMT"/>
          <w:color w:val="auto"/>
          <w:lang w:val="en" w:eastAsia="en-GB"/>
        </w:rPr>
      </w:pPr>
    </w:p>
    <w:p w:rsidR="00CF468F" w:rsidRPr="00CF468F" w:rsidRDefault="0062660D" w:rsidP="00CF468F">
      <w:pPr>
        <w:widowControl w:val="0"/>
        <w:spacing w:after="0"/>
        <w:jc w:val="left"/>
        <w:rPr>
          <w:rFonts w:ascii="ArialMT" w:eastAsiaTheme="minorEastAsia" w:hAnsi="ArialMT" w:cs="ArialMT"/>
          <w:color w:val="auto"/>
          <w:lang w:val="en" w:eastAsia="en-GB"/>
        </w:rPr>
      </w:pPr>
    </w:p>
    <w:p w:rsidR="00CF468F" w:rsidRPr="00CF468F" w:rsidRDefault="0062660D" w:rsidP="000478F5">
      <w:pPr>
        <w:keepNext/>
        <w:keepLines/>
        <w:widowControl w:val="0"/>
        <w:spacing w:after="0"/>
        <w:rPr>
          <w:rFonts w:eastAsia="Times New Roman" w:cs="Arial"/>
          <w:b/>
          <w:color w:val="auto"/>
          <w:sz w:val="28"/>
          <w:szCs w:val="28"/>
          <w:lang w:eastAsia="en-GB"/>
        </w:rPr>
      </w:pPr>
      <w:r w:rsidRPr="00CF468F">
        <w:rPr>
          <w:rFonts w:eastAsia="Times New Roman" w:cs="Arial"/>
          <w:b/>
          <w:color w:val="auto"/>
          <w:sz w:val="28"/>
          <w:szCs w:val="28"/>
          <w:lang w:eastAsia="en-GB"/>
        </w:rPr>
        <w:t>Policy on Risk</w:t>
      </w:r>
    </w:p>
    <w:p w:rsidR="00CF468F" w:rsidRPr="00CF468F" w:rsidRDefault="0062660D" w:rsidP="000478F5">
      <w:pPr>
        <w:widowControl w:val="0"/>
        <w:spacing w:after="240"/>
        <w:jc w:val="left"/>
        <w:rPr>
          <w:rFonts w:ascii="Verdana" w:eastAsiaTheme="minorEastAsia" w:hAnsi="Verdana" w:cs="Verdana"/>
          <w:b/>
          <w:bCs/>
          <w:color w:val="auto"/>
          <w:lang w:val="en" w:eastAsia="en-GB"/>
        </w:rPr>
      </w:pPr>
      <w:r w:rsidRPr="00CF468F">
        <w:rPr>
          <w:rFonts w:eastAsiaTheme="minorEastAsia" w:cs="Arial"/>
          <w:color w:val="auto"/>
          <w:lang w:val="en" w:eastAsia="en-GB"/>
        </w:rPr>
        <w:t xml:space="preserve">The consideration of investment risk forms as a part of the Pension Fund's overall risk register is presented to Pension Fund Committee on a bi-annual basis. The key risks and associated mitigations are </w:t>
      </w:r>
      <w:r w:rsidRPr="00CF468F">
        <w:rPr>
          <w:rFonts w:eastAsiaTheme="minorEastAsia" w:cs="Arial"/>
          <w:color w:val="auto"/>
          <w:lang w:val="en" w:eastAsia="en-GB"/>
        </w:rPr>
        <w:t>replicated in the</w:t>
      </w:r>
      <w:r w:rsidRPr="00CF468F">
        <w:rPr>
          <w:rFonts w:ascii="Verdana" w:eastAsiaTheme="minorEastAsia" w:hAnsi="Verdana" w:cs="Verdana"/>
          <w:color w:val="auto"/>
          <w:lang w:val="en" w:eastAsia="en-GB"/>
        </w:rPr>
        <w:t xml:space="preserve"> </w:t>
      </w:r>
      <w:hyperlink r:id="rId38" w:history="1">
        <w:r w:rsidRPr="00CF468F">
          <w:rPr>
            <w:rFonts w:eastAsiaTheme="minorEastAsia" w:cs="Arial"/>
            <w:color w:val="0000FF"/>
            <w:u w:val="single"/>
            <w:lang w:val="en" w:eastAsia="en-GB"/>
          </w:rPr>
          <w:t>Funding Strategy Statement</w:t>
        </w:r>
      </w:hyperlink>
      <w:r w:rsidRPr="00CF468F">
        <w:rPr>
          <w:rFonts w:ascii="Verdana" w:eastAsiaTheme="minorEastAsia" w:hAnsi="Verdana" w:cs="Verdana"/>
          <w:color w:val="auto"/>
          <w:lang w:val="en" w:eastAsia="en-GB"/>
        </w:rPr>
        <w:t>.</w:t>
      </w:r>
    </w:p>
    <w:p w:rsidR="00CF468F" w:rsidRPr="00CF468F" w:rsidRDefault="0062660D" w:rsidP="000478F5">
      <w:pPr>
        <w:widowControl w:val="0"/>
        <w:spacing w:before="120" w:after="240"/>
        <w:jc w:val="left"/>
        <w:rPr>
          <w:rFonts w:eastAsiaTheme="minorEastAsia" w:cs="Arial"/>
          <w:color w:val="auto"/>
          <w:lang w:val="en" w:eastAsia="en-GB"/>
        </w:rPr>
      </w:pPr>
      <w:r w:rsidRPr="00CF468F">
        <w:rPr>
          <w:rFonts w:eastAsiaTheme="minorEastAsia" w:cs="Arial"/>
          <w:color w:val="auto"/>
          <w:lang w:val="en" w:eastAsia="en-GB"/>
        </w:rPr>
        <w:t xml:space="preserve">The overriding objective of </w:t>
      </w:r>
      <w:r>
        <w:rPr>
          <w:rFonts w:eastAsiaTheme="minorEastAsia" w:cs="Arial"/>
          <w:color w:val="auto"/>
          <w:lang w:val="en" w:eastAsia="en-GB"/>
        </w:rPr>
        <w:t>the Fund</w:t>
      </w:r>
      <w:r w:rsidRPr="00CF468F">
        <w:rPr>
          <w:rFonts w:eastAsiaTheme="minorEastAsia" w:cs="Arial"/>
          <w:color w:val="auto"/>
          <w:lang w:val="en" w:eastAsia="en-GB"/>
        </w:rPr>
        <w:t xml:space="preserve"> in respect of its investments is to </w:t>
      </w:r>
      <w:proofErr w:type="spellStart"/>
      <w:r w:rsidRPr="00CF468F">
        <w:rPr>
          <w:rFonts w:eastAsiaTheme="minorEastAsia" w:cs="Arial"/>
          <w:color w:val="auto"/>
          <w:lang w:val="en" w:eastAsia="en-GB"/>
        </w:rPr>
        <w:t>minimise</w:t>
      </w:r>
      <w:proofErr w:type="spellEnd"/>
      <w:r w:rsidRPr="00CF468F">
        <w:rPr>
          <w:rFonts w:eastAsiaTheme="minorEastAsia" w:cs="Arial"/>
          <w:color w:val="auto"/>
          <w:lang w:val="en" w:eastAsia="en-GB"/>
        </w:rPr>
        <w:t xml:space="preserve"> risk and maximise return while reducing volatility. The structure of the investment management arrangements has been implemented in order to produce a balanced spread of risk for the portfolio.</w:t>
      </w:r>
    </w:p>
    <w:p w:rsidR="00CF468F" w:rsidRPr="00CF468F" w:rsidRDefault="0062660D" w:rsidP="000478F5">
      <w:pPr>
        <w:widowControl w:val="0"/>
        <w:spacing w:before="120" w:after="240"/>
        <w:jc w:val="left"/>
        <w:rPr>
          <w:rFonts w:eastAsiaTheme="minorEastAsia" w:cs="Arial"/>
          <w:color w:val="auto"/>
          <w:lang w:val="en" w:eastAsia="en-GB"/>
        </w:rPr>
      </w:pPr>
      <w:r w:rsidRPr="00CF468F">
        <w:rPr>
          <w:rFonts w:eastAsiaTheme="minorEastAsia" w:cs="Arial"/>
          <w:color w:val="auto"/>
          <w:lang w:val="en" w:eastAsia="en-GB"/>
        </w:rPr>
        <w:t>Operational risk</w:t>
      </w:r>
      <w:r w:rsidRPr="00CF468F">
        <w:rPr>
          <w:rFonts w:eastAsiaTheme="minorEastAsia" w:cs="Arial"/>
          <w:color w:val="auto"/>
          <w:lang w:val="en" w:eastAsia="en-GB"/>
        </w:rPr>
        <w:t xml:space="preserve"> is </w:t>
      </w:r>
      <w:proofErr w:type="spellStart"/>
      <w:r w:rsidRPr="00CF468F">
        <w:rPr>
          <w:rFonts w:eastAsiaTheme="minorEastAsia" w:cs="Arial"/>
          <w:color w:val="auto"/>
          <w:lang w:val="en" w:eastAsia="en-GB"/>
        </w:rPr>
        <w:t>minimised</w:t>
      </w:r>
      <w:proofErr w:type="spellEnd"/>
      <w:r w:rsidRPr="00CF468F">
        <w:rPr>
          <w:rFonts w:eastAsiaTheme="minorEastAsia" w:cs="Arial"/>
          <w:color w:val="auto"/>
          <w:lang w:val="en" w:eastAsia="en-GB"/>
        </w:rPr>
        <w:t xml:space="preserve"> by having custody of the </w:t>
      </w:r>
      <w:r>
        <w:rPr>
          <w:rFonts w:eastAsiaTheme="minorEastAsia" w:cs="Arial"/>
          <w:color w:val="auto"/>
          <w:lang w:val="en" w:eastAsia="en-GB"/>
        </w:rPr>
        <w:t>Fund's</w:t>
      </w:r>
      <w:r w:rsidRPr="00CF468F">
        <w:rPr>
          <w:rFonts w:eastAsiaTheme="minorEastAsia" w:cs="Arial"/>
          <w:color w:val="auto"/>
          <w:lang w:val="en" w:eastAsia="en-GB"/>
        </w:rPr>
        <w:t xml:space="preserve"> financial assets provided by a regulated, external, third party, professional custodian. </w:t>
      </w:r>
      <w:r>
        <w:rPr>
          <w:rFonts w:eastAsiaTheme="minorEastAsia" w:cs="Arial"/>
          <w:color w:val="auto"/>
          <w:lang w:val="en" w:eastAsia="en-GB"/>
        </w:rPr>
        <w:t xml:space="preserve"> </w:t>
      </w:r>
      <w:r w:rsidRPr="00CF468F">
        <w:rPr>
          <w:rFonts w:eastAsiaTheme="minorEastAsia" w:cs="Arial"/>
          <w:color w:val="auto"/>
          <w:lang w:val="en" w:eastAsia="en-GB"/>
        </w:rPr>
        <w:t>The Fund’s Global Custodian is Northern Trust. All public market investments are held in nominee accounts of Northern Tr</w:t>
      </w:r>
      <w:r w:rsidRPr="00CF468F">
        <w:rPr>
          <w:rFonts w:eastAsiaTheme="minorEastAsia" w:cs="Arial"/>
          <w:color w:val="auto"/>
          <w:lang w:val="en" w:eastAsia="en-GB"/>
        </w:rPr>
        <w:t>ust.</w:t>
      </w:r>
    </w:p>
    <w:p w:rsidR="00CF468F" w:rsidRPr="00CF468F" w:rsidRDefault="0062660D" w:rsidP="000478F5">
      <w:pPr>
        <w:widowControl w:val="0"/>
        <w:spacing w:before="120" w:after="240"/>
        <w:jc w:val="left"/>
        <w:rPr>
          <w:rFonts w:eastAsiaTheme="minorEastAsia" w:cs="Arial"/>
          <w:color w:val="auto"/>
          <w:lang w:val="en" w:eastAsia="en-GB"/>
        </w:rPr>
      </w:pPr>
      <w:r w:rsidRPr="00CF468F">
        <w:rPr>
          <w:rFonts w:eastAsiaTheme="minorEastAsia" w:cs="Arial"/>
          <w:color w:val="auto"/>
          <w:lang w:val="en" w:eastAsia="en-GB"/>
        </w:rPr>
        <w:t>All private market investments, including interests in private equity, property, and other pooled funds are held directly in the name of Lancashire County Council as administering authority of the Lancashire County Pension Fund. Northern Trust provide</w:t>
      </w:r>
      <w:r w:rsidRPr="00CF468F">
        <w:rPr>
          <w:rFonts w:eastAsiaTheme="minorEastAsia" w:cs="Arial"/>
          <w:color w:val="auto"/>
          <w:lang w:val="en" w:eastAsia="en-GB"/>
        </w:rPr>
        <w:t>s detailed investment accounting and reconciliation services for all private market investments.</w:t>
      </w:r>
    </w:p>
    <w:p w:rsidR="00CF468F" w:rsidRPr="00CF468F" w:rsidRDefault="0062660D" w:rsidP="000478F5">
      <w:pPr>
        <w:widowControl w:val="0"/>
        <w:spacing w:before="120" w:after="0"/>
        <w:jc w:val="left"/>
        <w:rPr>
          <w:rFonts w:eastAsiaTheme="minorEastAsia" w:cs="Arial"/>
          <w:color w:val="auto"/>
          <w:lang w:val="en" w:eastAsia="en-GB"/>
        </w:rPr>
      </w:pPr>
      <w:r w:rsidRPr="00CF468F">
        <w:rPr>
          <w:rFonts w:eastAsiaTheme="minorEastAsia" w:cs="Arial"/>
          <w:color w:val="auto"/>
          <w:lang w:val="en" w:eastAsia="en-GB"/>
        </w:rPr>
        <w:t>The title deeds in respect of the Fund’s property holdings are held by Lancashire County Council and its property solicitors.</w:t>
      </w:r>
    </w:p>
    <w:p w:rsidR="00CF468F" w:rsidRPr="00CF468F" w:rsidRDefault="0062660D" w:rsidP="00CF468F">
      <w:pPr>
        <w:widowControl w:val="0"/>
        <w:spacing w:after="0"/>
        <w:jc w:val="left"/>
        <w:rPr>
          <w:rFonts w:ascii="Verdana" w:eastAsiaTheme="minorEastAsia" w:hAnsi="Verdana" w:cs="Verdana"/>
          <w:lang w:val="en" w:eastAsia="en-GB"/>
        </w:rPr>
      </w:pPr>
    </w:p>
    <w:p w:rsidR="00CF468F" w:rsidRPr="00CF468F" w:rsidRDefault="0062660D" w:rsidP="00CF468F">
      <w:pPr>
        <w:widowControl w:val="0"/>
        <w:spacing w:after="0"/>
        <w:jc w:val="left"/>
        <w:rPr>
          <w:rFonts w:ascii="Verdana" w:eastAsiaTheme="minorEastAsia" w:hAnsi="Verdana" w:cs="Verdana"/>
          <w:lang w:val="en" w:eastAsia="en-GB"/>
        </w:rPr>
      </w:pPr>
    </w:p>
    <w:p w:rsidR="00CF468F" w:rsidRPr="00CF468F" w:rsidRDefault="0062660D" w:rsidP="000478F5">
      <w:pPr>
        <w:keepNext/>
        <w:keepLines/>
        <w:widowControl w:val="0"/>
        <w:spacing w:after="0"/>
        <w:rPr>
          <w:rFonts w:ascii="Verdana" w:eastAsiaTheme="minorEastAsia" w:hAnsi="Verdana" w:cs="ArialMT"/>
          <w:color w:val="FF0000"/>
          <w:sz w:val="28"/>
          <w:szCs w:val="28"/>
          <w:lang w:val="en" w:eastAsia="en-GB"/>
        </w:rPr>
      </w:pPr>
      <w:r w:rsidRPr="00CF468F">
        <w:rPr>
          <w:rFonts w:eastAsia="Times New Roman" w:cs="Arial"/>
          <w:b/>
          <w:color w:val="auto"/>
          <w:sz w:val="28"/>
          <w:szCs w:val="28"/>
          <w:lang w:eastAsia="en-GB"/>
        </w:rPr>
        <w:t xml:space="preserve">Compliance with </w:t>
      </w:r>
      <w:proofErr w:type="spellStart"/>
      <w:r w:rsidRPr="00CF468F">
        <w:rPr>
          <w:rFonts w:eastAsia="Times New Roman" w:cs="Arial"/>
          <w:b/>
          <w:color w:val="auto"/>
          <w:sz w:val="28"/>
          <w:szCs w:val="28"/>
          <w:lang w:eastAsia="en-GB"/>
        </w:rPr>
        <w:t>Myners</w:t>
      </w:r>
      <w:proofErr w:type="spellEnd"/>
      <w:r w:rsidRPr="00CF468F">
        <w:rPr>
          <w:rFonts w:eastAsia="Times New Roman" w:cs="Arial"/>
          <w:b/>
          <w:color w:val="auto"/>
          <w:sz w:val="28"/>
          <w:szCs w:val="28"/>
          <w:lang w:eastAsia="en-GB"/>
        </w:rPr>
        <w:t xml:space="preserve"> Principl</w:t>
      </w:r>
      <w:r w:rsidRPr="00CF468F">
        <w:rPr>
          <w:rFonts w:eastAsia="Times New Roman" w:cs="Arial"/>
          <w:b/>
          <w:color w:val="auto"/>
          <w:sz w:val="28"/>
          <w:szCs w:val="28"/>
          <w:lang w:eastAsia="en-GB"/>
        </w:rPr>
        <w:t>es</w:t>
      </w:r>
    </w:p>
    <w:p w:rsidR="00CF468F" w:rsidRDefault="0062660D" w:rsidP="00CF468F">
      <w:pPr>
        <w:widowControl w:val="0"/>
        <w:spacing w:after="0"/>
        <w:jc w:val="left"/>
        <w:rPr>
          <w:rFonts w:eastAsiaTheme="minorEastAsia" w:cs="Arial"/>
          <w:color w:val="0000FF"/>
          <w:u w:val="single"/>
          <w:lang w:val="en" w:eastAsia="en-GB"/>
        </w:rPr>
      </w:pPr>
      <w:r w:rsidRPr="00CF468F">
        <w:rPr>
          <w:rFonts w:eastAsiaTheme="minorEastAsia" w:cs="Arial"/>
          <w:color w:val="auto"/>
          <w:lang w:val="en" w:eastAsia="en-GB"/>
        </w:rPr>
        <w:t xml:space="preserve">The Fund is compliant with the </w:t>
      </w:r>
      <w:proofErr w:type="spellStart"/>
      <w:r w:rsidRPr="00CF468F">
        <w:rPr>
          <w:rFonts w:eastAsiaTheme="minorEastAsia" w:cs="Arial"/>
          <w:color w:val="auto"/>
          <w:lang w:val="en" w:eastAsia="en-GB"/>
        </w:rPr>
        <w:t>Myners</w:t>
      </w:r>
      <w:proofErr w:type="spellEnd"/>
      <w:r w:rsidRPr="00CF468F">
        <w:rPr>
          <w:rFonts w:eastAsiaTheme="minorEastAsia" w:cs="Arial"/>
          <w:color w:val="auto"/>
          <w:lang w:val="en" w:eastAsia="en-GB"/>
        </w:rPr>
        <w:t xml:space="preserve"> Principles, details of which can be found in the Statement of Investment Principles.</w:t>
      </w:r>
      <w:r w:rsidRPr="00CF468F">
        <w:rPr>
          <w:rFonts w:ascii="Verdana" w:eastAsiaTheme="minorEastAsia" w:hAnsi="Verdana" w:cs="ArialMT"/>
          <w:color w:val="auto"/>
          <w:lang w:val="en" w:eastAsia="en-GB"/>
        </w:rPr>
        <w:t xml:space="preserve">  </w:t>
      </w:r>
      <w:hyperlink r:id="rId39" w:history="1">
        <w:r w:rsidRPr="00CF468F">
          <w:rPr>
            <w:rFonts w:eastAsiaTheme="minorEastAsia" w:cs="Arial"/>
            <w:color w:val="0000FF"/>
            <w:u w:val="single"/>
            <w:lang w:val="en" w:eastAsia="en-GB"/>
          </w:rPr>
          <w:t xml:space="preserve">Statement of </w:t>
        </w:r>
        <w:r w:rsidRPr="00CF468F">
          <w:rPr>
            <w:rFonts w:eastAsiaTheme="minorEastAsia" w:cs="Arial"/>
            <w:color w:val="0000FF"/>
            <w:u w:val="single"/>
            <w:lang w:val="en" w:eastAsia="en-GB"/>
          </w:rPr>
          <w:t>Investment Principles</w:t>
        </w:r>
      </w:hyperlink>
    </w:p>
    <w:p w:rsidR="00EC3578" w:rsidRDefault="0062660D" w:rsidP="00CF468F">
      <w:pPr>
        <w:widowControl w:val="0"/>
        <w:spacing w:after="0"/>
        <w:jc w:val="left"/>
        <w:rPr>
          <w:rFonts w:eastAsiaTheme="minorEastAsia" w:cs="Arial"/>
          <w:color w:val="0000FF"/>
          <w:u w:val="single"/>
          <w:lang w:val="en" w:eastAsia="en-GB"/>
        </w:rPr>
      </w:pPr>
    </w:p>
    <w:p w:rsidR="00EC3578" w:rsidRDefault="0062660D" w:rsidP="00CF468F">
      <w:pPr>
        <w:widowControl w:val="0"/>
        <w:spacing w:after="0"/>
        <w:jc w:val="left"/>
        <w:rPr>
          <w:rFonts w:eastAsiaTheme="minorEastAsia" w:cs="Arial"/>
          <w:color w:val="0000FF"/>
          <w:u w:val="single"/>
          <w:lang w:val="en" w:eastAsia="en-GB"/>
        </w:rPr>
      </w:pPr>
    </w:p>
    <w:p w:rsidR="00EC3578" w:rsidRDefault="0062660D" w:rsidP="00CF468F">
      <w:pPr>
        <w:widowControl w:val="0"/>
        <w:spacing w:after="0"/>
        <w:jc w:val="left"/>
        <w:rPr>
          <w:rFonts w:eastAsiaTheme="minorEastAsia" w:cs="Arial"/>
          <w:color w:val="0000FF"/>
          <w:u w:val="single"/>
          <w:lang w:val="en" w:eastAsia="en-GB"/>
        </w:rPr>
      </w:pPr>
    </w:p>
    <w:p w:rsidR="00EC3578" w:rsidRDefault="0062660D" w:rsidP="00CF468F">
      <w:pPr>
        <w:widowControl w:val="0"/>
        <w:spacing w:after="0"/>
        <w:jc w:val="left"/>
        <w:rPr>
          <w:rFonts w:eastAsiaTheme="minorEastAsia" w:cs="Arial"/>
          <w:color w:val="0000FF"/>
          <w:u w:val="single"/>
          <w:lang w:val="en" w:eastAsia="en-GB"/>
        </w:rPr>
      </w:pPr>
    </w:p>
    <w:p w:rsidR="00CD7572" w:rsidRPr="00CD7572" w:rsidRDefault="0062660D" w:rsidP="00CD7572">
      <w:pPr>
        <w:pStyle w:val="ListParagraph"/>
        <w:numPr>
          <w:ilvl w:val="0"/>
          <w:numId w:val="15"/>
        </w:numPr>
        <w:rPr>
          <w:b/>
          <w:sz w:val="40"/>
          <w:szCs w:val="40"/>
        </w:rPr>
      </w:pPr>
      <w:r w:rsidRPr="00CD7572">
        <w:rPr>
          <w:b/>
          <w:sz w:val="40"/>
          <w:szCs w:val="40"/>
        </w:rPr>
        <w:t>Accounts of the Fund</w:t>
      </w:r>
    </w:p>
    <w:p w:rsidR="00CD7572" w:rsidRPr="00CD7572" w:rsidRDefault="0062660D" w:rsidP="00CD7572">
      <w:pPr>
        <w:rPr>
          <w:b/>
          <w:sz w:val="40"/>
          <w:szCs w:val="40"/>
        </w:rPr>
      </w:pPr>
    </w:p>
    <w:p w:rsidR="00CD7572" w:rsidRPr="00CD7572" w:rsidRDefault="0062660D" w:rsidP="00CD7572">
      <w:pPr>
        <w:rPr>
          <w:b/>
          <w:sz w:val="32"/>
          <w:szCs w:val="32"/>
        </w:rPr>
      </w:pPr>
      <w:r w:rsidRPr="00CD7572">
        <w:rPr>
          <w:b/>
          <w:sz w:val="32"/>
          <w:szCs w:val="32"/>
        </w:rPr>
        <w:t>Responsibilities for the statement of accounts</w:t>
      </w:r>
    </w:p>
    <w:p w:rsidR="00CD7572" w:rsidRPr="00CD7572" w:rsidRDefault="0062660D" w:rsidP="00CD7572"/>
    <w:p w:rsidR="00CD7572" w:rsidRPr="00CD7572" w:rsidRDefault="0062660D" w:rsidP="00CD7572">
      <w:pPr>
        <w:keepNext/>
        <w:outlineLvl w:val="3"/>
        <w:rPr>
          <w:b/>
          <w:snapToGrid w:val="0"/>
          <w:sz w:val="32"/>
          <w:szCs w:val="32"/>
        </w:rPr>
      </w:pPr>
      <w:r w:rsidRPr="00CD7572">
        <w:rPr>
          <w:b/>
          <w:snapToGrid w:val="0"/>
          <w:sz w:val="32"/>
          <w:szCs w:val="32"/>
        </w:rPr>
        <w:t>The responsibilities of the administering authority</w:t>
      </w:r>
    </w:p>
    <w:p w:rsidR="00CD7572" w:rsidRPr="00CD7572" w:rsidRDefault="0062660D" w:rsidP="00CD7572">
      <w:r w:rsidRPr="00CD7572">
        <w:t>The administering authority is required:</w:t>
      </w:r>
    </w:p>
    <w:p w:rsidR="00CD7572" w:rsidRPr="00CD7572" w:rsidRDefault="0062660D" w:rsidP="00CD7572">
      <w:pPr>
        <w:numPr>
          <w:ilvl w:val="0"/>
          <w:numId w:val="5"/>
        </w:numPr>
        <w:autoSpaceDE/>
        <w:autoSpaceDN/>
        <w:adjustRightInd/>
        <w:spacing w:after="0"/>
        <w:jc w:val="left"/>
      </w:pPr>
      <w:r w:rsidRPr="00CD7572">
        <w:t xml:space="preserve">To make arrangements for the proper administration of the </w:t>
      </w:r>
      <w:r w:rsidRPr="00CD7572">
        <w:t>financial affairs of the Lancashire County Pension Fund (Pension Fund), and to ensure that an officer has the responsibility for the administration of those affairs.  For Lancashire County Council, the respective officer is the Director of Financial Resour</w:t>
      </w:r>
      <w:r w:rsidRPr="00CD7572">
        <w:t>ces, who is also the Director of Financial Resources  to the Pension Fund;</w:t>
      </w:r>
    </w:p>
    <w:p w:rsidR="00CD7572" w:rsidRPr="00CD7572" w:rsidRDefault="0062660D" w:rsidP="00CD7572">
      <w:pPr>
        <w:autoSpaceDE/>
        <w:autoSpaceDN/>
        <w:adjustRightInd/>
        <w:spacing w:after="0"/>
        <w:ind w:left="360"/>
        <w:jc w:val="left"/>
      </w:pPr>
    </w:p>
    <w:p w:rsidR="00CD7572" w:rsidRPr="00CD7572" w:rsidRDefault="0062660D" w:rsidP="00CD7572">
      <w:pPr>
        <w:numPr>
          <w:ilvl w:val="0"/>
          <w:numId w:val="5"/>
        </w:numPr>
        <w:autoSpaceDE/>
        <w:autoSpaceDN/>
        <w:adjustRightInd/>
        <w:spacing w:after="0"/>
        <w:jc w:val="left"/>
      </w:pPr>
      <w:r w:rsidRPr="00CD7572">
        <w:t>To manage its affairs to secure economic, efficient and effective use of resources, and to safeguard its assets.</w:t>
      </w:r>
    </w:p>
    <w:p w:rsidR="00CD7572" w:rsidRPr="00CD7572" w:rsidRDefault="0062660D" w:rsidP="00CD7572"/>
    <w:p w:rsidR="00CD7572" w:rsidRPr="00CD7572" w:rsidRDefault="0062660D" w:rsidP="00CD7572">
      <w:pPr>
        <w:keepNext/>
        <w:jc w:val="left"/>
        <w:outlineLvl w:val="3"/>
        <w:rPr>
          <w:b/>
          <w:snapToGrid w:val="0"/>
          <w:sz w:val="32"/>
          <w:szCs w:val="32"/>
        </w:rPr>
      </w:pPr>
      <w:r w:rsidRPr="00CD7572">
        <w:rPr>
          <w:b/>
          <w:snapToGrid w:val="0"/>
          <w:sz w:val="32"/>
          <w:szCs w:val="32"/>
        </w:rPr>
        <w:t>The responsibilities of the Director of Financial Resources to the</w:t>
      </w:r>
      <w:r w:rsidRPr="00CD7572">
        <w:rPr>
          <w:b/>
          <w:snapToGrid w:val="0"/>
          <w:sz w:val="32"/>
          <w:szCs w:val="32"/>
        </w:rPr>
        <w:t xml:space="preserve"> Pension Fund</w:t>
      </w:r>
    </w:p>
    <w:p w:rsidR="00CD7572" w:rsidRPr="00CD7572" w:rsidRDefault="0062660D" w:rsidP="00CD7572">
      <w:pPr>
        <w:jc w:val="left"/>
      </w:pPr>
      <w:r w:rsidRPr="00CD7572">
        <w:t xml:space="preserve">The Director of Financial Resources to the Pension Fund is responsible for the preparation of the Pension Fund’s statement of accounts.  In accordance with the CIPFA Code of Practice on Local Authority Accounting in Great Britain (the Code), </w:t>
      </w:r>
      <w:r w:rsidRPr="00CD7572">
        <w:t>the statement is required to present fairly the financial position of the Pension Fund at the accounting date, and its income and expenditure for the year then ended.</w:t>
      </w:r>
    </w:p>
    <w:p w:rsidR="00CD7572" w:rsidRPr="00CD7572" w:rsidRDefault="0062660D" w:rsidP="00CD7572"/>
    <w:p w:rsidR="00CD7572" w:rsidRPr="00CD7572" w:rsidRDefault="0062660D" w:rsidP="00CD7572">
      <w:pPr>
        <w:jc w:val="left"/>
      </w:pPr>
      <w:r w:rsidRPr="00CD7572">
        <w:t>In preparing this statement of accounts, the Director of Financial Resources to the Pens</w:t>
      </w:r>
      <w:r w:rsidRPr="00CD7572">
        <w:t>ion Fund has:</w:t>
      </w:r>
    </w:p>
    <w:p w:rsidR="00CD7572" w:rsidRPr="00CD7572" w:rsidRDefault="0062660D" w:rsidP="00CD7572">
      <w:pPr>
        <w:numPr>
          <w:ilvl w:val="0"/>
          <w:numId w:val="5"/>
        </w:numPr>
        <w:autoSpaceDE/>
        <w:autoSpaceDN/>
        <w:adjustRightInd/>
        <w:spacing w:after="0"/>
        <w:jc w:val="left"/>
      </w:pPr>
      <w:r w:rsidRPr="00CD7572">
        <w:t>Selected suitable accounting policies and then applied them consistently;</w:t>
      </w:r>
    </w:p>
    <w:p w:rsidR="00CD7572" w:rsidRPr="00CD7572" w:rsidRDefault="0062660D" w:rsidP="00CD7572">
      <w:pPr>
        <w:numPr>
          <w:ilvl w:val="0"/>
          <w:numId w:val="5"/>
        </w:numPr>
        <w:autoSpaceDE/>
        <w:autoSpaceDN/>
        <w:adjustRightInd/>
        <w:spacing w:after="0"/>
        <w:jc w:val="left"/>
      </w:pPr>
      <w:r w:rsidRPr="00CD7572">
        <w:t>Made judgements and estimates that were reasonable and prudent;</w:t>
      </w:r>
    </w:p>
    <w:p w:rsidR="00CD7572" w:rsidRPr="00CD7572" w:rsidRDefault="0062660D" w:rsidP="00CD7572">
      <w:pPr>
        <w:numPr>
          <w:ilvl w:val="0"/>
          <w:numId w:val="5"/>
        </w:numPr>
        <w:autoSpaceDE/>
        <w:autoSpaceDN/>
        <w:adjustRightInd/>
        <w:spacing w:after="0"/>
        <w:jc w:val="left"/>
      </w:pPr>
      <w:r w:rsidRPr="00CD7572">
        <w:t>Complied with the Code.</w:t>
      </w:r>
    </w:p>
    <w:p w:rsidR="00CD7572" w:rsidRPr="00CD7572" w:rsidRDefault="0062660D" w:rsidP="00CD7572"/>
    <w:p w:rsidR="00CD7572" w:rsidRPr="00CD7572" w:rsidRDefault="0062660D" w:rsidP="00CD7572">
      <w:pPr>
        <w:jc w:val="left"/>
      </w:pPr>
      <w:r w:rsidRPr="00CD7572">
        <w:t>In addition, the Director of Financial Resources to the Pension Fund has:</w:t>
      </w:r>
    </w:p>
    <w:p w:rsidR="00CD7572" w:rsidRPr="00CD7572" w:rsidRDefault="0062660D" w:rsidP="00CD7572">
      <w:pPr>
        <w:numPr>
          <w:ilvl w:val="0"/>
          <w:numId w:val="5"/>
        </w:numPr>
        <w:autoSpaceDE/>
        <w:autoSpaceDN/>
        <w:adjustRightInd/>
        <w:spacing w:after="0"/>
        <w:jc w:val="left"/>
      </w:pPr>
      <w:r w:rsidRPr="00CD7572">
        <w:t xml:space="preserve">Kept </w:t>
      </w:r>
      <w:r w:rsidRPr="00CD7572">
        <w:t>proper accounting records which were up to date;</w:t>
      </w:r>
    </w:p>
    <w:p w:rsidR="00CD7572" w:rsidRPr="00CD7572" w:rsidRDefault="0062660D" w:rsidP="00CD7572">
      <w:pPr>
        <w:numPr>
          <w:ilvl w:val="0"/>
          <w:numId w:val="5"/>
        </w:numPr>
        <w:autoSpaceDE/>
        <w:autoSpaceDN/>
        <w:adjustRightInd/>
        <w:spacing w:after="0"/>
        <w:jc w:val="left"/>
      </w:pPr>
      <w:r w:rsidRPr="00CD7572">
        <w:t>Taken responsible steps for the prevention and detection of fraud and other irregularities.</w:t>
      </w:r>
    </w:p>
    <w:p w:rsidR="00CD7572" w:rsidRPr="00CD7572" w:rsidRDefault="0062660D" w:rsidP="00CD7572">
      <w:pPr>
        <w:keepNext/>
        <w:spacing w:line="360" w:lineRule="auto"/>
        <w:jc w:val="left"/>
        <w:outlineLvl w:val="4"/>
        <w:rPr>
          <w:b/>
          <w:u w:val="single"/>
        </w:rPr>
      </w:pPr>
    </w:p>
    <w:p w:rsidR="00CD7572" w:rsidRPr="00CD7572" w:rsidRDefault="0062660D" w:rsidP="00CD7572">
      <w:pPr>
        <w:jc w:val="left"/>
      </w:pPr>
      <w:r w:rsidRPr="00CD7572">
        <w:t>The Statement of Accounts relate to the financial year ended 31 March 2016 and include the Fund Account and the St</w:t>
      </w:r>
      <w:r w:rsidRPr="00CD7572">
        <w:t>atement of Net Assets which are prepared in accordance with standard accounting practice as outlined in the notes to the accounts of the Pension Fund.</w:t>
      </w:r>
    </w:p>
    <w:p w:rsidR="00CD7572" w:rsidRPr="00CD7572" w:rsidRDefault="0062660D" w:rsidP="00CD7572"/>
    <w:p w:rsidR="00CD7572" w:rsidRPr="00CD7572" w:rsidRDefault="0062660D" w:rsidP="00CD7572"/>
    <w:p w:rsidR="00CD7572" w:rsidRPr="00CD7572" w:rsidRDefault="0062660D" w:rsidP="00CD7572"/>
    <w:p w:rsidR="00CD7572" w:rsidRPr="00CD7572" w:rsidRDefault="0062660D" w:rsidP="00CD7572">
      <w:pPr>
        <w:rPr>
          <w:b/>
        </w:rPr>
      </w:pPr>
      <w:r w:rsidRPr="00CD7572">
        <w:rPr>
          <w:b/>
        </w:rPr>
        <w:t>Neil Kissock</w:t>
      </w:r>
    </w:p>
    <w:p w:rsidR="00CD7572" w:rsidRPr="00CD7572" w:rsidRDefault="0062660D" w:rsidP="00CD7572">
      <w:pPr>
        <w:rPr>
          <w:b/>
        </w:rPr>
      </w:pPr>
      <w:r w:rsidRPr="00CD7572">
        <w:rPr>
          <w:b/>
        </w:rPr>
        <w:t>Director of Financial Resources</w:t>
      </w:r>
    </w:p>
    <w:p w:rsidR="00CD7572" w:rsidRPr="00CD7572" w:rsidRDefault="0062660D" w:rsidP="00CD7572">
      <w:pPr>
        <w:rPr>
          <w:b/>
        </w:rPr>
      </w:pPr>
      <w:r w:rsidRPr="00CD7572">
        <w:rPr>
          <w:b/>
        </w:rPr>
        <w:t>30 June 2016</w:t>
      </w:r>
    </w:p>
    <w:p w:rsidR="00CD7572" w:rsidRPr="00CD7572" w:rsidRDefault="0062660D" w:rsidP="00CD7572">
      <w:pPr>
        <w:rPr>
          <w:b/>
        </w:rPr>
      </w:pPr>
    </w:p>
    <w:p w:rsidR="00CD7572" w:rsidRPr="00CD7572" w:rsidRDefault="0062660D" w:rsidP="00CD7572">
      <w:pPr>
        <w:rPr>
          <w:b/>
          <w:sz w:val="40"/>
          <w:szCs w:val="40"/>
        </w:rPr>
      </w:pPr>
      <w:r w:rsidRPr="00CD7572">
        <w:rPr>
          <w:b/>
          <w:sz w:val="40"/>
          <w:szCs w:val="40"/>
        </w:rPr>
        <w:t>Annual Governance Statement 2015/16</w:t>
      </w:r>
    </w:p>
    <w:p w:rsidR="00CD7572" w:rsidRPr="00CD7572" w:rsidRDefault="0062660D" w:rsidP="00CD7572">
      <w:pPr>
        <w:rPr>
          <w:u w:val="single"/>
        </w:rPr>
      </w:pPr>
    </w:p>
    <w:p w:rsidR="00CD7572" w:rsidRPr="00CD7572" w:rsidRDefault="0062660D" w:rsidP="00CD7572">
      <w:pPr>
        <w:rPr>
          <w:b/>
        </w:rPr>
      </w:pPr>
      <w:r w:rsidRPr="00CD7572">
        <w:rPr>
          <w:b/>
        </w:rPr>
        <w:t>Introduction</w:t>
      </w:r>
    </w:p>
    <w:p w:rsidR="00CD7572" w:rsidRPr="00CD7572" w:rsidRDefault="0062660D" w:rsidP="00CD7572">
      <w:r w:rsidRPr="00CD7572">
        <w:t>The Lancashire County Pension Fund is a Pension Fund within the Local Government Pension Scheme (LGPS) which is a funded pension scheme created under the terms of the Superannuation Act 1972. Lancashire County Council is the body appointed und</w:t>
      </w:r>
      <w:r w:rsidRPr="00CD7572">
        <w:t>er statute to act as the Administering Authority for the Fund.</w:t>
      </w:r>
    </w:p>
    <w:p w:rsidR="00CD7572" w:rsidRPr="00CD7572" w:rsidRDefault="0062660D" w:rsidP="00CD7572">
      <w:r w:rsidRPr="00CD7572">
        <w:t>At 31</w:t>
      </w:r>
      <w:r w:rsidRPr="00CD7572">
        <w:rPr>
          <w:vertAlign w:val="superscript"/>
        </w:rPr>
        <w:t>st</w:t>
      </w:r>
      <w:r w:rsidRPr="00CD7572">
        <w:t xml:space="preserve"> March 2016 the Lancashire County Pension Fund provides a means of pension saving and retirement security for 162,466</w:t>
      </w:r>
      <w:r w:rsidRPr="00CD7572">
        <w:rPr>
          <w:color w:val="FF0000"/>
        </w:rPr>
        <w:t xml:space="preserve"> </w:t>
      </w:r>
      <w:r w:rsidRPr="00CD7572">
        <w:t xml:space="preserve">members across 261 organisations with active members and a range of </w:t>
      </w:r>
      <w:r w:rsidRPr="00CD7572">
        <w:t>other organisations with only deferred or pensioner members. The Fund is one of the largest funds within the LGPS.</w:t>
      </w:r>
    </w:p>
    <w:p w:rsidR="00CD7572" w:rsidRPr="00CD7572" w:rsidRDefault="0062660D" w:rsidP="00CD7572">
      <w:r w:rsidRPr="00CD7572">
        <w:t>While the Fund is technically not a separate legal entity it does have its own specific governance arrangements and controls which sit within</w:t>
      </w:r>
      <w:r w:rsidRPr="00CD7572">
        <w:t xml:space="preserve"> Lancashire County Council's overall governance framework. Given both the scale of the Pension Fund and the very different nature of its operations from those of Lancashire County Council more generally it is appropriate to conduct a separate annual review</w:t>
      </w:r>
      <w:r w:rsidRPr="00CD7572">
        <w:t xml:space="preserve"> of the governance arrangements of the Pension Fund and this statement sets out that review.</w:t>
      </w:r>
    </w:p>
    <w:p w:rsidR="00CD7572" w:rsidRPr="00CD7572" w:rsidRDefault="0062660D" w:rsidP="00CD7572"/>
    <w:p w:rsidR="00CD7572" w:rsidRPr="00CD7572" w:rsidRDefault="0062660D" w:rsidP="00CD7572">
      <w:pPr>
        <w:rPr>
          <w:b/>
        </w:rPr>
      </w:pPr>
      <w:r w:rsidRPr="00CD7572">
        <w:rPr>
          <w:b/>
        </w:rPr>
        <w:t>The Pension Fund's Responsibilities</w:t>
      </w:r>
    </w:p>
    <w:p w:rsidR="00CD7572" w:rsidRPr="00CD7572" w:rsidRDefault="0062660D" w:rsidP="00CD7572">
      <w:r w:rsidRPr="00CD7572">
        <w:t>The Pension Fund is responsible for ensuring that its business is conducted in accordance with the law and proper standards an</w:t>
      </w:r>
      <w:r w:rsidRPr="00CD7572">
        <w:t>d that what is, in effect, pensioners' money provided in large part from the public purse is safeguarded and properly accounted for. The Fund has a responsibility under local government legislation to make arrangements which secure continuous improvement i</w:t>
      </w:r>
      <w:r w:rsidRPr="00CD7572">
        <w:t>n the way in which its functions are delivered.</w:t>
      </w:r>
    </w:p>
    <w:p w:rsidR="00CD7572" w:rsidRPr="00CD7572" w:rsidRDefault="0062660D" w:rsidP="00CD7572">
      <w:r w:rsidRPr="00CD7572">
        <w:t>In discharging this overall responsibility the Pension Fund is responsible for putting in place proper arrangements for the governance of its affairs and facilitating the effective exercise of its functions i</w:t>
      </w:r>
      <w:r w:rsidRPr="00CD7572">
        <w:t>ncluding arrangements for the management of risk.</w:t>
      </w:r>
    </w:p>
    <w:p w:rsidR="00CD7572" w:rsidRPr="00CD7572" w:rsidRDefault="0062660D" w:rsidP="00CD7572">
      <w:r w:rsidRPr="00CD7572">
        <w:t>The Fund has adopted its own Governance Policy Statement in line with the relevant regulations concerning the governance of funds within the LGPS. This statement has regard to relevant standards such as the</w:t>
      </w:r>
      <w:r w:rsidRPr="00CD7572">
        <w:t xml:space="preserve"> </w:t>
      </w:r>
      <w:proofErr w:type="spellStart"/>
      <w:r w:rsidRPr="00CD7572">
        <w:t>Myners</w:t>
      </w:r>
      <w:proofErr w:type="spellEnd"/>
      <w:r w:rsidRPr="00CD7572">
        <w:t>' principles. The Governance Policy Statement is available through the following link</w:t>
      </w:r>
    </w:p>
    <w:p w:rsidR="00CD7572" w:rsidRPr="00CD7572" w:rsidRDefault="0062660D" w:rsidP="00CD7572">
      <w:pPr>
        <w:rPr>
          <w:highlight w:val="yellow"/>
        </w:rPr>
      </w:pPr>
      <w:hyperlink r:id="rId40" w:history="1">
        <w:r w:rsidRPr="00CD7572">
          <w:rPr>
            <w:rFonts w:cs="Arial"/>
            <w:color w:val="0000FF"/>
            <w:u w:val="single"/>
          </w:rPr>
          <w:t>http://www.yourpensionservice.org.uk/local_government/ind</w:t>
        </w:r>
        <w:r w:rsidRPr="00CD7572">
          <w:rPr>
            <w:rFonts w:cs="Arial"/>
            <w:color w:val="0000FF"/>
            <w:u w:val="single"/>
          </w:rPr>
          <w:t>ex.asp?siteid=5921&amp;pageid=33736&amp;e=e</w:t>
        </w:r>
      </w:hyperlink>
      <w:r w:rsidRPr="00CD7572">
        <w:rPr>
          <w:highlight w:val="yellow"/>
        </w:rPr>
        <w:t xml:space="preserve"> </w:t>
      </w:r>
    </w:p>
    <w:p w:rsidR="00CD7572" w:rsidRPr="00CD7572" w:rsidRDefault="0062660D" w:rsidP="00CD7572">
      <w:pPr>
        <w:spacing w:after="0"/>
        <w:jc w:val="left"/>
        <w:outlineLvl w:val="0"/>
      </w:pPr>
      <w:r w:rsidRPr="00CD7572">
        <w:t>In addition the operation of the Fund is subject to Lancashire County Council's Code of Corporate Governance.  In 2015 the Council adopted a new code of corporate governance which is consistent with the principles of</w:t>
      </w:r>
      <w:r w:rsidRPr="00CD7572">
        <w:t xml:space="preserve"> the CIPFA/SOLACE Framework 'Delivering Good Governance in Local Government' and set out a number actions against that Code for 2015/16. It was also agreed that the Code would, going forward, be reviewed on an annual basis. </w:t>
      </w:r>
    </w:p>
    <w:p w:rsidR="00CD7572" w:rsidRPr="00CD7572" w:rsidRDefault="0062660D" w:rsidP="00CD7572">
      <w:pPr>
        <w:rPr>
          <w:highlight w:val="yellow"/>
        </w:rPr>
      </w:pPr>
    </w:p>
    <w:p w:rsidR="00CD7572" w:rsidRPr="00CD7572" w:rsidRDefault="0062660D" w:rsidP="00CD7572">
      <w:r w:rsidRPr="00CD7572">
        <w:t>This statement sets out both h</w:t>
      </w:r>
      <w:r w:rsidRPr="00CD7572">
        <w:t>ow the Pension Fund has complied with its own Governance Policy Statement and Lancashire County Council's Code of Corporate Governance and also meets the requirements of the Accounts and Audit (England) Regulations which require all relevant bodies to prep</w:t>
      </w:r>
      <w:r w:rsidRPr="00CD7572">
        <w:t>are an annual governance statement.</w:t>
      </w:r>
    </w:p>
    <w:p w:rsidR="00CD7572" w:rsidRDefault="0062660D" w:rsidP="00CD7572">
      <w:pPr>
        <w:rPr>
          <w:highlight w:val="yellow"/>
        </w:rPr>
      </w:pPr>
    </w:p>
    <w:p w:rsidR="00CD7572" w:rsidRDefault="0062660D" w:rsidP="00CD7572">
      <w:pPr>
        <w:rPr>
          <w:highlight w:val="yellow"/>
        </w:rPr>
      </w:pPr>
    </w:p>
    <w:p w:rsidR="00CD7572" w:rsidRDefault="0062660D" w:rsidP="00CD7572">
      <w:pPr>
        <w:rPr>
          <w:highlight w:val="yellow"/>
        </w:rPr>
      </w:pPr>
    </w:p>
    <w:p w:rsidR="0046339F" w:rsidRPr="00CD7572" w:rsidRDefault="0062660D" w:rsidP="00CD7572">
      <w:pPr>
        <w:rPr>
          <w:highlight w:val="yellow"/>
        </w:rPr>
      </w:pPr>
    </w:p>
    <w:p w:rsidR="00CD7572" w:rsidRPr="00CD7572" w:rsidRDefault="0062660D" w:rsidP="00CD7572">
      <w:pPr>
        <w:rPr>
          <w:b/>
        </w:rPr>
      </w:pPr>
      <w:r w:rsidRPr="00CD7572">
        <w:rPr>
          <w:b/>
        </w:rPr>
        <w:t>The Purpose of the Governance Framework</w:t>
      </w:r>
    </w:p>
    <w:p w:rsidR="00CD7572" w:rsidRPr="00CD7572" w:rsidRDefault="0062660D" w:rsidP="00CD7572">
      <w:pPr>
        <w:rPr>
          <w:highlight w:val="yellow"/>
        </w:rPr>
      </w:pPr>
      <w:r w:rsidRPr="00CD7572">
        <w:t>The governance framework comprises the systems and processes, culture and values by which the Pension Fund is directed and controlled and the activities through which it engages with and informs stakeholders, including both fund members and employers. It e</w:t>
      </w:r>
      <w:r w:rsidRPr="00CD7572">
        <w:t xml:space="preserve">nables the Fund to monitor the achievement of its strategic objectives and to consider whether those objectives have led to the delivery of appropriate and cost-effective outcomes. </w:t>
      </w:r>
    </w:p>
    <w:p w:rsidR="00CD7572" w:rsidRPr="00CD7572" w:rsidRDefault="0062660D" w:rsidP="00CD7572">
      <w:r w:rsidRPr="00CD7572">
        <w:t>The system of internal control is a significant part of that framework and</w:t>
      </w:r>
      <w:r w:rsidRPr="00CD7572">
        <w:t xml:space="preserve"> is designed to manage risk to a reasonable level. It cannot, particularly in the investment context, eliminate all risk and can therefore only provide reasonable and not absolute assurance of effectiveness. The system of internal control is based on an on</w:t>
      </w:r>
      <w:r w:rsidRPr="00CD7572">
        <w:t>going process designed to identify and prioritise risks to the achievement of the Fund's objectives, to evaluate the likelihood of those risks being realised and the impact should they be realised, and to manage them efficiently, effectively and economical</w:t>
      </w:r>
      <w:r w:rsidRPr="00CD7572">
        <w:t>ly.</w:t>
      </w:r>
    </w:p>
    <w:p w:rsidR="00CD7572" w:rsidRPr="00CD7572" w:rsidRDefault="0062660D" w:rsidP="00CD7572">
      <w:r w:rsidRPr="00CD7572">
        <w:t>This statement reports on the annual review of the governance framework by officers which confirms that the framework has been in place within the Pension Fund for the year ended 31 March 2016.</w:t>
      </w:r>
    </w:p>
    <w:p w:rsidR="00CD7572" w:rsidRPr="00CD7572" w:rsidRDefault="0062660D" w:rsidP="00CD7572">
      <w:pPr>
        <w:rPr>
          <w:highlight w:val="yellow"/>
        </w:rPr>
      </w:pPr>
    </w:p>
    <w:p w:rsidR="00CD7572" w:rsidRPr="00CD7572" w:rsidRDefault="0062660D" w:rsidP="00CD7572">
      <w:pPr>
        <w:rPr>
          <w:b/>
        </w:rPr>
      </w:pPr>
      <w:r w:rsidRPr="00CD7572">
        <w:rPr>
          <w:b/>
        </w:rPr>
        <w:t>The Fund's Governance Framework</w:t>
      </w:r>
    </w:p>
    <w:p w:rsidR="00CD7572" w:rsidRPr="00CD7572" w:rsidRDefault="0062660D" w:rsidP="00CD7572">
      <w:r w:rsidRPr="00CD7572">
        <w:t xml:space="preserve">The key elements of the </w:t>
      </w:r>
      <w:r w:rsidRPr="00CD7572">
        <w:t>systems and processes that comprise the Fund's governance framework are:</w:t>
      </w:r>
    </w:p>
    <w:p w:rsidR="00CD7572" w:rsidRPr="00CD7572" w:rsidRDefault="0062660D" w:rsidP="00CD7572">
      <w:pPr>
        <w:rPr>
          <w:highlight w:val="yellow"/>
        </w:rPr>
      </w:pPr>
    </w:p>
    <w:p w:rsidR="00CD7572" w:rsidRPr="00CD7572" w:rsidRDefault="0062660D" w:rsidP="00CD7572">
      <w:pPr>
        <w:rPr>
          <w:b/>
        </w:rPr>
      </w:pPr>
      <w:r w:rsidRPr="00CD7572">
        <w:rPr>
          <w:b/>
        </w:rPr>
        <w:t>The identification and communication of the Fund's purpose objectives and intended outcomes to Fund members and employers.</w:t>
      </w:r>
    </w:p>
    <w:p w:rsidR="00CD7572" w:rsidRPr="00CD7572" w:rsidRDefault="0062660D" w:rsidP="00CD7572">
      <w:r w:rsidRPr="00CD7572">
        <w:t>The Fund has an established planning process focussed aroun</w:t>
      </w:r>
      <w:r w:rsidRPr="00CD7572">
        <w:t xml:space="preserve">d the triennial actuarial review and the various teams providing services to the Fund produce annual service plans within the County Council's overall business planning framework. </w:t>
      </w:r>
    </w:p>
    <w:p w:rsidR="00CD7572" w:rsidRPr="00CD7572" w:rsidRDefault="0062660D" w:rsidP="00CD7572">
      <w:pPr>
        <w:rPr>
          <w:highlight w:val="yellow"/>
        </w:rPr>
      </w:pPr>
    </w:p>
    <w:p w:rsidR="00CD7572" w:rsidRPr="00CD7572" w:rsidRDefault="0062660D" w:rsidP="00CD7572">
      <w:pPr>
        <w:rPr>
          <w:b/>
        </w:rPr>
      </w:pPr>
      <w:r w:rsidRPr="00CD7572">
        <w:rPr>
          <w:b/>
        </w:rPr>
        <w:t>Review of the Fund's objectives and intended outcomes and implications for</w:t>
      </w:r>
      <w:r w:rsidRPr="00CD7572">
        <w:rPr>
          <w:b/>
        </w:rPr>
        <w:t xml:space="preserve"> the Fund's governance arrangements</w:t>
      </w:r>
    </w:p>
    <w:p w:rsidR="00CD7572" w:rsidRPr="00CD7572" w:rsidRDefault="0062660D" w:rsidP="00CD7572">
      <w:r w:rsidRPr="00CD7572">
        <w:t xml:space="preserve">Senior Managers review new and proposed legislation and the results of activities such as the triennial valuation on an ongoing basis and propose any necessary changes either to objectives and outcomes or the governance </w:t>
      </w:r>
      <w:r w:rsidRPr="00CD7572">
        <w:t xml:space="preserve">arrangements to the Pension Fund Committee. </w:t>
      </w:r>
    </w:p>
    <w:p w:rsidR="00CD7572" w:rsidRPr="00CD7572" w:rsidRDefault="0062660D" w:rsidP="00CD7572">
      <w:r w:rsidRPr="00CD7572">
        <w:t xml:space="preserve">The Pension Fund Committee meets regularly and considers the various plans and strategies developed in order to meet the strategic objectives of the Fund and to monitor progress on the delivery of the strategic </w:t>
      </w:r>
      <w:r w:rsidRPr="00CD7572">
        <w:t>objectives.</w:t>
      </w:r>
    </w:p>
    <w:p w:rsidR="00CD7572" w:rsidRPr="00CD7572" w:rsidRDefault="0062660D" w:rsidP="00CD7572">
      <w:r w:rsidRPr="00CD7572">
        <w:t>All reports considered by the Pension Fund Committee identify how the key risks involved in any proposed decision and the nature of mitigation, together with any legal or other issues that might arise.</w:t>
      </w:r>
    </w:p>
    <w:p w:rsidR="00CD7572" w:rsidRPr="00CD7572" w:rsidRDefault="0062660D" w:rsidP="00CD7572">
      <w:pPr>
        <w:rPr>
          <w:highlight w:val="yellow"/>
        </w:rPr>
      </w:pPr>
    </w:p>
    <w:p w:rsidR="00CD7572" w:rsidRPr="00CD7572" w:rsidRDefault="0062660D" w:rsidP="00CD7572">
      <w:pPr>
        <w:rPr>
          <w:b/>
        </w:rPr>
      </w:pPr>
      <w:r w:rsidRPr="00CD7572">
        <w:rPr>
          <w:b/>
        </w:rPr>
        <w:t>Measurement of the quality of services pr</w:t>
      </w:r>
      <w:r w:rsidRPr="00CD7572">
        <w:rPr>
          <w:b/>
        </w:rPr>
        <w:t>ovided to Fund members and employers, ensuring they are delivered in line with the Fund's objectives and ensuring that they represent the best use of resources and value for money.</w:t>
      </w:r>
    </w:p>
    <w:p w:rsidR="00CD7572" w:rsidRPr="00CD7572" w:rsidRDefault="0062660D" w:rsidP="00CD7572">
      <w:r w:rsidRPr="00CD7572">
        <w:t>The Pension Fund Committee has approved a strategic plan for the Fund setti</w:t>
      </w:r>
      <w:r w:rsidRPr="00CD7572">
        <w:t>ng out specific objectives in relation to the 4 dimensions of the running of a pension fund. These are reflected in the tasks included in the various team service plans for the year progress against which is measured through the County Council's overall pe</w:t>
      </w:r>
      <w:r w:rsidRPr="00CD7572">
        <w:t xml:space="preserve">rformance management framework, which includes processes for monitoring and managing both individual and team performance. </w:t>
      </w:r>
    </w:p>
    <w:p w:rsidR="00CD7572" w:rsidRPr="00CD7572" w:rsidRDefault="0062660D" w:rsidP="00CD7572">
      <w:r w:rsidRPr="00CD7572">
        <w:t xml:space="preserve">Reports on the performance of the Investment Strategy (and consequently the results achieved by the Investment Management Team) are </w:t>
      </w:r>
      <w:r w:rsidRPr="00CD7572">
        <w:t>reported to each meeting of the Pension Fund Committee. This reporting focuses not just on the performance of investments but on the scale of the Fund's liabilities. Asset allocation strategies are as efficient as possible in providing the best returns (ne</w:t>
      </w:r>
      <w:r w:rsidRPr="00CD7572">
        <w:t>t of fees) for the appropriate amount of risk and an appropriate level of fees.</w:t>
      </w:r>
    </w:p>
    <w:p w:rsidR="00CD7572" w:rsidRPr="00CD7572" w:rsidRDefault="0062660D" w:rsidP="00CD7572">
      <w:r w:rsidRPr="00CD7572">
        <w:t>A six monthly report on the performance of the administration service is presented to the Pension Fund Committee each year and made available to all Fund members and stakeholde</w:t>
      </w:r>
      <w:r w:rsidRPr="00CD7572">
        <w:t xml:space="preserve">rs. This report shows, amongst other things, performance against target for a range of industry standard process targets. </w:t>
      </w:r>
    </w:p>
    <w:p w:rsidR="00CD7572" w:rsidRPr="00CD7572" w:rsidRDefault="0062660D" w:rsidP="00CD7572">
      <w:r w:rsidRPr="00CD7572">
        <w:t>A programme of ongoing review of both procedures and processes is maintained and the cost of the administration service charged to th</w:t>
      </w:r>
      <w:r w:rsidRPr="00CD7572">
        <w:t xml:space="preserve">e Fund is maintained below the lower quartile cost of comparable authorities as published by the Department of Communities and Local Government. </w:t>
      </w:r>
    </w:p>
    <w:p w:rsidR="00CD7572" w:rsidRPr="00CD7572" w:rsidRDefault="0062660D" w:rsidP="00CD7572">
      <w:pPr>
        <w:rPr>
          <w:highlight w:val="yellow"/>
        </w:rPr>
      </w:pPr>
    </w:p>
    <w:p w:rsidR="00CD7572" w:rsidRPr="00CD7572" w:rsidRDefault="0062660D" w:rsidP="00CD7572">
      <w:pPr>
        <w:rPr>
          <w:b/>
        </w:rPr>
      </w:pPr>
      <w:r w:rsidRPr="00CD7572">
        <w:rPr>
          <w:b/>
        </w:rPr>
        <w:t>Definition and documentation of the roles and responsibilities of those involved in the management of the Fun</w:t>
      </w:r>
      <w:r w:rsidRPr="00CD7572">
        <w:rPr>
          <w:b/>
        </w:rPr>
        <w:t>d with clear delegation arrangements and protocols for communication.</w:t>
      </w:r>
    </w:p>
    <w:p w:rsidR="00CD7572" w:rsidRPr="00CD7572" w:rsidRDefault="0062660D" w:rsidP="00CD7572">
      <w:r w:rsidRPr="00CD7572">
        <w:t>Clear job descriptions exist for all staff involved in the management of the Fund and the delivery of services to Fund members and employers, and together with appropriate guidance docum</w:t>
      </w:r>
      <w:r w:rsidRPr="00CD7572">
        <w:t>ents and constitutional documents such as the Governance Policy Statement provide the basis on which the management of the Fund is undertaken within a defined framework of procedural governance. Matters reserved for the Pension Fund Committee and Senior of</w:t>
      </w:r>
      <w:r w:rsidRPr="00CD7572">
        <w:t>ficers are defined in the Governance Policy Statement and more widely (for example in relation to staffing matters) in the County Council's Constitution.</w:t>
      </w:r>
    </w:p>
    <w:p w:rsidR="00CD7572" w:rsidRPr="00CD7572" w:rsidRDefault="0062660D" w:rsidP="00CD7572">
      <w:pPr>
        <w:rPr>
          <w:highlight w:val="yellow"/>
        </w:rPr>
      </w:pPr>
    </w:p>
    <w:p w:rsidR="00CD7572" w:rsidRPr="00CD7572" w:rsidRDefault="0062660D" w:rsidP="00CD7572">
      <w:pPr>
        <w:rPr>
          <w:b/>
        </w:rPr>
      </w:pPr>
      <w:r w:rsidRPr="00CD7572">
        <w:rPr>
          <w:b/>
        </w:rPr>
        <w:t>Development communication and embedding codes of conduct, definition of the standards of behaviour fo</w:t>
      </w:r>
      <w:r w:rsidRPr="00CD7572">
        <w:rPr>
          <w:b/>
        </w:rPr>
        <w:t>r members and staff.</w:t>
      </w:r>
    </w:p>
    <w:p w:rsidR="00CD7572" w:rsidRPr="00CD7572" w:rsidRDefault="0062660D" w:rsidP="00CD7572">
      <w:r w:rsidRPr="00CD7572">
        <w:t>These matters are defined in law and the various codes of conduct and protocols contained within the County Council's constitution. Staff are reminded of the requirements of these codes on a regular basis, while specific training in re</w:t>
      </w:r>
      <w:r w:rsidRPr="00CD7572">
        <w:t xml:space="preserve">lation to matters such as declarations of interest is provided to elected members following each set of County Council elections. </w:t>
      </w:r>
    </w:p>
    <w:p w:rsidR="00CD7572" w:rsidRPr="00CD7572" w:rsidRDefault="0062660D" w:rsidP="00CD7572">
      <w:pPr>
        <w:rPr>
          <w:highlight w:val="yellow"/>
        </w:rPr>
      </w:pPr>
    </w:p>
    <w:p w:rsidR="00CD7572" w:rsidRPr="00CD7572" w:rsidRDefault="0062660D" w:rsidP="00CD7572">
      <w:pPr>
        <w:rPr>
          <w:b/>
        </w:rPr>
      </w:pPr>
      <w:r w:rsidRPr="00CD7572">
        <w:rPr>
          <w:b/>
        </w:rPr>
        <w:t>Review of the effectiveness of the Fund's decision making framework including delegation arrangements and robustness of data</w:t>
      </w:r>
      <w:r w:rsidRPr="00CD7572">
        <w:rPr>
          <w:b/>
        </w:rPr>
        <w:t>.</w:t>
      </w:r>
    </w:p>
    <w:p w:rsidR="00CD7572" w:rsidRPr="00CD7572" w:rsidRDefault="0062660D" w:rsidP="00CD7572">
      <w:r w:rsidRPr="00CD7572">
        <w:t>The interaction between the Pension Fund Committee and the Investment Panel, including levels of delegation, has been reviewed and revised to better meet the needs of the Fund in terms of effective delivery of the Investment Strategy, and this is reflect</w:t>
      </w:r>
      <w:r w:rsidRPr="00CD7572">
        <w:t xml:space="preserve">ed in specific reporting arrangements in relation to investment activity. </w:t>
      </w:r>
    </w:p>
    <w:p w:rsidR="00CD7572" w:rsidRPr="00CD7572" w:rsidRDefault="0062660D" w:rsidP="00CD7572">
      <w:r w:rsidRPr="00CD7572">
        <w:t>The development of a more liability aware investment strategy and changes in the arrangements for data collection from fund employers will increase the amount and quality of informa</w:t>
      </w:r>
      <w:r w:rsidRPr="00CD7572">
        <w:t xml:space="preserve">tion available to support decision making and therefore serve to strengthen the decision making process. </w:t>
      </w:r>
    </w:p>
    <w:p w:rsidR="00CD7572" w:rsidRPr="00CD7572" w:rsidRDefault="0062660D" w:rsidP="00CD7572">
      <w:pPr>
        <w:rPr>
          <w:highlight w:val="yellow"/>
        </w:rPr>
      </w:pPr>
    </w:p>
    <w:p w:rsidR="00CD7572" w:rsidRPr="00CD7572" w:rsidRDefault="0062660D" w:rsidP="00CD7572">
      <w:pPr>
        <w:rPr>
          <w:b/>
        </w:rPr>
      </w:pPr>
      <w:r w:rsidRPr="00CD7572">
        <w:rPr>
          <w:b/>
        </w:rPr>
        <w:t>Review and update of standing orders, standing financial instructions, a scheme of delegation and supporting procedure notes / manuals which define h</w:t>
      </w:r>
      <w:r w:rsidRPr="00CD7572">
        <w:rPr>
          <w:b/>
        </w:rPr>
        <w:t>ow decisions are taken and the processes and controls required to manage risks.</w:t>
      </w:r>
    </w:p>
    <w:p w:rsidR="00CD7572" w:rsidRPr="00CD7572" w:rsidRDefault="0062660D" w:rsidP="00CD7572">
      <w:r w:rsidRPr="00CD7572">
        <w:t>At the top level these requirements are set out in the Governance Policy Statement and within the County Council's Constitution. These are reviewed on a regular basis and are s</w:t>
      </w:r>
      <w:r w:rsidRPr="00CD7572">
        <w:t>upported by a range of detailed materials appropriate to specific activities.</w:t>
      </w:r>
    </w:p>
    <w:p w:rsidR="00CD7572" w:rsidRPr="00CD7572" w:rsidRDefault="0062660D" w:rsidP="00CD7572">
      <w:r w:rsidRPr="00CD7572">
        <w:t xml:space="preserve">The management of risk is central to the Fund's activities and efforts have been made to formalise the Fund's risk register as well as increase awareness of risk in various </w:t>
      </w:r>
      <w:r w:rsidRPr="00CD7572">
        <w:t>contexts including:</w:t>
      </w:r>
    </w:p>
    <w:p w:rsidR="00CD7572" w:rsidRPr="00CD7572" w:rsidRDefault="0062660D" w:rsidP="00CD7572">
      <w:pPr>
        <w:numPr>
          <w:ilvl w:val="0"/>
          <w:numId w:val="21"/>
        </w:numPr>
        <w:autoSpaceDE/>
        <w:autoSpaceDN/>
        <w:adjustRightInd/>
        <w:spacing w:after="200" w:line="276" w:lineRule="auto"/>
        <w:contextualSpacing/>
        <w:jc w:val="left"/>
      </w:pPr>
      <w:r w:rsidRPr="00CD7572">
        <w:t>Investment decision making</w:t>
      </w:r>
    </w:p>
    <w:p w:rsidR="00CD7572" w:rsidRPr="00CD7572" w:rsidRDefault="0062660D" w:rsidP="00CD7572">
      <w:pPr>
        <w:numPr>
          <w:ilvl w:val="0"/>
          <w:numId w:val="21"/>
        </w:numPr>
        <w:autoSpaceDE/>
        <w:autoSpaceDN/>
        <w:adjustRightInd/>
        <w:spacing w:after="200" w:line="276" w:lineRule="auto"/>
        <w:contextualSpacing/>
        <w:jc w:val="left"/>
      </w:pPr>
      <w:r w:rsidRPr="00CD7572">
        <w:t>Project Management and Delivery</w:t>
      </w:r>
    </w:p>
    <w:p w:rsidR="00CD7572" w:rsidRPr="00CD7572" w:rsidRDefault="0062660D" w:rsidP="00CD7572">
      <w:pPr>
        <w:numPr>
          <w:ilvl w:val="0"/>
          <w:numId w:val="21"/>
        </w:numPr>
        <w:autoSpaceDE/>
        <w:autoSpaceDN/>
        <w:adjustRightInd/>
        <w:spacing w:after="200" w:line="276" w:lineRule="auto"/>
        <w:contextualSpacing/>
        <w:jc w:val="left"/>
      </w:pPr>
      <w:r w:rsidRPr="00CD7572">
        <w:t>Data Quality</w:t>
      </w:r>
    </w:p>
    <w:p w:rsidR="00CD7572" w:rsidRPr="00CD7572" w:rsidRDefault="0062660D" w:rsidP="00CD7572">
      <w:pPr>
        <w:numPr>
          <w:ilvl w:val="0"/>
          <w:numId w:val="21"/>
        </w:numPr>
        <w:autoSpaceDE/>
        <w:autoSpaceDN/>
        <w:adjustRightInd/>
        <w:spacing w:after="200" w:line="276" w:lineRule="auto"/>
        <w:contextualSpacing/>
        <w:jc w:val="left"/>
        <w:rPr>
          <w:i/>
        </w:rPr>
      </w:pPr>
      <w:r w:rsidRPr="00CD7572">
        <w:t>Fund Employer Risks</w:t>
      </w:r>
    </w:p>
    <w:p w:rsidR="00CD7572" w:rsidRPr="00CD7572" w:rsidRDefault="0062660D" w:rsidP="00CD7572">
      <w:pPr>
        <w:autoSpaceDE/>
        <w:autoSpaceDN/>
        <w:adjustRightInd/>
        <w:spacing w:after="200" w:line="276" w:lineRule="auto"/>
        <w:ind w:left="720"/>
        <w:contextualSpacing/>
        <w:jc w:val="left"/>
        <w:rPr>
          <w:i/>
          <w:highlight w:val="yellow"/>
        </w:rPr>
      </w:pPr>
    </w:p>
    <w:p w:rsidR="00CD7572" w:rsidRPr="00CD7572" w:rsidRDefault="0062660D" w:rsidP="00CD7572">
      <w:pPr>
        <w:rPr>
          <w:b/>
        </w:rPr>
      </w:pPr>
      <w:r w:rsidRPr="00CD7572">
        <w:rPr>
          <w:b/>
        </w:rPr>
        <w:t>Fulfilling the core functions of an Audit Committee</w:t>
      </w:r>
    </w:p>
    <w:p w:rsidR="00CD7572" w:rsidRPr="00CD7572" w:rsidRDefault="0062660D" w:rsidP="00CD7572">
      <w:r w:rsidRPr="00CD7572">
        <w:t>In relation to the Fund this role is performed by Lancashire County Council's Audit and Gov</w:t>
      </w:r>
      <w:r w:rsidRPr="00CD7572">
        <w:t>ernance Committee, which conducts an annual review of its effectiveness in undertaking this role.</w:t>
      </w:r>
    </w:p>
    <w:p w:rsidR="00CD7572" w:rsidRPr="00CD7572" w:rsidRDefault="0062660D" w:rsidP="00CD7572">
      <w:pPr>
        <w:rPr>
          <w:highlight w:val="yellow"/>
        </w:rPr>
      </w:pPr>
    </w:p>
    <w:p w:rsidR="00CD7572" w:rsidRPr="00CD7572" w:rsidRDefault="0062660D" w:rsidP="00CD7572">
      <w:pPr>
        <w:rPr>
          <w:b/>
        </w:rPr>
      </w:pPr>
      <w:r w:rsidRPr="00CD7572">
        <w:rPr>
          <w:b/>
        </w:rPr>
        <w:t>The ensuring of compliance with relevant laws and regulations, internal policies and procedure and that expenditure is lawful</w:t>
      </w:r>
    </w:p>
    <w:p w:rsidR="00CD7572" w:rsidRPr="00CD7572" w:rsidRDefault="0062660D" w:rsidP="00CD7572">
      <w:r w:rsidRPr="00CD7572">
        <w:t xml:space="preserve">The key area of compliance from an operational point of view is with the various Local Government Pension Scheme Regulations covering both the structure and benefits payable by the Fund and the investment of funds. </w:t>
      </w:r>
    </w:p>
    <w:p w:rsidR="00CD7572" w:rsidRPr="00CD7572" w:rsidRDefault="0062660D" w:rsidP="00CD7572">
      <w:r w:rsidRPr="00CD7572">
        <w:t>Compliance with the Scheme Regulations i</w:t>
      </w:r>
      <w:r w:rsidRPr="00CD7572">
        <w:t xml:space="preserve">s ensured by a dedicated technical team and the use of a </w:t>
      </w:r>
      <w:proofErr w:type="gramStart"/>
      <w:r w:rsidRPr="00CD7572">
        <w:t>pensions</w:t>
      </w:r>
      <w:proofErr w:type="gramEnd"/>
      <w:r w:rsidRPr="00CD7572">
        <w:t xml:space="preserve"> administration system specifically designed for the LGPS. </w:t>
      </w:r>
    </w:p>
    <w:p w:rsidR="00CD7572" w:rsidRPr="00CD7572" w:rsidRDefault="0062660D" w:rsidP="00CD7572">
      <w:pPr>
        <w:rPr>
          <w:highlight w:val="yellow"/>
        </w:rPr>
      </w:pPr>
      <w:r w:rsidRPr="00CD7572">
        <w:t>The Fund's investments are managed in line with the relevant regulations with independent assurance in relation to compliance provi</w:t>
      </w:r>
      <w:r w:rsidRPr="00CD7572">
        <w:t xml:space="preserve">ded both by the Fund's custodian and an Investment Compliance Team which is managerially independently from the Investment Management Team. </w:t>
      </w:r>
    </w:p>
    <w:p w:rsidR="00CD7572" w:rsidRPr="00CD7572" w:rsidRDefault="0062660D" w:rsidP="00CD7572">
      <w:r w:rsidRPr="00CD7572">
        <w:t>The Fund and its officers must also comply with a range of other laws and regulations applicable either to local au</w:t>
      </w:r>
      <w:r w:rsidRPr="00CD7572">
        <w:t>thorities generally or to any organisation. These are managed through the specific accountabilities of individual managers or through the wider County Council's business processes with the Monitoring Officer providing advice on the impact of legislative ch</w:t>
      </w:r>
      <w:r w:rsidRPr="00CD7572">
        <w:t>anges when necessary.</w:t>
      </w:r>
    </w:p>
    <w:p w:rsidR="00CD7572" w:rsidRPr="00CD7572" w:rsidRDefault="0062660D" w:rsidP="00CD7572">
      <w:r w:rsidRPr="00CD7572">
        <w:t>The basic system of financial control mirrors that of Lancashire County Council, and is centred on principles of appropriate segregation of duties, management supervision, delegation and accountability.</w:t>
      </w:r>
    </w:p>
    <w:p w:rsidR="00CD7572" w:rsidRPr="00CD7572" w:rsidRDefault="0062660D" w:rsidP="00CD7572">
      <w:r w:rsidRPr="00CD7572">
        <w:t xml:space="preserve">Managers undertake maintenance </w:t>
      </w:r>
      <w:r w:rsidRPr="00CD7572">
        <w:t>of and input into the system, including review and reporting of actual performance against plans and budgets in the context of investments, administration and accounting.</w:t>
      </w:r>
    </w:p>
    <w:p w:rsidR="00CD7572" w:rsidRPr="00CD7572" w:rsidRDefault="0062660D" w:rsidP="00CD7572">
      <w:r w:rsidRPr="00CD7572">
        <w:t>The system of internal financial control can provide only reasonable and not absolute</w:t>
      </w:r>
      <w:r w:rsidRPr="00CD7572">
        <w:t xml:space="preserve"> assurance that assets are safeguarded, that transactions are authorised and properly recorded, and that material errors or irregularities are either prevented or would be detected in a timely manner.</w:t>
      </w:r>
    </w:p>
    <w:p w:rsidR="00CD7572" w:rsidRPr="00CD7572" w:rsidRDefault="0062660D" w:rsidP="00CD7572">
      <w:r w:rsidRPr="00CD7572">
        <w:t>The Fund participates in the National Fraud Initiative,</w:t>
      </w:r>
      <w:r w:rsidRPr="00CD7572">
        <w:t xml:space="preserve"> previously managed by the Audit Commission and actively investigates all data matches found as a result of this process. The results of this work are reported to the Pension Fund Committee. More generally Lancashire County Council's procedures for investi</w:t>
      </w:r>
      <w:r w:rsidRPr="00CD7572">
        <w:t>gating allegations of fraud and corruption apply equally to the Fund.</w:t>
      </w:r>
    </w:p>
    <w:p w:rsidR="00CD7572" w:rsidRPr="00CD7572" w:rsidRDefault="0062660D" w:rsidP="00CD7572">
      <w:pPr>
        <w:rPr>
          <w:highlight w:val="yellow"/>
        </w:rPr>
      </w:pPr>
    </w:p>
    <w:p w:rsidR="00CD7572" w:rsidRPr="00CD7572" w:rsidRDefault="0062660D" w:rsidP="00CD7572">
      <w:pPr>
        <w:rPr>
          <w:b/>
        </w:rPr>
      </w:pPr>
      <w:r w:rsidRPr="00CD7572">
        <w:rPr>
          <w:b/>
        </w:rPr>
        <w:t>Whistle blowing and receiving and investigating complaints from the public</w:t>
      </w:r>
    </w:p>
    <w:p w:rsidR="00CD7572" w:rsidRPr="00CD7572" w:rsidRDefault="0062660D" w:rsidP="00CD7572">
      <w:r w:rsidRPr="00CD7572">
        <w:t xml:space="preserve">The Fund is covered by the County Council's whistle blowing policy, the effectiveness of which is reported to </w:t>
      </w:r>
      <w:r w:rsidRPr="00CD7572">
        <w:t xml:space="preserve">the Audit and Governance Committee annually. </w:t>
      </w:r>
    </w:p>
    <w:p w:rsidR="00CD7572" w:rsidRPr="00CD7572" w:rsidRDefault="0062660D" w:rsidP="00CD7572">
      <w:r w:rsidRPr="00CD7572">
        <w:t>Complaint handling is carried out in line with either the Internal Dispute Resolution Procedure (in relation to complaints by members in relation to the level of benefit awarded) or the County Council's complai</w:t>
      </w:r>
      <w:r w:rsidRPr="00CD7572">
        <w:t>nts procedure (in relation to other matters). These policies are publicly available and the numbers and outcomes of complaints under the Internal Dispute Resolution Procedure are reported annually in the Annual Administration Report.</w:t>
      </w:r>
    </w:p>
    <w:p w:rsidR="00CD7572" w:rsidRPr="00CD7572" w:rsidRDefault="0062660D" w:rsidP="00CD7572"/>
    <w:p w:rsidR="00CD7572" w:rsidRPr="00CD7572" w:rsidRDefault="0062660D" w:rsidP="00CD7572">
      <w:pPr>
        <w:rPr>
          <w:highlight w:val="yellow"/>
        </w:rPr>
      </w:pPr>
    </w:p>
    <w:p w:rsidR="00CD7572" w:rsidRPr="00CD7572" w:rsidRDefault="0062660D" w:rsidP="00CD7572">
      <w:pPr>
        <w:rPr>
          <w:b/>
        </w:rPr>
      </w:pPr>
      <w:r w:rsidRPr="00CD7572">
        <w:rPr>
          <w:b/>
        </w:rPr>
        <w:t xml:space="preserve">Identifying the </w:t>
      </w:r>
      <w:r w:rsidRPr="00CD7572">
        <w:rPr>
          <w:b/>
        </w:rPr>
        <w:t>development needs of members and senior officers in relation to their roles and supporting them through appropriate training.</w:t>
      </w:r>
    </w:p>
    <w:p w:rsidR="00CD7572" w:rsidRPr="00CD7572" w:rsidRDefault="0062660D" w:rsidP="00CD7572">
      <w:r w:rsidRPr="00CD7572">
        <w:t>Elected members undertake training needs analysis linked to the CIPFA Knowledge and Skills Framework. This has resulted in the pro</w:t>
      </w:r>
      <w:r w:rsidRPr="00CD7572">
        <w:t>vision of access to a range of specific reading material and the provision of a programme of learning opportunities targeted at specific areas of identified need. In addition prior to major decisions coming before the Pension Fund Committee topic based tra</w:t>
      </w:r>
      <w:r w:rsidRPr="00CD7572">
        <w:t>ining relating to the decision at hand is provided. The delivery of this programme is the responsibility of the Head of Investment Compliance.</w:t>
      </w:r>
    </w:p>
    <w:p w:rsidR="00CD7572" w:rsidRPr="00CD7572" w:rsidRDefault="0062660D" w:rsidP="00CD7572">
      <w:r w:rsidRPr="00CD7572">
        <w:t>All staff are subject to an annual appraisal process which identifies specific training requirements and any know</w:t>
      </w:r>
      <w:r w:rsidRPr="00CD7572">
        <w:t xml:space="preserve">ledge gaps relevant to their role. Staff who are members of professional bodies also have ethical obligations to undertake Continuing Professional Development relevant to their role. </w:t>
      </w:r>
    </w:p>
    <w:p w:rsidR="00CD7572" w:rsidRPr="00CD7572" w:rsidRDefault="0062660D" w:rsidP="00CD7572">
      <w:pPr>
        <w:rPr>
          <w:highlight w:val="yellow"/>
        </w:rPr>
      </w:pPr>
    </w:p>
    <w:p w:rsidR="00CD7572" w:rsidRPr="00CD7572" w:rsidRDefault="0062660D" w:rsidP="00CD7572">
      <w:pPr>
        <w:rPr>
          <w:b/>
        </w:rPr>
      </w:pPr>
      <w:r w:rsidRPr="00CD7572">
        <w:rPr>
          <w:b/>
        </w:rPr>
        <w:t xml:space="preserve">Establishment of clear channels of communication with all stakeholders </w:t>
      </w:r>
      <w:r w:rsidRPr="00CD7572">
        <w:rPr>
          <w:b/>
        </w:rPr>
        <w:t>ensuring accountability and encouraging open consultation.</w:t>
      </w:r>
    </w:p>
    <w:p w:rsidR="00CD7572" w:rsidRPr="00CD7572" w:rsidRDefault="0062660D" w:rsidP="00CD7572">
      <w:r w:rsidRPr="00CD7572">
        <w:t>The Fund maintains a Communications Policy Statement as part of its policy framework which sets out the way in which the Fund will engage with specific audiences and on what issues. The key channel</w:t>
      </w:r>
      <w:r w:rsidRPr="00CD7572">
        <w:t>s of communication are:</w:t>
      </w:r>
    </w:p>
    <w:p w:rsidR="00CD7572" w:rsidRPr="00CD7572" w:rsidRDefault="0062660D" w:rsidP="00CD7572">
      <w:pPr>
        <w:numPr>
          <w:ilvl w:val="0"/>
          <w:numId w:val="22"/>
        </w:numPr>
        <w:autoSpaceDE/>
        <w:autoSpaceDN/>
        <w:adjustRightInd/>
        <w:spacing w:after="200" w:line="276" w:lineRule="auto"/>
        <w:contextualSpacing/>
        <w:jc w:val="left"/>
      </w:pPr>
      <w:r w:rsidRPr="00CD7572">
        <w:t>Newsletters for active, deferred and pensioner members;</w:t>
      </w:r>
    </w:p>
    <w:p w:rsidR="00CD7572" w:rsidRPr="00CD7572" w:rsidRDefault="0062660D" w:rsidP="00CD7572">
      <w:pPr>
        <w:numPr>
          <w:ilvl w:val="0"/>
          <w:numId w:val="22"/>
        </w:numPr>
        <w:autoSpaceDE/>
        <w:autoSpaceDN/>
        <w:adjustRightInd/>
        <w:spacing w:after="200" w:line="276" w:lineRule="auto"/>
        <w:contextualSpacing/>
        <w:jc w:val="left"/>
      </w:pPr>
      <w:r w:rsidRPr="00CD7572">
        <w:t>Campaign materials focussed around scheme changes;</w:t>
      </w:r>
    </w:p>
    <w:p w:rsidR="00CD7572" w:rsidRPr="00CD7572" w:rsidRDefault="0062660D" w:rsidP="00CD7572">
      <w:pPr>
        <w:numPr>
          <w:ilvl w:val="0"/>
          <w:numId w:val="22"/>
        </w:numPr>
        <w:autoSpaceDE/>
        <w:autoSpaceDN/>
        <w:adjustRightInd/>
        <w:spacing w:after="200" w:line="276" w:lineRule="auto"/>
        <w:contextualSpacing/>
        <w:jc w:val="left"/>
      </w:pPr>
      <w:r w:rsidRPr="00CD7572">
        <w:t>Workshops, conferences and guidance materials provided to employers</w:t>
      </w:r>
    </w:p>
    <w:p w:rsidR="00CD7572" w:rsidRPr="00CD7572" w:rsidRDefault="0062660D" w:rsidP="00CD7572">
      <w:pPr>
        <w:numPr>
          <w:ilvl w:val="0"/>
          <w:numId w:val="22"/>
        </w:numPr>
        <w:autoSpaceDE/>
        <w:autoSpaceDN/>
        <w:adjustRightInd/>
        <w:spacing w:after="200" w:line="276" w:lineRule="auto"/>
        <w:contextualSpacing/>
        <w:jc w:val="left"/>
      </w:pPr>
      <w:r w:rsidRPr="00CD7572">
        <w:t>The Fund's website, which contains an increasing transact</w:t>
      </w:r>
      <w:r w:rsidRPr="00CD7572">
        <w:t>ional capability.</w:t>
      </w:r>
    </w:p>
    <w:p w:rsidR="00CD7572" w:rsidRPr="00CD7572" w:rsidRDefault="0062660D" w:rsidP="00CD7572">
      <w:pPr>
        <w:numPr>
          <w:ilvl w:val="0"/>
          <w:numId w:val="22"/>
        </w:numPr>
        <w:autoSpaceDE/>
        <w:autoSpaceDN/>
        <w:adjustRightInd/>
        <w:spacing w:after="200" w:line="276" w:lineRule="auto"/>
        <w:contextualSpacing/>
        <w:jc w:val="left"/>
      </w:pPr>
      <w:r w:rsidRPr="00CD7572">
        <w:t>An annual "brief" for Finance Directors of employer organisations providing information on the performance of the Fund and an update on specific issues of interest, such as the triennial valuation.</w:t>
      </w:r>
    </w:p>
    <w:p w:rsidR="00CD7572" w:rsidRPr="00CD7572" w:rsidRDefault="0062660D" w:rsidP="00CD7572">
      <w:pPr>
        <w:numPr>
          <w:ilvl w:val="0"/>
          <w:numId w:val="22"/>
        </w:numPr>
        <w:autoSpaceDE/>
        <w:autoSpaceDN/>
        <w:adjustRightInd/>
        <w:spacing w:after="200" w:line="276" w:lineRule="auto"/>
        <w:contextualSpacing/>
        <w:jc w:val="left"/>
      </w:pPr>
      <w:r w:rsidRPr="00CD7572">
        <w:t>The publication of committee papers, min</w:t>
      </w:r>
      <w:r w:rsidRPr="00CD7572">
        <w:t>utes and various annual reports and policy documents on the internet.</w:t>
      </w:r>
    </w:p>
    <w:p w:rsidR="00CD7572" w:rsidRPr="00CD7572" w:rsidRDefault="0062660D" w:rsidP="00CD7572">
      <w:pPr>
        <w:rPr>
          <w:b/>
          <w:highlight w:val="yellow"/>
        </w:rPr>
      </w:pPr>
    </w:p>
    <w:p w:rsidR="00CD7572" w:rsidRPr="00CD7572" w:rsidRDefault="0062660D" w:rsidP="00CD7572">
      <w:pPr>
        <w:rPr>
          <w:b/>
        </w:rPr>
      </w:pPr>
      <w:r w:rsidRPr="00CD7572">
        <w:rPr>
          <w:b/>
        </w:rPr>
        <w:t>The Incorporation of good governance arrangements in respect of partnerships and other group working and reflecting these in the Fund's overall governance arrangements.</w:t>
      </w:r>
    </w:p>
    <w:p w:rsidR="00CD7572" w:rsidRPr="00CD7572" w:rsidRDefault="0062660D" w:rsidP="00CD7572">
      <w:r w:rsidRPr="00CD7572">
        <w:t>The Fund is boun</w:t>
      </w:r>
      <w:r w:rsidRPr="00CD7572">
        <w:t>d by Lancashire County Council's partnership protocol, which highlights the need for such arrangements to reflect good practice in terms of governance. The Fund itself has a limited number of "partnerships", which are largely in the form of jointly procure</w:t>
      </w:r>
      <w:r w:rsidRPr="00CD7572">
        <w:t>d contracts for the provision of services for which suitable governance arrangements are in place. However, for all arrangements where there is a relationship between the Fund and another organisation the Fund seeks to spell out clearly the expectations an</w:t>
      </w:r>
      <w:r w:rsidRPr="00CD7572">
        <w:t xml:space="preserve">d requirements on each party, whether in contractual form where appropriate or through a form of "service level agreement" where a contract is not appropriate. </w:t>
      </w:r>
    </w:p>
    <w:p w:rsidR="00CD7572" w:rsidRPr="00CD7572" w:rsidRDefault="0062660D" w:rsidP="00CD7572">
      <w:pPr>
        <w:jc w:val="left"/>
      </w:pPr>
      <w:r w:rsidRPr="00CD7572">
        <w:t>The Fund seeks to comply with the principles set out in CIPFA's Statement "The Role of the Chie</w:t>
      </w:r>
      <w:r w:rsidRPr="00CD7572">
        <w:t>f Finance Officer in Local Government", and the arrangements within Lancashire County Council comply with the principles of this statement. The Fund, however, is not a local authority in its own right and therefore the applicability of some elements of the</w:t>
      </w:r>
      <w:r w:rsidRPr="00CD7572">
        <w:t xml:space="preserve"> statement within the context of the Fund is limited. Following a restructure of the County Council's management the responsibility for fulfilling the County Council's functions as administering authority have passed to the Director of the Lancashire Count</w:t>
      </w:r>
      <w:r w:rsidRPr="00CD7572">
        <w:t>y Pension Fund. These functions were transferred to the interim Head of Fund on 24 March 2016.  This was as a result of establishing the Local Pensions Partnership and the Director of the Fund transferring into this new arrangement.</w:t>
      </w:r>
    </w:p>
    <w:p w:rsidR="00CD7572" w:rsidRPr="00CD7572" w:rsidRDefault="0062660D" w:rsidP="00CD7572"/>
    <w:p w:rsidR="00CD7572" w:rsidRPr="00CD7572" w:rsidRDefault="0062660D" w:rsidP="00CD7572">
      <w:r w:rsidRPr="00CD7572">
        <w:t>The Fund seeks to comp</w:t>
      </w:r>
      <w:r w:rsidRPr="00CD7572">
        <w:t xml:space="preserve">ly with the requirements of CIPFA's Knowledge and Skills Framework.  Training is ongoing and will continue to be focussed on the needs identified through an analysis of training needs. </w:t>
      </w:r>
    </w:p>
    <w:p w:rsidR="00CD7572" w:rsidRPr="00CD7572" w:rsidRDefault="0062660D" w:rsidP="00CD7572">
      <w:r w:rsidRPr="00CD7572">
        <w:t>The Fund has, in line with the relevant LGPS regulations taken steps t</w:t>
      </w:r>
      <w:r w:rsidRPr="00CD7572">
        <w:t>o separate its banking arrangements from those of the County Council and these have been reviewed by both internal and external auditors and been seen to be satisfactory. The Fund is also continuing to develop the way in which it uses its accounting system</w:t>
      </w:r>
      <w:r w:rsidRPr="00CD7572">
        <w:t xml:space="preserve"> in order to gain greater efficiency in back office operations and make tasks such as accounts preparation easier.</w:t>
      </w:r>
    </w:p>
    <w:p w:rsidR="00CD7572" w:rsidRPr="00CD7572" w:rsidRDefault="0062660D" w:rsidP="00CD7572">
      <w:pPr>
        <w:rPr>
          <w:highlight w:val="yellow"/>
        </w:rPr>
      </w:pPr>
    </w:p>
    <w:p w:rsidR="00CD7572" w:rsidRPr="00CD7572" w:rsidRDefault="0062660D" w:rsidP="00CD7572">
      <w:pPr>
        <w:rPr>
          <w:b/>
        </w:rPr>
      </w:pPr>
      <w:r w:rsidRPr="00CD7572">
        <w:rPr>
          <w:b/>
        </w:rPr>
        <w:t>Review of Effectiveness</w:t>
      </w:r>
    </w:p>
    <w:p w:rsidR="00CD7572" w:rsidRPr="00CD7572" w:rsidRDefault="0062660D" w:rsidP="00CD7572">
      <w:r w:rsidRPr="00CD7572">
        <w:t>The Pension Fund Committee is responsible for conducting, at least annually, a review of the effectiveness of its go</w:t>
      </w:r>
      <w:r w:rsidRPr="00CD7572">
        <w:t>vernance framework, including the system of internal control. The review of effectiveness is informed by the work of the senior managers responsible for the delivery of the Fund's various activities, who have a responsibility for the maintenance and develo</w:t>
      </w:r>
      <w:r w:rsidRPr="00CD7572">
        <w:t>pment of the governance environment, the Chief Internal Auditor's annual report, and also reports of the external auditor and other review agencies such as the Pensions' Regulator and Pensions' Ombudsman.</w:t>
      </w:r>
    </w:p>
    <w:p w:rsidR="00CD7572" w:rsidRPr="00CD7572" w:rsidRDefault="0062660D" w:rsidP="00CD7572">
      <w:pPr>
        <w:jc w:val="left"/>
      </w:pPr>
      <w:r w:rsidRPr="00CD7572">
        <w:t>The key planned activities of the Fund during 2015/</w:t>
      </w:r>
      <w:r w:rsidRPr="00CD7572">
        <w:t>16 were:</w:t>
      </w:r>
    </w:p>
    <w:p w:rsidR="00CD7572" w:rsidRPr="00CD7572" w:rsidRDefault="0062660D" w:rsidP="00CD7572">
      <w:pPr>
        <w:numPr>
          <w:ilvl w:val="0"/>
          <w:numId w:val="26"/>
        </w:numPr>
        <w:autoSpaceDE/>
        <w:autoSpaceDN/>
        <w:adjustRightInd/>
        <w:spacing w:after="200" w:line="276" w:lineRule="auto"/>
        <w:contextualSpacing/>
        <w:jc w:val="left"/>
      </w:pPr>
      <w:r w:rsidRPr="00CD7572">
        <w:t>A decision on whether to proceed with the development of a formalised collaborative arrangement with the London Pensions Fund Authority that could require fundamental changes to the Fund's Governance arrangements.</w:t>
      </w:r>
    </w:p>
    <w:p w:rsidR="00CD7572" w:rsidRPr="00CD7572" w:rsidRDefault="0062660D" w:rsidP="00CD7572">
      <w:pPr>
        <w:numPr>
          <w:ilvl w:val="0"/>
          <w:numId w:val="26"/>
        </w:numPr>
        <w:autoSpaceDE/>
        <w:autoSpaceDN/>
        <w:adjustRightInd/>
        <w:spacing w:after="200" w:line="276" w:lineRule="auto"/>
        <w:contextualSpacing/>
        <w:jc w:val="left"/>
      </w:pPr>
      <w:r w:rsidRPr="00CD7572">
        <w:t>A review of the Fund's governance</w:t>
      </w:r>
      <w:r w:rsidRPr="00CD7572">
        <w:t xml:space="preserve"> arrangements in the light of both the proposed formal collaboration and the creation of the new Local Pension Board.</w:t>
      </w:r>
    </w:p>
    <w:p w:rsidR="00CD7572" w:rsidRPr="00CD7572" w:rsidRDefault="0062660D" w:rsidP="00CD7572">
      <w:pPr>
        <w:numPr>
          <w:ilvl w:val="0"/>
          <w:numId w:val="26"/>
        </w:numPr>
        <w:autoSpaceDE/>
        <w:autoSpaceDN/>
        <w:adjustRightInd/>
        <w:spacing w:after="200" w:line="276" w:lineRule="auto"/>
        <w:contextualSpacing/>
        <w:jc w:val="left"/>
      </w:pPr>
      <w:r w:rsidRPr="00CD7572">
        <w:t>The further review of the Fund's policies and discretions in the light of LGPS 2014.</w:t>
      </w:r>
    </w:p>
    <w:p w:rsidR="00CD7572" w:rsidRPr="00CD7572" w:rsidRDefault="0062660D" w:rsidP="00CD7572">
      <w:pPr>
        <w:numPr>
          <w:ilvl w:val="0"/>
          <w:numId w:val="26"/>
        </w:numPr>
        <w:autoSpaceDE/>
        <w:autoSpaceDN/>
        <w:adjustRightInd/>
        <w:spacing w:after="200" w:line="276" w:lineRule="auto"/>
        <w:contextualSpacing/>
        <w:jc w:val="left"/>
      </w:pPr>
      <w:r w:rsidRPr="00CD7572">
        <w:t>The development of new routes for engagement with bot</w:t>
      </w:r>
      <w:r w:rsidRPr="00CD7572">
        <w:t>h fund employers and fund members across a wider range of issues.</w:t>
      </w:r>
    </w:p>
    <w:p w:rsidR="00CD7572" w:rsidRPr="00CD7572" w:rsidRDefault="0062660D" w:rsidP="00CD7572">
      <w:pPr>
        <w:numPr>
          <w:ilvl w:val="0"/>
          <w:numId w:val="26"/>
        </w:numPr>
        <w:autoSpaceDE/>
        <w:autoSpaceDN/>
        <w:adjustRightInd/>
        <w:spacing w:after="200" w:line="276" w:lineRule="auto"/>
        <w:contextualSpacing/>
        <w:jc w:val="left"/>
      </w:pPr>
      <w:r w:rsidRPr="00CD7572">
        <w:t>The formalisation of employer risk assessment activity within the Fund's overall governance arrangements.</w:t>
      </w:r>
    </w:p>
    <w:p w:rsidR="00CD7572" w:rsidRPr="00CD7572" w:rsidRDefault="0062660D" w:rsidP="00CD7572"/>
    <w:p w:rsidR="00CD7572" w:rsidRPr="00CD7572" w:rsidRDefault="0062660D" w:rsidP="00CD7572">
      <w:r w:rsidRPr="00CD7572">
        <w:t>The Committee has overseen each of these processes and has continued the Governance</w:t>
      </w:r>
      <w:r w:rsidRPr="00CD7572">
        <w:t xml:space="preserve"> arrangements of its predecessor which delegate executive authority to officers in appropriate circumstances with effective accountability and scrutiny arrangements. This process has embedded the arrangements agreed by the previous Pension Fund Committee w</w:t>
      </w:r>
      <w:r w:rsidRPr="00CD7572">
        <w:t>hich are set out in the Governance Policy Statement. In particular the Committee has reviewed and approved the arrangements for the pooling of assets and sharing of services with the London Pensions Fund Authority.</w:t>
      </w:r>
    </w:p>
    <w:p w:rsidR="00CD7572" w:rsidRPr="00CD7572" w:rsidRDefault="0062660D" w:rsidP="00CD7572">
      <w:r w:rsidRPr="00CD7572">
        <w:t>The Investment Panel ensures that appropr</w:t>
      </w:r>
      <w:r w:rsidRPr="00CD7572">
        <w:t>iate due diligence is undertaken on new investments and ensures that they comply with the LGPS Investment Regulations. The Panel is chaired by the Treasurer and includes the Fund's two Independent Investment Advisers. The Panel continues to operate under d</w:t>
      </w:r>
      <w:r w:rsidRPr="00CD7572">
        <w:t>elegated authority from the Pension Fund Committee.</w:t>
      </w:r>
    </w:p>
    <w:p w:rsidR="00CD7572" w:rsidRPr="00CD7572" w:rsidRDefault="0062660D" w:rsidP="00CD7572">
      <w:r w:rsidRPr="00CD7572">
        <w:t xml:space="preserve">Lancashire County Council's Democratic Services Team is responsible for supporting the Committee and its chair in managing Committee, Sub Committee and Investment Panel meetings. The Director of Finance, </w:t>
      </w:r>
      <w:r w:rsidRPr="00CD7572">
        <w:t>Governance and Public Services as the County Council's Monitoring Officer carries the same responsibilities in relation to the Fund.</w:t>
      </w:r>
    </w:p>
    <w:p w:rsidR="00CD7572" w:rsidRPr="00CD7572" w:rsidRDefault="0062660D" w:rsidP="00CD7572">
      <w:pPr>
        <w:jc w:val="left"/>
      </w:pPr>
      <w:r w:rsidRPr="00CD7572">
        <w:t>The Fund's Internal Audit Service is provided by the County Council's Internal Audit Service and the Head of Internal Audit</w:t>
      </w:r>
      <w:r w:rsidRPr="00CD7572">
        <w:t xml:space="preserve"> who is managerially accountable to the Director of Legal and Democratic Services. The Head of Internal Audit provides both a separate annual audit plan and annual report to the Pension Fund Committee, which are subject to approval by the Committee. The wo</w:t>
      </w:r>
      <w:r w:rsidRPr="00CD7572">
        <w:t>rk of Internal Audit is carried out:</w:t>
      </w:r>
    </w:p>
    <w:p w:rsidR="00CD7572" w:rsidRPr="00CD7572" w:rsidRDefault="0062660D" w:rsidP="00CD7572">
      <w:pPr>
        <w:numPr>
          <w:ilvl w:val="0"/>
          <w:numId w:val="24"/>
        </w:numPr>
        <w:autoSpaceDE/>
        <w:autoSpaceDN/>
        <w:adjustRightInd/>
        <w:spacing w:after="200" w:line="276" w:lineRule="auto"/>
        <w:contextualSpacing/>
        <w:jc w:val="left"/>
      </w:pPr>
      <w:r w:rsidRPr="00CD7572">
        <w:t>In accordance with the standards set out in relevant professional guidance promulgated by CIPFA and the Institute of Internal Auditors and the requirements of International Public Sector Auditing Standards.</w:t>
      </w:r>
    </w:p>
    <w:p w:rsidR="00CD7572" w:rsidRPr="00CD7572" w:rsidRDefault="0062660D" w:rsidP="00CD7572">
      <w:pPr>
        <w:ind w:left="720"/>
        <w:contextualSpacing/>
      </w:pPr>
    </w:p>
    <w:p w:rsidR="00CD7572" w:rsidRPr="00CD7572" w:rsidRDefault="0062660D" w:rsidP="00CD7572">
      <w:pPr>
        <w:numPr>
          <w:ilvl w:val="0"/>
          <w:numId w:val="24"/>
        </w:numPr>
        <w:autoSpaceDE/>
        <w:autoSpaceDN/>
        <w:adjustRightInd/>
        <w:spacing w:after="200" w:line="276" w:lineRule="auto"/>
        <w:contextualSpacing/>
        <w:jc w:val="left"/>
      </w:pPr>
      <w:r w:rsidRPr="00CD7572">
        <w:t>Informed by</w:t>
      </w:r>
      <w:r w:rsidRPr="00CD7572">
        <w:t xml:space="preserve"> an analysis of the risks to which the Fund is exposed. The Internal audit plan is developed with and agreed by the Chief Internal Auditor and the various senior managers responsible for aspects of the Fund's operations.</w:t>
      </w:r>
    </w:p>
    <w:p w:rsidR="00CD7572" w:rsidRPr="00CD7572" w:rsidRDefault="0062660D" w:rsidP="00CD7572">
      <w:pPr>
        <w:ind w:left="720"/>
        <w:contextualSpacing/>
        <w:rPr>
          <w:highlight w:val="yellow"/>
        </w:rPr>
      </w:pPr>
    </w:p>
    <w:p w:rsidR="00CD7572" w:rsidRPr="00CD7572" w:rsidRDefault="0062660D" w:rsidP="00CD7572">
      <w:pPr>
        <w:numPr>
          <w:ilvl w:val="0"/>
          <w:numId w:val="24"/>
        </w:numPr>
        <w:autoSpaceDE/>
        <w:autoSpaceDN/>
        <w:adjustRightInd/>
        <w:spacing w:after="200" w:line="276" w:lineRule="auto"/>
        <w:contextualSpacing/>
        <w:jc w:val="left"/>
      </w:pPr>
      <w:r w:rsidRPr="00CD7572">
        <w:t>During the year the Head of Intern</w:t>
      </w:r>
      <w:r w:rsidRPr="00CD7572">
        <w:t>al audit's reports include Internal Audit's opinion on the adequacy and effectiveness of the Fund's system of control.</w:t>
      </w:r>
    </w:p>
    <w:p w:rsidR="00CD7572" w:rsidRPr="00CD7572" w:rsidRDefault="0062660D" w:rsidP="00CD7572">
      <w:pPr>
        <w:ind w:left="720"/>
        <w:contextualSpacing/>
        <w:rPr>
          <w:highlight w:val="yellow"/>
        </w:rPr>
      </w:pPr>
    </w:p>
    <w:p w:rsidR="00CD7572" w:rsidRPr="00CD7572" w:rsidRDefault="0062660D" w:rsidP="00CD7572">
      <w:pPr>
        <w:jc w:val="left"/>
      </w:pPr>
      <w:r w:rsidRPr="00CD7572">
        <w:t>The Head of Internal Audit's Annual Report for 2015/16 indicates that she is able to provide substantial assurance over the controls ope</w:t>
      </w:r>
      <w:r w:rsidRPr="00CD7572">
        <w:t>rated by the Fund.</w:t>
      </w:r>
    </w:p>
    <w:p w:rsidR="00CD7572" w:rsidRPr="00CD7572" w:rsidRDefault="0062660D" w:rsidP="00CD7572">
      <w:pPr>
        <w:jc w:val="left"/>
      </w:pPr>
      <w:r w:rsidRPr="00CD7572">
        <w:t>External audit of the Fund is provided by Grant Thornton who were appointed by the Audit Commission as a consequence of being appointed as auditor for Lancashire County Council.</w:t>
      </w:r>
    </w:p>
    <w:p w:rsidR="00CD7572" w:rsidRPr="00CD7572" w:rsidRDefault="0062660D" w:rsidP="00CD7572">
      <w:pPr>
        <w:numPr>
          <w:ilvl w:val="0"/>
          <w:numId w:val="25"/>
        </w:numPr>
        <w:autoSpaceDE/>
        <w:autoSpaceDN/>
        <w:adjustRightInd/>
        <w:spacing w:after="200" w:line="276" w:lineRule="auto"/>
        <w:contextualSpacing/>
        <w:jc w:val="left"/>
      </w:pPr>
      <w:r w:rsidRPr="00CD7572">
        <w:t>The work is performed to comply with international auditing</w:t>
      </w:r>
      <w:r w:rsidRPr="00CD7572">
        <w:t xml:space="preserve"> standards.</w:t>
      </w:r>
    </w:p>
    <w:p w:rsidR="00CD7572" w:rsidRPr="00CD7572" w:rsidRDefault="0062660D" w:rsidP="00CD7572">
      <w:pPr>
        <w:ind w:left="720"/>
        <w:contextualSpacing/>
        <w:jc w:val="left"/>
      </w:pPr>
    </w:p>
    <w:p w:rsidR="00CD7572" w:rsidRPr="00CD7572" w:rsidRDefault="0062660D" w:rsidP="00CD7572">
      <w:pPr>
        <w:numPr>
          <w:ilvl w:val="0"/>
          <w:numId w:val="25"/>
        </w:numPr>
        <w:autoSpaceDE/>
        <w:autoSpaceDN/>
        <w:adjustRightInd/>
        <w:spacing w:after="200" w:line="276" w:lineRule="auto"/>
        <w:contextualSpacing/>
        <w:jc w:val="left"/>
      </w:pPr>
      <w:r w:rsidRPr="00CD7572">
        <w:t xml:space="preserve">The auditors take a risk based approach to audit planning as set out in the Code of Audit Practice. Grant Thornton will report on the audit of the Fund's financial statements. </w:t>
      </w:r>
    </w:p>
    <w:p w:rsidR="00CD7572" w:rsidRPr="00CD7572" w:rsidRDefault="0062660D" w:rsidP="00CD7572">
      <w:pPr>
        <w:ind w:left="720"/>
        <w:contextualSpacing/>
        <w:jc w:val="left"/>
      </w:pPr>
    </w:p>
    <w:p w:rsidR="00CD7572" w:rsidRPr="00CD7572" w:rsidRDefault="0062660D" w:rsidP="00CD7572">
      <w:pPr>
        <w:numPr>
          <w:ilvl w:val="0"/>
          <w:numId w:val="25"/>
        </w:numPr>
        <w:autoSpaceDE/>
        <w:autoSpaceDN/>
        <w:adjustRightInd/>
        <w:spacing w:after="200" w:line="276" w:lineRule="auto"/>
        <w:contextualSpacing/>
        <w:jc w:val="left"/>
      </w:pPr>
      <w:r w:rsidRPr="00CD7572">
        <w:t>The audit will include a review of the system of internal control</w:t>
      </w:r>
      <w:r w:rsidRPr="00CD7572">
        <w:t xml:space="preserve"> and the Annual Governance Statement within the context of the conduct of those reviews relating to the County Council.</w:t>
      </w:r>
    </w:p>
    <w:p w:rsidR="00CD7572" w:rsidRPr="00CD7572" w:rsidRDefault="0062660D" w:rsidP="00CD7572">
      <w:pPr>
        <w:ind w:left="720"/>
        <w:contextualSpacing/>
        <w:jc w:val="left"/>
      </w:pPr>
    </w:p>
    <w:p w:rsidR="00CD7572" w:rsidRPr="00CD7572" w:rsidRDefault="0062660D" w:rsidP="00CD7572">
      <w:pPr>
        <w:numPr>
          <w:ilvl w:val="0"/>
          <w:numId w:val="25"/>
        </w:numPr>
        <w:autoSpaceDE/>
        <w:autoSpaceDN/>
        <w:adjustRightInd/>
        <w:spacing w:after="200" w:line="276" w:lineRule="auto"/>
        <w:contextualSpacing/>
        <w:jc w:val="left"/>
      </w:pPr>
      <w:r w:rsidRPr="00CD7572">
        <w:t>Grant Thornton were appointed for five years following a procurement process managed by the Audit Commission.</w:t>
      </w:r>
    </w:p>
    <w:p w:rsidR="00CD7572" w:rsidRPr="00CD7572" w:rsidRDefault="0062660D" w:rsidP="00CD7572">
      <w:pPr>
        <w:ind w:left="720"/>
        <w:contextualSpacing/>
        <w:rPr>
          <w:highlight w:val="yellow"/>
        </w:rPr>
      </w:pPr>
    </w:p>
    <w:p w:rsidR="00CD7572" w:rsidRPr="00CD7572" w:rsidRDefault="0062660D" w:rsidP="00CD7572">
      <w:pPr>
        <w:rPr>
          <w:b/>
        </w:rPr>
      </w:pPr>
      <w:r w:rsidRPr="00CD7572">
        <w:rPr>
          <w:b/>
        </w:rPr>
        <w:t>Actions Planned for 2016</w:t>
      </w:r>
      <w:r w:rsidRPr="00CD7572">
        <w:rPr>
          <w:b/>
        </w:rPr>
        <w:t>/17</w:t>
      </w:r>
    </w:p>
    <w:p w:rsidR="00CD7572" w:rsidRPr="00CD7572" w:rsidRDefault="0062660D" w:rsidP="00CD7572">
      <w:pPr>
        <w:jc w:val="left"/>
      </w:pPr>
      <w:r w:rsidRPr="00CD7572">
        <w:t>The following specific actions are proposed for completion during 2016/17.</w:t>
      </w:r>
    </w:p>
    <w:p w:rsidR="00CD7572" w:rsidRPr="00CD7572" w:rsidRDefault="0062660D" w:rsidP="00CD7572">
      <w:pPr>
        <w:numPr>
          <w:ilvl w:val="0"/>
          <w:numId w:val="26"/>
        </w:numPr>
        <w:autoSpaceDE/>
        <w:autoSpaceDN/>
        <w:adjustRightInd/>
        <w:spacing w:after="200" w:line="276" w:lineRule="auto"/>
        <w:contextualSpacing/>
        <w:jc w:val="left"/>
      </w:pPr>
      <w:r w:rsidRPr="00CD7572">
        <w:t>Working with the Fund's Actuary and engaging with the employer's throughout the valuation process to ensure that risks to the longer term sustainability of the fund and costs to</w:t>
      </w:r>
      <w:r w:rsidRPr="00CD7572">
        <w:t xml:space="preserve"> employers are dealt with in a balanced and transparent manner.</w:t>
      </w:r>
    </w:p>
    <w:p w:rsidR="00CD7572" w:rsidRPr="00CD7572" w:rsidRDefault="0062660D" w:rsidP="00CD7572">
      <w:pPr>
        <w:numPr>
          <w:ilvl w:val="0"/>
          <w:numId w:val="26"/>
        </w:numPr>
        <w:autoSpaceDE/>
        <w:autoSpaceDN/>
        <w:adjustRightInd/>
        <w:spacing w:after="200" w:line="276" w:lineRule="auto"/>
        <w:contextualSpacing/>
        <w:jc w:val="left"/>
      </w:pPr>
      <w:r w:rsidRPr="00CD7572">
        <w:t>Finalise a review of the investment strategy, and in particular the Strategic Asset Allocation for the fund based on the actuarial valuation.</w:t>
      </w:r>
    </w:p>
    <w:p w:rsidR="00CD7572" w:rsidRPr="00CD7572" w:rsidRDefault="0062660D" w:rsidP="00CD7572">
      <w:pPr>
        <w:numPr>
          <w:ilvl w:val="0"/>
          <w:numId w:val="26"/>
        </w:numPr>
        <w:autoSpaceDE/>
        <w:autoSpaceDN/>
        <w:adjustRightInd/>
        <w:spacing w:after="200" w:line="276" w:lineRule="auto"/>
        <w:contextualSpacing/>
        <w:jc w:val="left"/>
      </w:pPr>
      <w:r w:rsidRPr="00CD7572">
        <w:t>A further review of the Fund's governance arrangem</w:t>
      </w:r>
      <w:r w:rsidRPr="00CD7572">
        <w:t xml:space="preserve">ents as the relationship with Local Pensions Partnership (LPP) becomes more established. </w:t>
      </w:r>
    </w:p>
    <w:p w:rsidR="00CD7572" w:rsidRPr="00CD7572" w:rsidRDefault="0062660D" w:rsidP="00CD7572">
      <w:pPr>
        <w:numPr>
          <w:ilvl w:val="0"/>
          <w:numId w:val="26"/>
        </w:numPr>
        <w:autoSpaceDE/>
        <w:autoSpaceDN/>
        <w:adjustRightInd/>
        <w:spacing w:after="200" w:line="276" w:lineRule="auto"/>
        <w:contextualSpacing/>
        <w:jc w:val="left"/>
      </w:pPr>
      <w:r w:rsidRPr="00CD7572">
        <w:t>A review of the effectiveness of the Local Pensions Board.</w:t>
      </w:r>
    </w:p>
    <w:p w:rsidR="00CD7572" w:rsidRPr="00CD7572" w:rsidRDefault="0062660D" w:rsidP="00CD7572">
      <w:pPr>
        <w:numPr>
          <w:ilvl w:val="0"/>
          <w:numId w:val="26"/>
        </w:numPr>
        <w:autoSpaceDE/>
        <w:autoSpaceDN/>
        <w:adjustRightInd/>
        <w:spacing w:after="200" w:line="276" w:lineRule="auto"/>
        <w:contextualSpacing/>
        <w:jc w:val="left"/>
      </w:pPr>
      <w:r w:rsidRPr="00CD7572">
        <w:t>Preparing for the injection of new committee members following the 2017 elections by designing an induction</w:t>
      </w:r>
      <w:r w:rsidRPr="00CD7572">
        <w:t xml:space="preserve"> and training program.</w:t>
      </w:r>
    </w:p>
    <w:p w:rsidR="00CD7572" w:rsidRPr="00CD7572" w:rsidRDefault="0062660D" w:rsidP="00CD7572">
      <w:pPr>
        <w:autoSpaceDE/>
        <w:autoSpaceDN/>
        <w:adjustRightInd/>
        <w:spacing w:after="200" w:line="276" w:lineRule="auto"/>
        <w:ind w:left="720"/>
        <w:contextualSpacing/>
        <w:jc w:val="left"/>
        <w:rPr>
          <w:highlight w:val="yellow"/>
        </w:rPr>
      </w:pPr>
    </w:p>
    <w:p w:rsidR="00CD7572" w:rsidRPr="00CD7572" w:rsidRDefault="0062660D" w:rsidP="00CD7572"/>
    <w:p w:rsidR="00CD7572" w:rsidRPr="00CD7572" w:rsidRDefault="0062660D" w:rsidP="00CD7572">
      <w:r w:rsidRPr="00CD7572">
        <w:t>County Councillor Kevin Ellard</w:t>
      </w:r>
      <w:r w:rsidRPr="00CD7572">
        <w:tab/>
      </w:r>
      <w:r w:rsidRPr="00CD7572">
        <w:tab/>
      </w:r>
      <w:r w:rsidRPr="00CD7572">
        <w:tab/>
        <w:t>Abigail Leech</w:t>
      </w:r>
    </w:p>
    <w:p w:rsidR="00CD7572" w:rsidRPr="00CD7572" w:rsidRDefault="0062660D" w:rsidP="00CD7572">
      <w:r w:rsidRPr="00CD7572">
        <w:t>Chair of the Pension Fund Committee</w:t>
      </w:r>
      <w:r w:rsidRPr="00CD7572">
        <w:tab/>
      </w:r>
      <w:r w:rsidRPr="00CD7572">
        <w:tab/>
        <w:t>Head of Fund</w:t>
      </w:r>
    </w:p>
    <w:p w:rsidR="00CD7572" w:rsidRPr="00CD7572" w:rsidRDefault="0062660D" w:rsidP="00CD7572">
      <w:pPr>
        <w:rPr>
          <w:b/>
        </w:rPr>
      </w:pPr>
      <w:r w:rsidRPr="00CD7572">
        <w:tab/>
      </w:r>
      <w:r w:rsidRPr="00CD7572">
        <w:tab/>
      </w:r>
      <w:r w:rsidRPr="00CD7572">
        <w:tab/>
      </w:r>
      <w:r w:rsidRPr="00CD7572">
        <w:tab/>
      </w:r>
      <w:r w:rsidRPr="00CD7572">
        <w:tab/>
      </w:r>
      <w:r w:rsidRPr="00CD7572">
        <w:tab/>
      </w:r>
      <w:r w:rsidRPr="00CD7572">
        <w:tab/>
        <w:t>Lancashire County Pension Fund</w:t>
      </w:r>
      <w:r w:rsidRPr="00CD7572">
        <w:rPr>
          <w:b/>
        </w:rPr>
        <w:br w:type="page"/>
      </w:r>
    </w:p>
    <w:p w:rsidR="00CD7572" w:rsidRPr="00CD7572" w:rsidRDefault="0062660D" w:rsidP="00CD7572">
      <w:pPr>
        <w:keepNext/>
        <w:spacing w:before="120"/>
        <w:outlineLvl w:val="0"/>
        <w:rPr>
          <w:rFonts w:eastAsia="Cambria" w:cs="Arial"/>
          <w:b/>
          <w:bCs/>
          <w:color w:val="auto"/>
          <w:sz w:val="40"/>
          <w:szCs w:val="28"/>
          <w:lang w:eastAsia="en-GB"/>
        </w:rPr>
      </w:pPr>
      <w:r w:rsidRPr="00CD7572">
        <w:rPr>
          <w:rFonts w:eastAsia="Times New Roman"/>
          <w:b/>
          <w:bCs/>
          <w:color w:val="auto"/>
          <w:sz w:val="28"/>
          <w:szCs w:val="28"/>
          <w:lang w:eastAsia="en-GB"/>
        </w:rPr>
        <w:t>Independent auditor’s statement to the members of Lancashire County Council on the Pension Fund</w:t>
      </w:r>
      <w:r w:rsidRPr="00CD7572">
        <w:rPr>
          <w:rFonts w:eastAsia="Times New Roman"/>
          <w:b/>
          <w:bCs/>
          <w:color w:val="auto"/>
          <w:sz w:val="28"/>
          <w:szCs w:val="28"/>
          <w:lang w:eastAsia="en-GB"/>
        </w:rPr>
        <w:t xml:space="preserve"> financial statements included in the Pension Fund annual report.</w:t>
      </w:r>
    </w:p>
    <w:p w:rsidR="00CD7572" w:rsidRPr="00CD7572" w:rsidRDefault="0062660D" w:rsidP="00CD7572">
      <w:pPr>
        <w:jc w:val="center"/>
      </w:pPr>
      <w:r w:rsidRPr="00CD7572">
        <w:br w:type="page"/>
      </w:r>
    </w:p>
    <w:p w:rsidR="00CD7572" w:rsidRPr="00CD7572" w:rsidRDefault="0062660D" w:rsidP="00CD7572">
      <w:pPr>
        <w:jc w:val="center"/>
        <w:rPr>
          <w:rFonts w:cs="Arial"/>
          <w:b/>
          <w:bCs/>
          <w:sz w:val="40"/>
          <w:szCs w:val="40"/>
        </w:rPr>
      </w:pPr>
    </w:p>
    <w:p w:rsidR="00CD7572" w:rsidRPr="00CD7572" w:rsidRDefault="0062660D" w:rsidP="00CD7572">
      <w:pPr>
        <w:jc w:val="center"/>
        <w:rPr>
          <w:rFonts w:cs="Arial"/>
          <w:b/>
          <w:bCs/>
          <w:sz w:val="40"/>
          <w:szCs w:val="40"/>
        </w:rPr>
      </w:pPr>
      <w:r w:rsidRPr="00CD7572">
        <w:rPr>
          <w:rFonts w:cs="Arial"/>
          <w:b/>
          <w:bCs/>
          <w:sz w:val="40"/>
          <w:szCs w:val="40"/>
        </w:rPr>
        <w:t xml:space="preserve"> Lancashire County Pension</w:t>
      </w:r>
      <w:r w:rsidRPr="00CD7572">
        <w:t xml:space="preserve"> </w:t>
      </w:r>
      <w:r w:rsidRPr="00CD7572">
        <w:rPr>
          <w:rFonts w:cs="Arial"/>
          <w:b/>
          <w:bCs/>
          <w:sz w:val="40"/>
          <w:szCs w:val="40"/>
        </w:rPr>
        <w:t xml:space="preserve">Fund </w:t>
      </w:r>
    </w:p>
    <w:p w:rsidR="00CD7572" w:rsidRPr="00CD7572" w:rsidRDefault="0062660D" w:rsidP="00CD7572">
      <w:pPr>
        <w:jc w:val="center"/>
        <w:rPr>
          <w:rFonts w:cs="Arial"/>
          <w:b/>
          <w:bCs/>
          <w:sz w:val="40"/>
          <w:szCs w:val="40"/>
        </w:rPr>
      </w:pPr>
      <w:r w:rsidRPr="00CD7572">
        <w:rPr>
          <w:rFonts w:cs="Arial"/>
          <w:b/>
          <w:bCs/>
          <w:sz w:val="40"/>
          <w:szCs w:val="40"/>
        </w:rPr>
        <w:t>Fund account</w:t>
      </w:r>
    </w:p>
    <w:p w:rsidR="00CD7572" w:rsidRPr="00CD7572" w:rsidRDefault="0062660D" w:rsidP="00CD7572">
      <w:pPr>
        <w:keepNext/>
        <w:spacing w:line="360" w:lineRule="auto"/>
        <w:jc w:val="center"/>
        <w:outlineLvl w:val="4"/>
        <w:rPr>
          <w:b/>
        </w:rPr>
      </w:pPr>
    </w:p>
    <w:tbl>
      <w:tblPr>
        <w:tblStyle w:val="TableGrid6"/>
        <w:tblW w:w="10629" w:type="dxa"/>
        <w:tblBorders>
          <w:insideH w:val="none" w:sz="0" w:space="0" w:color="auto"/>
          <w:insideV w:val="none" w:sz="0" w:space="0" w:color="auto"/>
        </w:tblBorders>
        <w:tblLayout w:type="fixed"/>
        <w:tblLook w:val="04A0" w:firstRow="1" w:lastRow="0" w:firstColumn="1" w:lastColumn="0" w:noHBand="0" w:noVBand="1"/>
      </w:tblPr>
      <w:tblGrid>
        <w:gridCol w:w="5211"/>
        <w:gridCol w:w="2157"/>
        <w:gridCol w:w="1418"/>
        <w:gridCol w:w="425"/>
        <w:gridCol w:w="1418"/>
      </w:tblGrid>
      <w:tr w:rsidR="006A2C17" w:rsidTr="00E245D6">
        <w:tc>
          <w:tcPr>
            <w:tcW w:w="5211" w:type="dxa"/>
            <w:tcBorders>
              <w:top w:val="single" w:sz="2" w:space="0" w:color="auto"/>
              <w:left w:val="single" w:sz="2" w:space="0" w:color="auto"/>
              <w:bottom w:val="nil"/>
            </w:tcBorders>
            <w:shd w:val="clear" w:color="auto" w:fill="A8D08D" w:themeFill="accent6" w:themeFillTint="99"/>
          </w:tcPr>
          <w:p w:rsidR="00CD7572" w:rsidRPr="00CD7572" w:rsidRDefault="0062660D" w:rsidP="00CD7572">
            <w:pPr>
              <w:keepNext/>
              <w:spacing w:line="360" w:lineRule="auto"/>
              <w:jc w:val="left"/>
              <w:outlineLvl w:val="4"/>
              <w:rPr>
                <w:rFonts w:cs="Arial"/>
                <w:b/>
                <w:u w:val="single"/>
              </w:rPr>
            </w:pPr>
          </w:p>
        </w:tc>
        <w:tc>
          <w:tcPr>
            <w:tcW w:w="2157" w:type="dxa"/>
            <w:tcBorders>
              <w:top w:val="single" w:sz="2" w:space="0" w:color="auto"/>
              <w:bottom w:val="nil"/>
            </w:tcBorders>
            <w:shd w:val="clear" w:color="auto" w:fill="A8D08D" w:themeFill="accent6" w:themeFillTint="99"/>
          </w:tcPr>
          <w:p w:rsidR="00CD7572" w:rsidRPr="00CD7572" w:rsidRDefault="0062660D" w:rsidP="00CD7572">
            <w:pPr>
              <w:keepNext/>
              <w:spacing w:line="360" w:lineRule="auto"/>
              <w:jc w:val="center"/>
              <w:outlineLvl w:val="4"/>
              <w:rPr>
                <w:rFonts w:cs="Arial"/>
                <w:b/>
                <w:u w:val="single"/>
              </w:rPr>
            </w:pPr>
          </w:p>
        </w:tc>
        <w:tc>
          <w:tcPr>
            <w:tcW w:w="1418" w:type="dxa"/>
            <w:tcBorders>
              <w:top w:val="single" w:sz="2" w:space="0" w:color="auto"/>
              <w:bottom w:val="nil"/>
            </w:tcBorders>
            <w:shd w:val="clear" w:color="auto" w:fill="A8D08D" w:themeFill="accent6" w:themeFillTint="99"/>
            <w:vAlign w:val="center"/>
          </w:tcPr>
          <w:p w:rsidR="00CD7572" w:rsidRPr="00CD7572" w:rsidRDefault="0062660D" w:rsidP="00CD7572">
            <w:pPr>
              <w:keepNext/>
              <w:spacing w:line="360" w:lineRule="auto"/>
              <w:jc w:val="right"/>
              <w:outlineLvl w:val="4"/>
              <w:rPr>
                <w:rFonts w:cs="Arial"/>
                <w:b/>
              </w:rPr>
            </w:pPr>
            <w:r w:rsidRPr="00CD7572">
              <w:rPr>
                <w:rFonts w:cs="Arial"/>
                <w:b/>
              </w:rPr>
              <w:t>2015/16</w:t>
            </w:r>
          </w:p>
        </w:tc>
        <w:tc>
          <w:tcPr>
            <w:tcW w:w="425" w:type="dxa"/>
            <w:tcBorders>
              <w:top w:val="single" w:sz="2" w:space="0" w:color="auto"/>
              <w:bottom w:val="nil"/>
            </w:tcBorders>
            <w:shd w:val="clear" w:color="auto" w:fill="A8D08D" w:themeFill="accent6" w:themeFillTint="99"/>
            <w:vAlign w:val="center"/>
          </w:tcPr>
          <w:p w:rsidR="00CD7572" w:rsidRPr="00CD7572" w:rsidRDefault="0062660D" w:rsidP="00CD7572">
            <w:pPr>
              <w:keepNext/>
              <w:spacing w:line="360" w:lineRule="auto"/>
              <w:jc w:val="right"/>
              <w:outlineLvl w:val="4"/>
              <w:rPr>
                <w:rFonts w:cs="Arial"/>
                <w:b/>
              </w:rPr>
            </w:pPr>
          </w:p>
        </w:tc>
        <w:tc>
          <w:tcPr>
            <w:tcW w:w="1418" w:type="dxa"/>
            <w:tcBorders>
              <w:top w:val="single" w:sz="2" w:space="0" w:color="auto"/>
              <w:bottom w:val="nil"/>
              <w:right w:val="single" w:sz="2" w:space="0" w:color="auto"/>
            </w:tcBorders>
            <w:shd w:val="clear" w:color="auto" w:fill="A8D08D" w:themeFill="accent6" w:themeFillTint="99"/>
            <w:vAlign w:val="center"/>
          </w:tcPr>
          <w:p w:rsidR="00CD7572" w:rsidRPr="00CD7572" w:rsidRDefault="0062660D" w:rsidP="00CD7572">
            <w:pPr>
              <w:keepNext/>
              <w:spacing w:line="360" w:lineRule="auto"/>
              <w:jc w:val="right"/>
              <w:outlineLvl w:val="4"/>
              <w:rPr>
                <w:rFonts w:cs="Arial"/>
                <w:b/>
              </w:rPr>
            </w:pPr>
            <w:r w:rsidRPr="00CD7572">
              <w:rPr>
                <w:rFonts w:cs="Arial"/>
                <w:b/>
              </w:rPr>
              <w:t>2014/15</w:t>
            </w:r>
          </w:p>
        </w:tc>
      </w:tr>
      <w:tr w:rsidR="006A2C17" w:rsidTr="00E245D6">
        <w:trPr>
          <w:trHeight w:val="464"/>
        </w:trPr>
        <w:tc>
          <w:tcPr>
            <w:tcW w:w="5211" w:type="dxa"/>
            <w:tcBorders>
              <w:top w:val="nil"/>
              <w:left w:val="single" w:sz="2" w:space="0" w:color="auto"/>
              <w:bottom w:val="single" w:sz="2" w:space="0" w:color="auto"/>
            </w:tcBorders>
            <w:shd w:val="clear" w:color="auto" w:fill="A8D08D" w:themeFill="accent6" w:themeFillTint="99"/>
          </w:tcPr>
          <w:p w:rsidR="00CD7572" w:rsidRPr="00CD7572" w:rsidRDefault="0062660D" w:rsidP="00CD7572">
            <w:pPr>
              <w:keepNext/>
              <w:spacing w:line="360" w:lineRule="auto"/>
              <w:jc w:val="center"/>
              <w:outlineLvl w:val="4"/>
              <w:rPr>
                <w:rFonts w:cs="Arial"/>
                <w:b/>
                <w:u w:val="single"/>
              </w:rPr>
            </w:pPr>
          </w:p>
        </w:tc>
        <w:tc>
          <w:tcPr>
            <w:tcW w:w="2157" w:type="dxa"/>
            <w:tcBorders>
              <w:top w:val="nil"/>
              <w:bottom w:val="single" w:sz="2" w:space="0" w:color="auto"/>
            </w:tcBorders>
            <w:shd w:val="clear" w:color="auto" w:fill="A8D08D" w:themeFill="accent6" w:themeFillTint="99"/>
          </w:tcPr>
          <w:p w:rsidR="00CD7572" w:rsidRPr="00CD7572" w:rsidRDefault="0062660D" w:rsidP="00CD7572">
            <w:pPr>
              <w:keepNext/>
              <w:spacing w:line="360" w:lineRule="auto"/>
              <w:jc w:val="center"/>
              <w:outlineLvl w:val="4"/>
              <w:rPr>
                <w:rFonts w:cs="Arial"/>
                <w:b/>
              </w:rPr>
            </w:pPr>
            <w:r w:rsidRPr="00CD7572">
              <w:rPr>
                <w:rFonts w:cs="Arial"/>
                <w:b/>
              </w:rPr>
              <w:t>Note</w:t>
            </w:r>
          </w:p>
        </w:tc>
        <w:tc>
          <w:tcPr>
            <w:tcW w:w="1418" w:type="dxa"/>
            <w:tcBorders>
              <w:top w:val="nil"/>
              <w:bottom w:val="single" w:sz="2" w:space="0" w:color="auto"/>
            </w:tcBorders>
            <w:shd w:val="clear" w:color="auto" w:fill="A8D08D" w:themeFill="accent6" w:themeFillTint="99"/>
            <w:vAlign w:val="center"/>
          </w:tcPr>
          <w:p w:rsidR="00CD7572" w:rsidRPr="00CD7572" w:rsidRDefault="0062660D" w:rsidP="00CD7572">
            <w:pPr>
              <w:keepNext/>
              <w:spacing w:line="360" w:lineRule="auto"/>
              <w:jc w:val="right"/>
              <w:outlineLvl w:val="4"/>
              <w:rPr>
                <w:rFonts w:cs="Arial"/>
                <w:b/>
              </w:rPr>
            </w:pPr>
            <w:r w:rsidRPr="00CD7572">
              <w:rPr>
                <w:rFonts w:cs="Arial"/>
                <w:b/>
              </w:rPr>
              <w:t>£m</w:t>
            </w:r>
          </w:p>
        </w:tc>
        <w:tc>
          <w:tcPr>
            <w:tcW w:w="425" w:type="dxa"/>
            <w:tcBorders>
              <w:top w:val="nil"/>
              <w:bottom w:val="single" w:sz="2" w:space="0" w:color="auto"/>
            </w:tcBorders>
            <w:shd w:val="clear" w:color="auto" w:fill="A8D08D" w:themeFill="accent6" w:themeFillTint="99"/>
            <w:vAlign w:val="center"/>
          </w:tcPr>
          <w:p w:rsidR="00CD7572" w:rsidRPr="00CD7572" w:rsidRDefault="0062660D" w:rsidP="00CD7572">
            <w:pPr>
              <w:keepNext/>
              <w:spacing w:line="360" w:lineRule="auto"/>
              <w:jc w:val="right"/>
              <w:outlineLvl w:val="4"/>
              <w:rPr>
                <w:rFonts w:cs="Arial"/>
                <w:b/>
              </w:rPr>
            </w:pPr>
          </w:p>
        </w:tc>
        <w:tc>
          <w:tcPr>
            <w:tcW w:w="1418" w:type="dxa"/>
            <w:tcBorders>
              <w:top w:val="nil"/>
              <w:bottom w:val="single" w:sz="2" w:space="0" w:color="auto"/>
              <w:right w:val="single" w:sz="2" w:space="0" w:color="auto"/>
            </w:tcBorders>
            <w:shd w:val="clear" w:color="auto" w:fill="A8D08D" w:themeFill="accent6" w:themeFillTint="99"/>
            <w:vAlign w:val="center"/>
          </w:tcPr>
          <w:p w:rsidR="00CD7572" w:rsidRPr="00CD7572" w:rsidRDefault="0062660D" w:rsidP="00CD7572">
            <w:pPr>
              <w:keepNext/>
              <w:spacing w:line="360" w:lineRule="auto"/>
              <w:jc w:val="right"/>
              <w:outlineLvl w:val="4"/>
              <w:rPr>
                <w:rFonts w:cs="Arial"/>
                <w:b/>
              </w:rPr>
            </w:pPr>
            <w:r w:rsidRPr="00CD7572">
              <w:rPr>
                <w:rFonts w:cs="Arial"/>
                <w:b/>
              </w:rPr>
              <w:t>£m</w:t>
            </w:r>
          </w:p>
        </w:tc>
      </w:tr>
      <w:tr w:rsidR="006A2C17" w:rsidTr="00E245D6">
        <w:trPr>
          <w:trHeight w:val="838"/>
        </w:trPr>
        <w:tc>
          <w:tcPr>
            <w:tcW w:w="5211" w:type="dxa"/>
            <w:tcBorders>
              <w:top w:val="single" w:sz="2" w:space="0" w:color="auto"/>
              <w:left w:val="single" w:sz="2" w:space="0" w:color="auto"/>
              <w:bottom w:val="nil"/>
            </w:tcBorders>
            <w:shd w:val="clear" w:color="auto" w:fill="F1F7ED"/>
            <w:vAlign w:val="center"/>
          </w:tcPr>
          <w:p w:rsidR="00CD7572" w:rsidRPr="00CD7572" w:rsidRDefault="0062660D" w:rsidP="00CD7572">
            <w:pPr>
              <w:jc w:val="left"/>
              <w:rPr>
                <w:rFonts w:cs="Arial"/>
                <w:b/>
              </w:rPr>
            </w:pPr>
            <w:r w:rsidRPr="00CD7572">
              <w:rPr>
                <w:rFonts w:cs="Arial"/>
                <w:b/>
              </w:rPr>
              <w:t>Dealing with members, employers and others directly involved in the Fund</w:t>
            </w:r>
          </w:p>
        </w:tc>
        <w:tc>
          <w:tcPr>
            <w:tcW w:w="2157" w:type="dxa"/>
            <w:tcBorders>
              <w:top w:val="single" w:sz="2" w:space="0" w:color="auto"/>
              <w:bottom w:val="nil"/>
            </w:tcBorders>
            <w:shd w:val="clear" w:color="auto" w:fill="F1F7ED"/>
            <w:vAlign w:val="center"/>
          </w:tcPr>
          <w:p w:rsidR="00CD7572" w:rsidRPr="00CD7572" w:rsidRDefault="0062660D" w:rsidP="00CD7572">
            <w:pPr>
              <w:jc w:val="center"/>
              <w:rPr>
                <w:rFonts w:cs="Arial"/>
              </w:rPr>
            </w:pPr>
          </w:p>
        </w:tc>
        <w:tc>
          <w:tcPr>
            <w:tcW w:w="1418" w:type="dxa"/>
            <w:tcBorders>
              <w:top w:val="single" w:sz="2" w:space="0" w:color="auto"/>
              <w:bottom w:val="nil"/>
            </w:tcBorders>
            <w:shd w:val="clear" w:color="auto" w:fill="F1F7ED"/>
            <w:vAlign w:val="center"/>
          </w:tcPr>
          <w:p w:rsidR="00CD7572" w:rsidRPr="00CD7572" w:rsidRDefault="0062660D" w:rsidP="00CD7572">
            <w:pPr>
              <w:jc w:val="right"/>
              <w:rPr>
                <w:rFonts w:cs="Arial"/>
              </w:rPr>
            </w:pPr>
          </w:p>
        </w:tc>
        <w:tc>
          <w:tcPr>
            <w:tcW w:w="425" w:type="dxa"/>
            <w:tcBorders>
              <w:top w:val="single" w:sz="2" w:space="0" w:color="auto"/>
              <w:bottom w:val="nil"/>
            </w:tcBorders>
            <w:shd w:val="clear" w:color="auto" w:fill="F1F7ED"/>
            <w:vAlign w:val="center"/>
          </w:tcPr>
          <w:p w:rsidR="00CD7572" w:rsidRPr="00CD7572" w:rsidRDefault="0062660D" w:rsidP="00CD7572">
            <w:pPr>
              <w:jc w:val="right"/>
              <w:rPr>
                <w:rFonts w:cs="Arial"/>
              </w:rPr>
            </w:pPr>
          </w:p>
        </w:tc>
        <w:tc>
          <w:tcPr>
            <w:tcW w:w="1418" w:type="dxa"/>
            <w:tcBorders>
              <w:top w:val="single" w:sz="2" w:space="0" w:color="auto"/>
              <w:bottom w:val="nil"/>
              <w:right w:val="single" w:sz="2" w:space="0" w:color="auto"/>
            </w:tcBorders>
            <w:shd w:val="clear" w:color="auto" w:fill="F1F7ED"/>
            <w:vAlign w:val="center"/>
          </w:tcPr>
          <w:p w:rsidR="00CD7572" w:rsidRPr="00CD7572" w:rsidRDefault="0062660D" w:rsidP="00CD7572">
            <w:pPr>
              <w:jc w:val="right"/>
              <w:rPr>
                <w:rFonts w:cs="Arial"/>
              </w:rPr>
            </w:pPr>
          </w:p>
        </w:tc>
      </w:tr>
      <w:tr w:rsidR="006A2C17" w:rsidTr="00E245D6">
        <w:trPr>
          <w:trHeight w:val="430"/>
        </w:trPr>
        <w:tc>
          <w:tcPr>
            <w:tcW w:w="5211" w:type="dxa"/>
            <w:tcBorders>
              <w:top w:val="nil"/>
              <w:left w:val="single" w:sz="2" w:space="0" w:color="auto"/>
              <w:bottom w:val="nil"/>
            </w:tcBorders>
            <w:vAlign w:val="center"/>
          </w:tcPr>
          <w:p w:rsidR="00CD7572" w:rsidRPr="00CD7572" w:rsidRDefault="0062660D" w:rsidP="00CD7572">
            <w:pPr>
              <w:jc w:val="left"/>
              <w:rPr>
                <w:rFonts w:cs="Arial"/>
              </w:rPr>
            </w:pPr>
            <w:r w:rsidRPr="00CD7572">
              <w:rPr>
                <w:rFonts w:cs="Arial"/>
              </w:rPr>
              <w:t>Contributions</w:t>
            </w:r>
          </w:p>
        </w:tc>
        <w:tc>
          <w:tcPr>
            <w:tcW w:w="2157" w:type="dxa"/>
            <w:tcBorders>
              <w:top w:val="nil"/>
              <w:bottom w:val="nil"/>
            </w:tcBorders>
            <w:vAlign w:val="center"/>
          </w:tcPr>
          <w:p w:rsidR="00CD7572" w:rsidRPr="00CD7572" w:rsidRDefault="0062660D" w:rsidP="00CD7572">
            <w:pPr>
              <w:jc w:val="center"/>
              <w:rPr>
                <w:rFonts w:cs="Arial"/>
              </w:rPr>
            </w:pPr>
            <w:r w:rsidRPr="00CD7572">
              <w:rPr>
                <w:rFonts w:cs="Arial"/>
              </w:rPr>
              <w:t>6</w:t>
            </w:r>
          </w:p>
        </w:tc>
        <w:tc>
          <w:tcPr>
            <w:tcW w:w="1418" w:type="dxa"/>
            <w:tcBorders>
              <w:top w:val="nil"/>
              <w:bottom w:val="nil"/>
            </w:tcBorders>
            <w:vAlign w:val="center"/>
          </w:tcPr>
          <w:p w:rsidR="00CD7572" w:rsidRPr="00CD7572" w:rsidRDefault="0062660D" w:rsidP="00CD7572">
            <w:pPr>
              <w:jc w:val="right"/>
              <w:rPr>
                <w:rFonts w:cs="Arial"/>
              </w:rPr>
            </w:pPr>
            <w:r w:rsidRPr="00CD7572">
              <w:rPr>
                <w:rFonts w:cs="Arial"/>
              </w:rPr>
              <w:t>238.6</w:t>
            </w:r>
          </w:p>
        </w:tc>
        <w:tc>
          <w:tcPr>
            <w:tcW w:w="425" w:type="dxa"/>
            <w:tcBorders>
              <w:top w:val="nil"/>
              <w:bottom w:val="nil"/>
            </w:tcBorders>
            <w:vAlign w:val="center"/>
          </w:tcPr>
          <w:p w:rsidR="00CD7572" w:rsidRPr="00CD7572" w:rsidRDefault="0062660D" w:rsidP="00CD7572">
            <w:pPr>
              <w:jc w:val="right"/>
              <w:rPr>
                <w:rFonts w:cs="Arial"/>
              </w:rPr>
            </w:pPr>
          </w:p>
        </w:tc>
        <w:tc>
          <w:tcPr>
            <w:tcW w:w="1418" w:type="dxa"/>
            <w:tcBorders>
              <w:top w:val="nil"/>
              <w:bottom w:val="nil"/>
              <w:right w:val="single" w:sz="2" w:space="0" w:color="auto"/>
            </w:tcBorders>
            <w:vAlign w:val="center"/>
          </w:tcPr>
          <w:p w:rsidR="00CD7572" w:rsidRPr="00CD7572" w:rsidRDefault="0062660D" w:rsidP="00CD7572">
            <w:pPr>
              <w:jc w:val="right"/>
              <w:rPr>
                <w:rFonts w:cs="Arial"/>
              </w:rPr>
            </w:pPr>
            <w:r w:rsidRPr="00CD7572">
              <w:rPr>
                <w:rFonts w:cs="Arial"/>
              </w:rPr>
              <w:t>238.0</w:t>
            </w:r>
          </w:p>
        </w:tc>
      </w:tr>
      <w:tr w:rsidR="006A2C17" w:rsidTr="00E245D6">
        <w:trPr>
          <w:trHeight w:val="422"/>
        </w:trPr>
        <w:tc>
          <w:tcPr>
            <w:tcW w:w="5211" w:type="dxa"/>
            <w:tcBorders>
              <w:top w:val="nil"/>
              <w:left w:val="single" w:sz="2" w:space="0" w:color="auto"/>
              <w:bottom w:val="nil"/>
            </w:tcBorders>
            <w:vAlign w:val="center"/>
          </w:tcPr>
          <w:p w:rsidR="00CD7572" w:rsidRPr="00CD7572" w:rsidRDefault="0062660D" w:rsidP="00CD7572">
            <w:pPr>
              <w:jc w:val="left"/>
              <w:rPr>
                <w:rFonts w:cs="Arial"/>
              </w:rPr>
            </w:pPr>
            <w:r w:rsidRPr="00CD7572">
              <w:rPr>
                <w:rFonts w:cs="Arial"/>
              </w:rPr>
              <w:t>Transfers in from other pension funds</w:t>
            </w:r>
          </w:p>
        </w:tc>
        <w:tc>
          <w:tcPr>
            <w:tcW w:w="2157" w:type="dxa"/>
            <w:tcBorders>
              <w:top w:val="nil"/>
              <w:bottom w:val="nil"/>
            </w:tcBorders>
            <w:vAlign w:val="center"/>
          </w:tcPr>
          <w:p w:rsidR="00CD7572" w:rsidRPr="00CD7572" w:rsidRDefault="0062660D" w:rsidP="00CD7572">
            <w:pPr>
              <w:jc w:val="center"/>
              <w:rPr>
                <w:rFonts w:cs="Arial"/>
              </w:rPr>
            </w:pPr>
            <w:r w:rsidRPr="00CD7572">
              <w:rPr>
                <w:rFonts w:cs="Arial"/>
              </w:rPr>
              <w:t>7</w:t>
            </w:r>
          </w:p>
        </w:tc>
        <w:tc>
          <w:tcPr>
            <w:tcW w:w="1418" w:type="dxa"/>
            <w:tcBorders>
              <w:top w:val="nil"/>
              <w:bottom w:val="single" w:sz="18" w:space="0" w:color="auto"/>
            </w:tcBorders>
            <w:vAlign w:val="center"/>
          </w:tcPr>
          <w:p w:rsidR="00CD7572" w:rsidRPr="00CD7572" w:rsidRDefault="0062660D" w:rsidP="00CD7572">
            <w:pPr>
              <w:jc w:val="right"/>
              <w:rPr>
                <w:rFonts w:cs="Arial"/>
              </w:rPr>
            </w:pPr>
            <w:r w:rsidRPr="00CD7572">
              <w:rPr>
                <w:rFonts w:cs="Arial"/>
              </w:rPr>
              <w:t>5.5</w:t>
            </w:r>
          </w:p>
        </w:tc>
        <w:tc>
          <w:tcPr>
            <w:tcW w:w="425" w:type="dxa"/>
            <w:tcBorders>
              <w:top w:val="nil"/>
              <w:bottom w:val="nil"/>
            </w:tcBorders>
            <w:vAlign w:val="center"/>
          </w:tcPr>
          <w:p w:rsidR="00CD7572" w:rsidRPr="00CD7572" w:rsidRDefault="0062660D" w:rsidP="00CD7572">
            <w:pPr>
              <w:jc w:val="right"/>
              <w:rPr>
                <w:rFonts w:cs="Arial"/>
              </w:rPr>
            </w:pPr>
          </w:p>
        </w:tc>
        <w:tc>
          <w:tcPr>
            <w:tcW w:w="1418" w:type="dxa"/>
            <w:tcBorders>
              <w:top w:val="nil"/>
              <w:bottom w:val="single" w:sz="18" w:space="0" w:color="auto"/>
              <w:right w:val="single" w:sz="2" w:space="0" w:color="auto"/>
            </w:tcBorders>
            <w:vAlign w:val="center"/>
          </w:tcPr>
          <w:p w:rsidR="00CD7572" w:rsidRPr="00CD7572" w:rsidRDefault="0062660D" w:rsidP="00CD7572">
            <w:pPr>
              <w:jc w:val="right"/>
              <w:rPr>
                <w:rFonts w:cs="Arial"/>
              </w:rPr>
            </w:pPr>
            <w:r w:rsidRPr="00CD7572">
              <w:rPr>
                <w:rFonts w:cs="Arial"/>
              </w:rPr>
              <w:t>4.8</w:t>
            </w:r>
          </w:p>
        </w:tc>
      </w:tr>
      <w:tr w:rsidR="006A2C17" w:rsidTr="00E245D6">
        <w:tc>
          <w:tcPr>
            <w:tcW w:w="5211" w:type="dxa"/>
            <w:tcBorders>
              <w:top w:val="nil"/>
              <w:left w:val="single" w:sz="2" w:space="0" w:color="auto"/>
              <w:bottom w:val="nil"/>
            </w:tcBorders>
            <w:shd w:val="clear" w:color="auto" w:fill="F1F7ED"/>
            <w:vAlign w:val="center"/>
          </w:tcPr>
          <w:p w:rsidR="00CD7572" w:rsidRPr="00CD7572" w:rsidRDefault="0062660D" w:rsidP="00CD7572">
            <w:pPr>
              <w:jc w:val="left"/>
              <w:rPr>
                <w:rFonts w:cs="Arial"/>
                <w:u w:val="single"/>
              </w:rPr>
            </w:pPr>
          </w:p>
        </w:tc>
        <w:tc>
          <w:tcPr>
            <w:tcW w:w="2157" w:type="dxa"/>
            <w:tcBorders>
              <w:top w:val="nil"/>
              <w:bottom w:val="nil"/>
            </w:tcBorders>
            <w:shd w:val="clear" w:color="auto" w:fill="F1F7ED"/>
            <w:vAlign w:val="center"/>
          </w:tcPr>
          <w:p w:rsidR="00CD7572" w:rsidRPr="00CD7572" w:rsidRDefault="0062660D" w:rsidP="00CD7572">
            <w:pPr>
              <w:jc w:val="center"/>
              <w:rPr>
                <w:rFonts w:cs="Arial"/>
              </w:rPr>
            </w:pPr>
          </w:p>
        </w:tc>
        <w:tc>
          <w:tcPr>
            <w:tcW w:w="1418" w:type="dxa"/>
            <w:tcBorders>
              <w:top w:val="single" w:sz="18" w:space="0" w:color="auto"/>
              <w:bottom w:val="single" w:sz="18" w:space="0" w:color="auto"/>
            </w:tcBorders>
            <w:shd w:val="clear" w:color="auto" w:fill="F1F7ED"/>
            <w:vAlign w:val="center"/>
          </w:tcPr>
          <w:p w:rsidR="00CD7572" w:rsidRPr="00CD7572" w:rsidRDefault="0062660D" w:rsidP="00CD7572">
            <w:pPr>
              <w:jc w:val="right"/>
              <w:rPr>
                <w:rFonts w:cs="Arial"/>
              </w:rPr>
            </w:pPr>
            <w:r w:rsidRPr="00CD7572">
              <w:rPr>
                <w:rFonts w:cs="Arial"/>
              </w:rPr>
              <w:t>244.1</w:t>
            </w:r>
          </w:p>
        </w:tc>
        <w:tc>
          <w:tcPr>
            <w:tcW w:w="425" w:type="dxa"/>
            <w:tcBorders>
              <w:top w:val="nil"/>
              <w:bottom w:val="nil"/>
            </w:tcBorders>
            <w:shd w:val="clear" w:color="auto" w:fill="F1F7ED"/>
            <w:vAlign w:val="center"/>
          </w:tcPr>
          <w:p w:rsidR="00CD7572" w:rsidRPr="00CD7572" w:rsidRDefault="0062660D" w:rsidP="00CD7572">
            <w:pPr>
              <w:jc w:val="right"/>
              <w:rPr>
                <w:rFonts w:cs="Arial"/>
              </w:rPr>
            </w:pPr>
          </w:p>
        </w:tc>
        <w:tc>
          <w:tcPr>
            <w:tcW w:w="1418" w:type="dxa"/>
            <w:tcBorders>
              <w:top w:val="single" w:sz="18" w:space="0" w:color="auto"/>
              <w:bottom w:val="single" w:sz="18" w:space="0" w:color="auto"/>
              <w:right w:val="single" w:sz="2" w:space="0" w:color="auto"/>
            </w:tcBorders>
            <w:shd w:val="clear" w:color="auto" w:fill="F1F7ED"/>
            <w:vAlign w:val="center"/>
          </w:tcPr>
          <w:p w:rsidR="00CD7572" w:rsidRPr="00CD7572" w:rsidRDefault="0062660D" w:rsidP="00CD7572">
            <w:pPr>
              <w:jc w:val="right"/>
              <w:rPr>
                <w:rFonts w:cs="Arial"/>
              </w:rPr>
            </w:pPr>
            <w:r w:rsidRPr="00CD7572">
              <w:rPr>
                <w:rFonts w:cs="Arial"/>
              </w:rPr>
              <w:t>242.8</w:t>
            </w:r>
          </w:p>
        </w:tc>
      </w:tr>
      <w:tr w:rsidR="006A2C17" w:rsidTr="00E245D6">
        <w:trPr>
          <w:trHeight w:val="301"/>
        </w:trPr>
        <w:tc>
          <w:tcPr>
            <w:tcW w:w="5211" w:type="dxa"/>
            <w:tcBorders>
              <w:top w:val="nil"/>
              <w:left w:val="single" w:sz="2" w:space="0" w:color="auto"/>
              <w:bottom w:val="nil"/>
            </w:tcBorders>
            <w:vAlign w:val="center"/>
          </w:tcPr>
          <w:p w:rsidR="00CD7572" w:rsidRPr="00CD7572" w:rsidRDefault="0062660D" w:rsidP="00CD7572">
            <w:pPr>
              <w:jc w:val="left"/>
              <w:rPr>
                <w:rFonts w:cs="Arial"/>
              </w:rPr>
            </w:pPr>
          </w:p>
        </w:tc>
        <w:tc>
          <w:tcPr>
            <w:tcW w:w="2157" w:type="dxa"/>
            <w:tcBorders>
              <w:top w:val="nil"/>
              <w:bottom w:val="nil"/>
            </w:tcBorders>
            <w:vAlign w:val="center"/>
          </w:tcPr>
          <w:p w:rsidR="00CD7572" w:rsidRPr="00CD7572" w:rsidRDefault="0062660D" w:rsidP="00CD7572">
            <w:pPr>
              <w:jc w:val="center"/>
              <w:rPr>
                <w:rFonts w:cs="Arial"/>
              </w:rPr>
            </w:pPr>
          </w:p>
        </w:tc>
        <w:tc>
          <w:tcPr>
            <w:tcW w:w="1418" w:type="dxa"/>
            <w:tcBorders>
              <w:top w:val="single" w:sz="18" w:space="0" w:color="auto"/>
              <w:bottom w:val="nil"/>
            </w:tcBorders>
            <w:vAlign w:val="center"/>
          </w:tcPr>
          <w:p w:rsidR="00CD7572" w:rsidRPr="00CD7572" w:rsidRDefault="0062660D" w:rsidP="00CD7572">
            <w:pPr>
              <w:jc w:val="right"/>
              <w:rPr>
                <w:rFonts w:cs="Arial"/>
              </w:rPr>
            </w:pPr>
          </w:p>
        </w:tc>
        <w:tc>
          <w:tcPr>
            <w:tcW w:w="425" w:type="dxa"/>
            <w:tcBorders>
              <w:top w:val="nil"/>
              <w:bottom w:val="nil"/>
            </w:tcBorders>
            <w:vAlign w:val="center"/>
          </w:tcPr>
          <w:p w:rsidR="00CD7572" w:rsidRPr="00CD7572" w:rsidRDefault="0062660D" w:rsidP="00CD7572">
            <w:pPr>
              <w:jc w:val="right"/>
              <w:rPr>
                <w:rFonts w:cs="Arial"/>
              </w:rPr>
            </w:pPr>
          </w:p>
        </w:tc>
        <w:tc>
          <w:tcPr>
            <w:tcW w:w="1418" w:type="dxa"/>
            <w:tcBorders>
              <w:top w:val="single" w:sz="18" w:space="0" w:color="auto"/>
              <w:bottom w:val="nil"/>
              <w:right w:val="single" w:sz="2" w:space="0" w:color="auto"/>
            </w:tcBorders>
            <w:vAlign w:val="center"/>
          </w:tcPr>
          <w:p w:rsidR="00CD7572" w:rsidRPr="00CD7572" w:rsidRDefault="0062660D" w:rsidP="00CD7572">
            <w:pPr>
              <w:jc w:val="right"/>
              <w:rPr>
                <w:rFonts w:cs="Arial"/>
              </w:rPr>
            </w:pPr>
          </w:p>
        </w:tc>
      </w:tr>
      <w:tr w:rsidR="006A2C17" w:rsidTr="00E245D6">
        <w:tc>
          <w:tcPr>
            <w:tcW w:w="5211" w:type="dxa"/>
            <w:tcBorders>
              <w:top w:val="nil"/>
              <w:left w:val="single" w:sz="2" w:space="0" w:color="auto"/>
              <w:bottom w:val="nil"/>
            </w:tcBorders>
            <w:vAlign w:val="center"/>
          </w:tcPr>
          <w:p w:rsidR="00CD7572" w:rsidRPr="00CD7572" w:rsidRDefault="0062660D" w:rsidP="00CD7572">
            <w:pPr>
              <w:jc w:val="left"/>
              <w:rPr>
                <w:rFonts w:cs="Arial"/>
              </w:rPr>
            </w:pPr>
            <w:r w:rsidRPr="00CD7572">
              <w:rPr>
                <w:rFonts w:cs="Arial"/>
              </w:rPr>
              <w:t>Benefits</w:t>
            </w:r>
          </w:p>
        </w:tc>
        <w:tc>
          <w:tcPr>
            <w:tcW w:w="2157" w:type="dxa"/>
            <w:tcBorders>
              <w:top w:val="nil"/>
              <w:bottom w:val="nil"/>
            </w:tcBorders>
            <w:vAlign w:val="center"/>
          </w:tcPr>
          <w:p w:rsidR="00CD7572" w:rsidRPr="00CD7572" w:rsidRDefault="0062660D" w:rsidP="00CD7572">
            <w:pPr>
              <w:jc w:val="center"/>
              <w:rPr>
                <w:rFonts w:cs="Arial"/>
              </w:rPr>
            </w:pPr>
            <w:r w:rsidRPr="00CD7572">
              <w:rPr>
                <w:rFonts w:cs="Arial"/>
              </w:rPr>
              <w:t>8</w:t>
            </w:r>
          </w:p>
        </w:tc>
        <w:tc>
          <w:tcPr>
            <w:tcW w:w="1418" w:type="dxa"/>
            <w:tcBorders>
              <w:top w:val="nil"/>
              <w:bottom w:val="nil"/>
            </w:tcBorders>
            <w:vAlign w:val="center"/>
          </w:tcPr>
          <w:p w:rsidR="00CD7572" w:rsidRPr="00CD7572" w:rsidRDefault="0062660D" w:rsidP="00CD7572">
            <w:pPr>
              <w:jc w:val="right"/>
              <w:rPr>
                <w:rFonts w:cs="Arial"/>
              </w:rPr>
            </w:pPr>
            <w:r w:rsidRPr="00CD7572">
              <w:rPr>
                <w:rFonts w:cs="Arial"/>
              </w:rPr>
              <w:t>(245.8)</w:t>
            </w:r>
          </w:p>
        </w:tc>
        <w:tc>
          <w:tcPr>
            <w:tcW w:w="425" w:type="dxa"/>
            <w:tcBorders>
              <w:top w:val="nil"/>
              <w:bottom w:val="nil"/>
            </w:tcBorders>
            <w:vAlign w:val="center"/>
          </w:tcPr>
          <w:p w:rsidR="00CD7572" w:rsidRPr="00CD7572" w:rsidRDefault="0062660D" w:rsidP="00CD7572">
            <w:pPr>
              <w:jc w:val="right"/>
              <w:rPr>
                <w:rFonts w:cs="Arial"/>
              </w:rPr>
            </w:pPr>
          </w:p>
        </w:tc>
        <w:tc>
          <w:tcPr>
            <w:tcW w:w="1418" w:type="dxa"/>
            <w:tcBorders>
              <w:top w:val="nil"/>
              <w:bottom w:val="nil"/>
              <w:right w:val="single" w:sz="2" w:space="0" w:color="auto"/>
            </w:tcBorders>
            <w:vAlign w:val="center"/>
          </w:tcPr>
          <w:p w:rsidR="00CD7572" w:rsidRPr="00CD7572" w:rsidRDefault="0062660D" w:rsidP="00CD7572">
            <w:pPr>
              <w:jc w:val="right"/>
              <w:rPr>
                <w:rFonts w:cs="Arial"/>
              </w:rPr>
            </w:pPr>
            <w:r w:rsidRPr="00CD7572">
              <w:rPr>
                <w:rFonts w:cs="Arial"/>
              </w:rPr>
              <w:t>(240.2)</w:t>
            </w:r>
          </w:p>
        </w:tc>
      </w:tr>
      <w:tr w:rsidR="006A2C17" w:rsidTr="00E245D6">
        <w:trPr>
          <w:trHeight w:val="486"/>
        </w:trPr>
        <w:tc>
          <w:tcPr>
            <w:tcW w:w="5211" w:type="dxa"/>
            <w:tcBorders>
              <w:top w:val="nil"/>
              <w:left w:val="single" w:sz="2" w:space="0" w:color="auto"/>
              <w:bottom w:val="nil"/>
            </w:tcBorders>
            <w:vAlign w:val="center"/>
          </w:tcPr>
          <w:p w:rsidR="00CD7572" w:rsidRPr="00CD7572" w:rsidRDefault="0062660D" w:rsidP="00CD7572">
            <w:pPr>
              <w:jc w:val="left"/>
              <w:rPr>
                <w:rFonts w:cs="Arial"/>
              </w:rPr>
            </w:pPr>
            <w:r w:rsidRPr="00CD7572">
              <w:rPr>
                <w:rFonts w:cs="Arial"/>
              </w:rPr>
              <w:t>Payments to and on account of leavers</w:t>
            </w:r>
          </w:p>
        </w:tc>
        <w:tc>
          <w:tcPr>
            <w:tcW w:w="2157" w:type="dxa"/>
            <w:tcBorders>
              <w:top w:val="nil"/>
              <w:bottom w:val="nil"/>
            </w:tcBorders>
            <w:vAlign w:val="center"/>
          </w:tcPr>
          <w:p w:rsidR="00CD7572" w:rsidRPr="00CD7572" w:rsidRDefault="0062660D" w:rsidP="00CD7572">
            <w:pPr>
              <w:jc w:val="center"/>
              <w:rPr>
                <w:rFonts w:cs="Arial"/>
              </w:rPr>
            </w:pPr>
            <w:r w:rsidRPr="00CD7572">
              <w:rPr>
                <w:rFonts w:cs="Arial"/>
              </w:rPr>
              <w:t>9</w:t>
            </w:r>
          </w:p>
        </w:tc>
        <w:tc>
          <w:tcPr>
            <w:tcW w:w="1418" w:type="dxa"/>
            <w:tcBorders>
              <w:top w:val="nil"/>
              <w:bottom w:val="nil"/>
            </w:tcBorders>
            <w:vAlign w:val="center"/>
          </w:tcPr>
          <w:p w:rsidR="00CD7572" w:rsidRPr="00CD7572" w:rsidRDefault="0062660D" w:rsidP="00CD7572">
            <w:pPr>
              <w:jc w:val="right"/>
              <w:rPr>
                <w:rFonts w:cs="Arial"/>
              </w:rPr>
            </w:pPr>
            <w:r w:rsidRPr="00CD7572">
              <w:rPr>
                <w:rFonts w:cs="Arial"/>
              </w:rPr>
              <w:t>(12.5)</w:t>
            </w:r>
          </w:p>
        </w:tc>
        <w:tc>
          <w:tcPr>
            <w:tcW w:w="425" w:type="dxa"/>
            <w:tcBorders>
              <w:top w:val="nil"/>
              <w:bottom w:val="nil"/>
            </w:tcBorders>
            <w:vAlign w:val="center"/>
          </w:tcPr>
          <w:p w:rsidR="00CD7572" w:rsidRPr="00CD7572" w:rsidRDefault="0062660D" w:rsidP="00CD7572">
            <w:pPr>
              <w:jc w:val="right"/>
              <w:rPr>
                <w:rFonts w:cs="Arial"/>
              </w:rPr>
            </w:pPr>
          </w:p>
        </w:tc>
        <w:tc>
          <w:tcPr>
            <w:tcW w:w="1418" w:type="dxa"/>
            <w:tcBorders>
              <w:top w:val="nil"/>
              <w:bottom w:val="nil"/>
              <w:right w:val="single" w:sz="2" w:space="0" w:color="auto"/>
            </w:tcBorders>
            <w:vAlign w:val="center"/>
          </w:tcPr>
          <w:p w:rsidR="00CD7572" w:rsidRPr="00CD7572" w:rsidRDefault="0062660D" w:rsidP="00CD7572">
            <w:pPr>
              <w:jc w:val="right"/>
              <w:rPr>
                <w:rFonts w:cs="Arial"/>
              </w:rPr>
            </w:pPr>
            <w:r w:rsidRPr="00CD7572">
              <w:rPr>
                <w:rFonts w:cs="Arial"/>
              </w:rPr>
              <w:t>(100.1)</w:t>
            </w:r>
          </w:p>
        </w:tc>
      </w:tr>
      <w:tr w:rsidR="006A2C17" w:rsidTr="00E245D6">
        <w:tc>
          <w:tcPr>
            <w:tcW w:w="5211" w:type="dxa"/>
            <w:tcBorders>
              <w:top w:val="nil"/>
              <w:left w:val="single" w:sz="2" w:space="0" w:color="auto"/>
              <w:bottom w:val="nil"/>
            </w:tcBorders>
            <w:vAlign w:val="center"/>
          </w:tcPr>
          <w:p w:rsidR="00CD7572" w:rsidRPr="00CD7572" w:rsidRDefault="0062660D" w:rsidP="00CD7572">
            <w:pPr>
              <w:jc w:val="left"/>
              <w:rPr>
                <w:rFonts w:cs="Arial"/>
              </w:rPr>
            </w:pPr>
            <w:r w:rsidRPr="00CD7572">
              <w:rPr>
                <w:rFonts w:cs="Arial"/>
              </w:rPr>
              <w:t>Management expenses</w:t>
            </w:r>
          </w:p>
        </w:tc>
        <w:tc>
          <w:tcPr>
            <w:tcW w:w="2157" w:type="dxa"/>
            <w:tcBorders>
              <w:top w:val="nil"/>
              <w:bottom w:val="nil"/>
            </w:tcBorders>
            <w:vAlign w:val="center"/>
          </w:tcPr>
          <w:p w:rsidR="00CD7572" w:rsidRPr="00CD7572" w:rsidRDefault="0062660D" w:rsidP="00CD7572">
            <w:pPr>
              <w:jc w:val="center"/>
              <w:rPr>
                <w:rFonts w:cs="Arial"/>
              </w:rPr>
            </w:pPr>
            <w:r w:rsidRPr="00CD7572">
              <w:rPr>
                <w:rFonts w:cs="Arial"/>
              </w:rPr>
              <w:t>10</w:t>
            </w:r>
          </w:p>
        </w:tc>
        <w:tc>
          <w:tcPr>
            <w:tcW w:w="1418" w:type="dxa"/>
            <w:tcBorders>
              <w:top w:val="nil"/>
              <w:bottom w:val="single" w:sz="18" w:space="0" w:color="auto"/>
            </w:tcBorders>
            <w:vAlign w:val="center"/>
          </w:tcPr>
          <w:p w:rsidR="00CD7572" w:rsidRPr="00CD7572" w:rsidRDefault="0062660D" w:rsidP="00CD7572">
            <w:pPr>
              <w:jc w:val="right"/>
              <w:rPr>
                <w:rFonts w:cs="Arial"/>
              </w:rPr>
            </w:pPr>
            <w:r w:rsidRPr="00CD7572">
              <w:rPr>
                <w:rFonts w:cs="Arial"/>
              </w:rPr>
              <w:t>(45.3)</w:t>
            </w:r>
          </w:p>
        </w:tc>
        <w:tc>
          <w:tcPr>
            <w:tcW w:w="425" w:type="dxa"/>
            <w:tcBorders>
              <w:top w:val="nil"/>
              <w:bottom w:val="nil"/>
            </w:tcBorders>
            <w:vAlign w:val="center"/>
          </w:tcPr>
          <w:p w:rsidR="00CD7572" w:rsidRPr="00CD7572" w:rsidRDefault="0062660D" w:rsidP="00CD7572">
            <w:pPr>
              <w:jc w:val="right"/>
              <w:rPr>
                <w:rFonts w:cs="Arial"/>
              </w:rPr>
            </w:pPr>
          </w:p>
        </w:tc>
        <w:tc>
          <w:tcPr>
            <w:tcW w:w="1418" w:type="dxa"/>
            <w:tcBorders>
              <w:top w:val="nil"/>
              <w:bottom w:val="single" w:sz="18" w:space="0" w:color="auto"/>
              <w:right w:val="single" w:sz="2" w:space="0" w:color="auto"/>
            </w:tcBorders>
            <w:vAlign w:val="center"/>
          </w:tcPr>
          <w:p w:rsidR="00CD7572" w:rsidRPr="00CD7572" w:rsidRDefault="0062660D" w:rsidP="00CD7572">
            <w:pPr>
              <w:jc w:val="right"/>
              <w:rPr>
                <w:rFonts w:cs="Arial"/>
              </w:rPr>
            </w:pPr>
            <w:r w:rsidRPr="00CD7572">
              <w:rPr>
                <w:rFonts w:cs="Arial"/>
              </w:rPr>
              <w:t>(35.4)</w:t>
            </w:r>
          </w:p>
        </w:tc>
      </w:tr>
      <w:tr w:rsidR="006A2C17" w:rsidTr="00E245D6">
        <w:trPr>
          <w:trHeight w:val="510"/>
        </w:trPr>
        <w:tc>
          <w:tcPr>
            <w:tcW w:w="5211" w:type="dxa"/>
            <w:tcBorders>
              <w:top w:val="nil"/>
              <w:left w:val="single" w:sz="2" w:space="0" w:color="auto"/>
              <w:bottom w:val="nil"/>
            </w:tcBorders>
            <w:shd w:val="clear" w:color="auto" w:fill="F1F7ED"/>
            <w:vAlign w:val="center"/>
          </w:tcPr>
          <w:p w:rsidR="00CD7572" w:rsidRPr="00CD7572" w:rsidRDefault="0062660D" w:rsidP="00CD7572">
            <w:pPr>
              <w:jc w:val="left"/>
              <w:rPr>
                <w:rFonts w:cs="Arial"/>
                <w:u w:val="single"/>
              </w:rPr>
            </w:pPr>
          </w:p>
        </w:tc>
        <w:tc>
          <w:tcPr>
            <w:tcW w:w="2157" w:type="dxa"/>
            <w:tcBorders>
              <w:top w:val="nil"/>
              <w:bottom w:val="nil"/>
            </w:tcBorders>
            <w:shd w:val="clear" w:color="auto" w:fill="F1F7ED"/>
            <w:vAlign w:val="center"/>
          </w:tcPr>
          <w:p w:rsidR="00CD7572" w:rsidRPr="00CD7572" w:rsidRDefault="0062660D" w:rsidP="00CD7572">
            <w:pPr>
              <w:jc w:val="center"/>
              <w:rPr>
                <w:rFonts w:cs="Arial"/>
                <w:highlight w:val="yellow"/>
              </w:rPr>
            </w:pPr>
          </w:p>
        </w:tc>
        <w:tc>
          <w:tcPr>
            <w:tcW w:w="1418" w:type="dxa"/>
            <w:tcBorders>
              <w:top w:val="single" w:sz="18" w:space="0" w:color="auto"/>
              <w:bottom w:val="single" w:sz="18" w:space="0" w:color="auto"/>
            </w:tcBorders>
            <w:shd w:val="clear" w:color="auto" w:fill="F1F7ED"/>
            <w:vAlign w:val="center"/>
          </w:tcPr>
          <w:p w:rsidR="00CD7572" w:rsidRPr="00CD7572" w:rsidRDefault="0062660D" w:rsidP="00CD7572">
            <w:pPr>
              <w:jc w:val="right"/>
              <w:rPr>
                <w:rFonts w:cs="Arial"/>
              </w:rPr>
            </w:pPr>
            <w:r w:rsidRPr="00CD7572">
              <w:rPr>
                <w:rFonts w:cs="Arial"/>
              </w:rPr>
              <w:t>(303.6)</w:t>
            </w:r>
          </w:p>
        </w:tc>
        <w:tc>
          <w:tcPr>
            <w:tcW w:w="425" w:type="dxa"/>
            <w:tcBorders>
              <w:top w:val="nil"/>
              <w:bottom w:val="nil"/>
            </w:tcBorders>
            <w:shd w:val="clear" w:color="auto" w:fill="F1F7ED"/>
            <w:vAlign w:val="center"/>
          </w:tcPr>
          <w:p w:rsidR="00CD7572" w:rsidRPr="00CD7572" w:rsidRDefault="0062660D" w:rsidP="00CD7572">
            <w:pPr>
              <w:jc w:val="right"/>
              <w:rPr>
                <w:rFonts w:cs="Arial"/>
              </w:rPr>
            </w:pPr>
          </w:p>
        </w:tc>
        <w:tc>
          <w:tcPr>
            <w:tcW w:w="1418" w:type="dxa"/>
            <w:tcBorders>
              <w:top w:val="single" w:sz="18" w:space="0" w:color="auto"/>
              <w:bottom w:val="single" w:sz="18" w:space="0" w:color="auto"/>
              <w:right w:val="single" w:sz="2" w:space="0" w:color="auto"/>
            </w:tcBorders>
            <w:shd w:val="clear" w:color="auto" w:fill="F1F7ED"/>
            <w:vAlign w:val="center"/>
          </w:tcPr>
          <w:p w:rsidR="00CD7572" w:rsidRPr="00CD7572" w:rsidRDefault="0062660D" w:rsidP="00CD7572">
            <w:pPr>
              <w:jc w:val="right"/>
              <w:rPr>
                <w:rFonts w:cs="Arial"/>
              </w:rPr>
            </w:pPr>
            <w:r w:rsidRPr="00CD7572">
              <w:rPr>
                <w:rFonts w:cs="Arial"/>
              </w:rPr>
              <w:t>(375.7)</w:t>
            </w:r>
          </w:p>
        </w:tc>
      </w:tr>
      <w:tr w:rsidR="006A2C17" w:rsidTr="00E245D6">
        <w:trPr>
          <w:trHeight w:val="953"/>
        </w:trPr>
        <w:tc>
          <w:tcPr>
            <w:tcW w:w="5211" w:type="dxa"/>
            <w:tcBorders>
              <w:top w:val="nil"/>
              <w:left w:val="single" w:sz="2" w:space="0" w:color="auto"/>
              <w:bottom w:val="nil"/>
            </w:tcBorders>
            <w:shd w:val="clear" w:color="auto" w:fill="E2EFD9" w:themeFill="accent6" w:themeFillTint="33"/>
            <w:vAlign w:val="center"/>
          </w:tcPr>
          <w:p w:rsidR="00CD7572" w:rsidRPr="00CD7572" w:rsidRDefault="0062660D" w:rsidP="00CD7572">
            <w:pPr>
              <w:jc w:val="left"/>
              <w:rPr>
                <w:rFonts w:cs="Arial"/>
                <w:b/>
              </w:rPr>
            </w:pPr>
            <w:r w:rsidRPr="00CD7572">
              <w:rPr>
                <w:rFonts w:cs="Arial"/>
                <w:b/>
              </w:rPr>
              <w:t xml:space="preserve">Net withdrawals from dealings with </w:t>
            </w:r>
            <w:r w:rsidRPr="00CD7572">
              <w:rPr>
                <w:rFonts w:cs="Arial"/>
                <w:b/>
              </w:rPr>
              <w:t>members</w:t>
            </w:r>
          </w:p>
        </w:tc>
        <w:tc>
          <w:tcPr>
            <w:tcW w:w="2157" w:type="dxa"/>
            <w:tcBorders>
              <w:top w:val="nil"/>
              <w:bottom w:val="nil"/>
            </w:tcBorders>
            <w:shd w:val="clear" w:color="auto" w:fill="E2EFD9" w:themeFill="accent6" w:themeFillTint="33"/>
            <w:vAlign w:val="center"/>
          </w:tcPr>
          <w:p w:rsidR="00CD7572" w:rsidRPr="00CD7572" w:rsidRDefault="0062660D" w:rsidP="00CD7572">
            <w:pPr>
              <w:jc w:val="center"/>
              <w:rPr>
                <w:rFonts w:cs="Arial"/>
                <w:b/>
                <w:highlight w:val="yellow"/>
              </w:rPr>
            </w:pPr>
          </w:p>
        </w:tc>
        <w:tc>
          <w:tcPr>
            <w:tcW w:w="1418" w:type="dxa"/>
            <w:tcBorders>
              <w:top w:val="single" w:sz="18" w:space="0" w:color="auto"/>
              <w:bottom w:val="single" w:sz="18" w:space="0" w:color="auto"/>
            </w:tcBorders>
            <w:shd w:val="clear" w:color="auto" w:fill="E2EFD9" w:themeFill="accent6" w:themeFillTint="33"/>
            <w:vAlign w:val="center"/>
          </w:tcPr>
          <w:p w:rsidR="00CD7572" w:rsidRPr="00CD7572" w:rsidRDefault="0062660D" w:rsidP="00CD7572">
            <w:pPr>
              <w:jc w:val="right"/>
              <w:rPr>
                <w:rFonts w:cs="Arial"/>
                <w:b/>
              </w:rPr>
            </w:pPr>
            <w:r w:rsidRPr="00CD7572">
              <w:rPr>
                <w:rFonts w:cs="Arial"/>
                <w:b/>
              </w:rPr>
              <w:t>(59.5)</w:t>
            </w:r>
          </w:p>
        </w:tc>
        <w:tc>
          <w:tcPr>
            <w:tcW w:w="425" w:type="dxa"/>
            <w:tcBorders>
              <w:top w:val="nil"/>
              <w:bottom w:val="nil"/>
            </w:tcBorders>
            <w:shd w:val="clear" w:color="auto" w:fill="E2EFD9" w:themeFill="accent6" w:themeFillTint="33"/>
            <w:vAlign w:val="center"/>
          </w:tcPr>
          <w:p w:rsidR="00CD7572" w:rsidRPr="00CD7572" w:rsidRDefault="0062660D" w:rsidP="00CD7572">
            <w:pPr>
              <w:jc w:val="right"/>
              <w:rPr>
                <w:rFonts w:cs="Arial"/>
                <w:b/>
              </w:rPr>
            </w:pPr>
          </w:p>
        </w:tc>
        <w:tc>
          <w:tcPr>
            <w:tcW w:w="1418" w:type="dxa"/>
            <w:tcBorders>
              <w:top w:val="single" w:sz="18" w:space="0" w:color="auto"/>
              <w:bottom w:val="single" w:sz="18" w:space="0" w:color="auto"/>
              <w:right w:val="single" w:sz="2" w:space="0" w:color="auto"/>
            </w:tcBorders>
            <w:shd w:val="clear" w:color="auto" w:fill="E2EFD9" w:themeFill="accent6" w:themeFillTint="33"/>
            <w:vAlign w:val="center"/>
          </w:tcPr>
          <w:p w:rsidR="00CD7572" w:rsidRPr="00CD7572" w:rsidRDefault="0062660D" w:rsidP="00CD7572">
            <w:pPr>
              <w:jc w:val="right"/>
              <w:rPr>
                <w:rFonts w:cs="Arial"/>
                <w:b/>
              </w:rPr>
            </w:pPr>
            <w:r w:rsidRPr="00CD7572">
              <w:rPr>
                <w:rFonts w:cs="Arial"/>
                <w:b/>
              </w:rPr>
              <w:t>(132.9)</w:t>
            </w:r>
          </w:p>
        </w:tc>
      </w:tr>
      <w:tr w:rsidR="006A2C17" w:rsidTr="00E245D6">
        <w:trPr>
          <w:trHeight w:val="835"/>
        </w:trPr>
        <w:tc>
          <w:tcPr>
            <w:tcW w:w="5211" w:type="dxa"/>
            <w:tcBorders>
              <w:top w:val="nil"/>
              <w:left w:val="single" w:sz="2" w:space="0" w:color="auto"/>
              <w:bottom w:val="nil"/>
            </w:tcBorders>
            <w:shd w:val="clear" w:color="auto" w:fill="F1F7ED"/>
            <w:vAlign w:val="center"/>
          </w:tcPr>
          <w:p w:rsidR="00CD7572" w:rsidRPr="00CD7572" w:rsidRDefault="0062660D" w:rsidP="00CD7572">
            <w:pPr>
              <w:jc w:val="left"/>
              <w:rPr>
                <w:rFonts w:cs="Arial"/>
                <w:b/>
              </w:rPr>
            </w:pPr>
            <w:r w:rsidRPr="00CD7572">
              <w:rPr>
                <w:rFonts w:cs="Arial"/>
                <w:b/>
              </w:rPr>
              <w:t>Returns on investments</w:t>
            </w:r>
          </w:p>
        </w:tc>
        <w:tc>
          <w:tcPr>
            <w:tcW w:w="2157" w:type="dxa"/>
            <w:tcBorders>
              <w:top w:val="nil"/>
              <w:bottom w:val="nil"/>
            </w:tcBorders>
            <w:shd w:val="clear" w:color="auto" w:fill="F1F7ED"/>
            <w:vAlign w:val="center"/>
          </w:tcPr>
          <w:p w:rsidR="00CD7572" w:rsidRPr="00CD7572" w:rsidRDefault="0062660D" w:rsidP="00CD7572">
            <w:pPr>
              <w:jc w:val="center"/>
              <w:rPr>
                <w:rFonts w:cs="Arial"/>
                <w:highlight w:val="yellow"/>
              </w:rPr>
            </w:pPr>
          </w:p>
        </w:tc>
        <w:tc>
          <w:tcPr>
            <w:tcW w:w="1418" w:type="dxa"/>
            <w:tcBorders>
              <w:top w:val="single" w:sz="18" w:space="0" w:color="auto"/>
              <w:bottom w:val="nil"/>
            </w:tcBorders>
            <w:shd w:val="clear" w:color="auto" w:fill="F1F7ED"/>
            <w:vAlign w:val="center"/>
          </w:tcPr>
          <w:p w:rsidR="00CD7572" w:rsidRPr="00CD7572" w:rsidRDefault="0062660D" w:rsidP="00CD7572">
            <w:pPr>
              <w:jc w:val="right"/>
              <w:rPr>
                <w:rFonts w:cs="Arial"/>
              </w:rPr>
            </w:pPr>
          </w:p>
        </w:tc>
        <w:tc>
          <w:tcPr>
            <w:tcW w:w="425" w:type="dxa"/>
            <w:tcBorders>
              <w:top w:val="nil"/>
              <w:bottom w:val="nil"/>
            </w:tcBorders>
            <w:shd w:val="clear" w:color="auto" w:fill="F1F7ED"/>
            <w:vAlign w:val="center"/>
          </w:tcPr>
          <w:p w:rsidR="00CD7572" w:rsidRPr="00CD7572" w:rsidRDefault="0062660D" w:rsidP="00CD7572">
            <w:pPr>
              <w:jc w:val="right"/>
              <w:rPr>
                <w:rFonts w:cs="Arial"/>
              </w:rPr>
            </w:pPr>
          </w:p>
        </w:tc>
        <w:tc>
          <w:tcPr>
            <w:tcW w:w="1418" w:type="dxa"/>
            <w:tcBorders>
              <w:top w:val="single" w:sz="18" w:space="0" w:color="auto"/>
              <w:bottom w:val="nil"/>
              <w:right w:val="single" w:sz="2" w:space="0" w:color="auto"/>
            </w:tcBorders>
            <w:shd w:val="clear" w:color="auto" w:fill="F1F7ED"/>
            <w:vAlign w:val="center"/>
          </w:tcPr>
          <w:p w:rsidR="00CD7572" w:rsidRPr="00CD7572" w:rsidRDefault="0062660D" w:rsidP="00CD7572">
            <w:pPr>
              <w:jc w:val="right"/>
              <w:rPr>
                <w:rFonts w:cs="Arial"/>
              </w:rPr>
            </w:pPr>
          </w:p>
        </w:tc>
      </w:tr>
      <w:tr w:rsidR="006A2C17" w:rsidTr="00E245D6">
        <w:tc>
          <w:tcPr>
            <w:tcW w:w="5211" w:type="dxa"/>
            <w:tcBorders>
              <w:top w:val="nil"/>
              <w:left w:val="single" w:sz="2" w:space="0" w:color="auto"/>
              <w:bottom w:val="nil"/>
            </w:tcBorders>
            <w:vAlign w:val="center"/>
          </w:tcPr>
          <w:p w:rsidR="00CD7572" w:rsidRPr="00CD7572" w:rsidRDefault="0062660D" w:rsidP="00CD7572">
            <w:pPr>
              <w:jc w:val="left"/>
              <w:rPr>
                <w:rFonts w:cs="Arial"/>
              </w:rPr>
            </w:pPr>
            <w:r w:rsidRPr="00CD7572">
              <w:rPr>
                <w:rFonts w:cs="Arial"/>
              </w:rPr>
              <w:t>Investment income</w:t>
            </w:r>
          </w:p>
        </w:tc>
        <w:tc>
          <w:tcPr>
            <w:tcW w:w="2157" w:type="dxa"/>
            <w:tcBorders>
              <w:top w:val="nil"/>
              <w:bottom w:val="nil"/>
            </w:tcBorders>
            <w:vAlign w:val="center"/>
          </w:tcPr>
          <w:p w:rsidR="00CD7572" w:rsidRPr="00CD7572" w:rsidRDefault="0062660D" w:rsidP="00CD7572">
            <w:pPr>
              <w:jc w:val="center"/>
              <w:rPr>
                <w:rFonts w:cs="Arial"/>
                <w:highlight w:val="yellow"/>
              </w:rPr>
            </w:pPr>
            <w:r w:rsidRPr="00CD7572">
              <w:rPr>
                <w:rFonts w:cs="Arial"/>
              </w:rPr>
              <w:t>11</w:t>
            </w:r>
          </w:p>
        </w:tc>
        <w:tc>
          <w:tcPr>
            <w:tcW w:w="1418" w:type="dxa"/>
            <w:tcBorders>
              <w:top w:val="nil"/>
              <w:bottom w:val="nil"/>
            </w:tcBorders>
            <w:vAlign w:val="center"/>
          </w:tcPr>
          <w:p w:rsidR="00CD7572" w:rsidRPr="00CD7572" w:rsidRDefault="0062660D" w:rsidP="00CD7572">
            <w:pPr>
              <w:jc w:val="right"/>
              <w:rPr>
                <w:rFonts w:cs="Arial"/>
              </w:rPr>
            </w:pPr>
            <w:r w:rsidRPr="00CD7572">
              <w:rPr>
                <w:rFonts w:cs="Arial"/>
              </w:rPr>
              <w:t>99.1</w:t>
            </w:r>
          </w:p>
        </w:tc>
        <w:tc>
          <w:tcPr>
            <w:tcW w:w="425" w:type="dxa"/>
            <w:tcBorders>
              <w:top w:val="nil"/>
              <w:bottom w:val="nil"/>
            </w:tcBorders>
            <w:vAlign w:val="center"/>
          </w:tcPr>
          <w:p w:rsidR="00CD7572" w:rsidRPr="00CD7572" w:rsidRDefault="0062660D" w:rsidP="00CD7572">
            <w:pPr>
              <w:jc w:val="right"/>
              <w:rPr>
                <w:rFonts w:cs="Arial"/>
              </w:rPr>
            </w:pPr>
          </w:p>
        </w:tc>
        <w:tc>
          <w:tcPr>
            <w:tcW w:w="1418" w:type="dxa"/>
            <w:tcBorders>
              <w:top w:val="nil"/>
              <w:bottom w:val="nil"/>
              <w:right w:val="single" w:sz="2" w:space="0" w:color="auto"/>
            </w:tcBorders>
            <w:vAlign w:val="center"/>
          </w:tcPr>
          <w:p w:rsidR="00CD7572" w:rsidRPr="00CD7572" w:rsidRDefault="0062660D" w:rsidP="00CD7572">
            <w:pPr>
              <w:jc w:val="right"/>
              <w:rPr>
                <w:rFonts w:cs="Arial"/>
              </w:rPr>
            </w:pPr>
            <w:r w:rsidRPr="00CD7572">
              <w:rPr>
                <w:rFonts w:cs="Arial"/>
              </w:rPr>
              <w:t>90.7</w:t>
            </w:r>
          </w:p>
        </w:tc>
      </w:tr>
      <w:tr w:rsidR="006A2C17" w:rsidTr="00E245D6">
        <w:trPr>
          <w:trHeight w:val="1329"/>
        </w:trPr>
        <w:tc>
          <w:tcPr>
            <w:tcW w:w="5211" w:type="dxa"/>
            <w:tcBorders>
              <w:top w:val="nil"/>
              <w:left w:val="single" w:sz="2" w:space="0" w:color="auto"/>
              <w:bottom w:val="nil"/>
            </w:tcBorders>
            <w:vAlign w:val="center"/>
          </w:tcPr>
          <w:p w:rsidR="00CD7572" w:rsidRPr="00CD7572" w:rsidRDefault="0062660D" w:rsidP="00CD7572">
            <w:pPr>
              <w:jc w:val="left"/>
              <w:rPr>
                <w:rFonts w:cs="Arial"/>
              </w:rPr>
            </w:pPr>
            <w:r w:rsidRPr="00CD7572">
              <w:rPr>
                <w:rFonts w:cs="Arial"/>
              </w:rPr>
              <w:t>Profit and losses on disposal of investments and changes in the market value of investments</w:t>
            </w:r>
          </w:p>
        </w:tc>
        <w:tc>
          <w:tcPr>
            <w:tcW w:w="2157" w:type="dxa"/>
            <w:tcBorders>
              <w:top w:val="nil"/>
              <w:bottom w:val="nil"/>
            </w:tcBorders>
            <w:vAlign w:val="center"/>
          </w:tcPr>
          <w:p w:rsidR="00CD7572" w:rsidRPr="00CD7572" w:rsidRDefault="0062660D" w:rsidP="00CD7572">
            <w:pPr>
              <w:jc w:val="center"/>
              <w:rPr>
                <w:rFonts w:cs="Arial"/>
                <w:highlight w:val="yellow"/>
              </w:rPr>
            </w:pPr>
            <w:r w:rsidRPr="00CD7572">
              <w:rPr>
                <w:rFonts w:cs="Arial"/>
              </w:rPr>
              <w:t>14</w:t>
            </w:r>
          </w:p>
        </w:tc>
        <w:tc>
          <w:tcPr>
            <w:tcW w:w="1418" w:type="dxa"/>
            <w:tcBorders>
              <w:top w:val="nil"/>
              <w:bottom w:val="single" w:sz="18" w:space="0" w:color="auto"/>
            </w:tcBorders>
            <w:vAlign w:val="center"/>
          </w:tcPr>
          <w:p w:rsidR="00CD7572" w:rsidRPr="00CD7572" w:rsidRDefault="0062660D" w:rsidP="00CD7572">
            <w:pPr>
              <w:jc w:val="right"/>
              <w:rPr>
                <w:rFonts w:cs="Arial"/>
              </w:rPr>
            </w:pPr>
            <w:r w:rsidRPr="00CD7572">
              <w:rPr>
                <w:rFonts w:cs="Arial"/>
              </w:rPr>
              <w:t>165.9</w:t>
            </w:r>
          </w:p>
        </w:tc>
        <w:tc>
          <w:tcPr>
            <w:tcW w:w="425" w:type="dxa"/>
            <w:tcBorders>
              <w:top w:val="nil"/>
              <w:bottom w:val="nil"/>
            </w:tcBorders>
            <w:vAlign w:val="center"/>
          </w:tcPr>
          <w:p w:rsidR="00CD7572" w:rsidRPr="00CD7572" w:rsidRDefault="0062660D" w:rsidP="00CD7572">
            <w:pPr>
              <w:jc w:val="right"/>
              <w:rPr>
                <w:rFonts w:cs="Arial"/>
              </w:rPr>
            </w:pPr>
          </w:p>
        </w:tc>
        <w:tc>
          <w:tcPr>
            <w:tcW w:w="1418" w:type="dxa"/>
            <w:tcBorders>
              <w:top w:val="nil"/>
              <w:bottom w:val="single" w:sz="18" w:space="0" w:color="auto"/>
              <w:right w:val="single" w:sz="2" w:space="0" w:color="auto"/>
            </w:tcBorders>
            <w:vAlign w:val="center"/>
          </w:tcPr>
          <w:p w:rsidR="00CD7572" w:rsidRPr="00CD7572" w:rsidRDefault="0062660D" w:rsidP="00CD7572">
            <w:pPr>
              <w:jc w:val="right"/>
              <w:rPr>
                <w:rFonts w:cs="Arial"/>
              </w:rPr>
            </w:pPr>
            <w:r w:rsidRPr="00CD7572">
              <w:rPr>
                <w:rFonts w:cs="Arial"/>
              </w:rPr>
              <w:t>684.7</w:t>
            </w:r>
          </w:p>
        </w:tc>
      </w:tr>
      <w:tr w:rsidR="006A2C17" w:rsidTr="00E245D6">
        <w:trPr>
          <w:trHeight w:val="582"/>
        </w:trPr>
        <w:tc>
          <w:tcPr>
            <w:tcW w:w="5211" w:type="dxa"/>
            <w:tcBorders>
              <w:top w:val="nil"/>
              <w:left w:val="single" w:sz="2" w:space="0" w:color="auto"/>
              <w:bottom w:val="nil"/>
            </w:tcBorders>
            <w:shd w:val="clear" w:color="auto" w:fill="E2EFD9" w:themeFill="accent6" w:themeFillTint="33"/>
            <w:vAlign w:val="center"/>
          </w:tcPr>
          <w:p w:rsidR="00CD7572" w:rsidRPr="00CD7572" w:rsidRDefault="0062660D" w:rsidP="00CD7572">
            <w:pPr>
              <w:jc w:val="left"/>
              <w:rPr>
                <w:rFonts w:cs="Arial"/>
                <w:b/>
              </w:rPr>
            </w:pPr>
            <w:r w:rsidRPr="00CD7572">
              <w:rPr>
                <w:rFonts w:cs="Arial"/>
                <w:b/>
              </w:rPr>
              <w:t>Net return on investments</w:t>
            </w:r>
          </w:p>
        </w:tc>
        <w:tc>
          <w:tcPr>
            <w:tcW w:w="2157" w:type="dxa"/>
            <w:tcBorders>
              <w:top w:val="nil"/>
              <w:bottom w:val="nil"/>
            </w:tcBorders>
            <w:shd w:val="clear" w:color="auto" w:fill="E2EFD9" w:themeFill="accent6" w:themeFillTint="33"/>
            <w:vAlign w:val="center"/>
          </w:tcPr>
          <w:p w:rsidR="00CD7572" w:rsidRPr="00CD7572" w:rsidRDefault="0062660D" w:rsidP="00CD7572">
            <w:pPr>
              <w:jc w:val="center"/>
              <w:rPr>
                <w:rFonts w:cs="Arial"/>
                <w:b/>
              </w:rPr>
            </w:pPr>
          </w:p>
        </w:tc>
        <w:tc>
          <w:tcPr>
            <w:tcW w:w="1418" w:type="dxa"/>
            <w:tcBorders>
              <w:top w:val="single" w:sz="18" w:space="0" w:color="auto"/>
              <w:bottom w:val="single" w:sz="18" w:space="0" w:color="auto"/>
            </w:tcBorders>
            <w:shd w:val="clear" w:color="auto" w:fill="E2EFD9" w:themeFill="accent6" w:themeFillTint="33"/>
            <w:vAlign w:val="center"/>
          </w:tcPr>
          <w:p w:rsidR="00CD7572" w:rsidRPr="00CD7572" w:rsidRDefault="0062660D" w:rsidP="00CD7572">
            <w:pPr>
              <w:jc w:val="right"/>
              <w:rPr>
                <w:rFonts w:cs="Arial"/>
                <w:b/>
              </w:rPr>
            </w:pPr>
            <w:r w:rsidRPr="00CD7572">
              <w:rPr>
                <w:rFonts w:cs="Arial"/>
                <w:b/>
              </w:rPr>
              <w:t>265.0</w:t>
            </w:r>
          </w:p>
        </w:tc>
        <w:tc>
          <w:tcPr>
            <w:tcW w:w="425" w:type="dxa"/>
            <w:tcBorders>
              <w:top w:val="nil"/>
              <w:bottom w:val="nil"/>
            </w:tcBorders>
            <w:shd w:val="clear" w:color="auto" w:fill="E2EFD9" w:themeFill="accent6" w:themeFillTint="33"/>
            <w:vAlign w:val="center"/>
          </w:tcPr>
          <w:p w:rsidR="00CD7572" w:rsidRPr="00CD7572" w:rsidRDefault="0062660D" w:rsidP="00CD7572">
            <w:pPr>
              <w:jc w:val="right"/>
              <w:rPr>
                <w:rFonts w:cs="Arial"/>
                <w:b/>
              </w:rPr>
            </w:pPr>
          </w:p>
        </w:tc>
        <w:tc>
          <w:tcPr>
            <w:tcW w:w="1418" w:type="dxa"/>
            <w:tcBorders>
              <w:top w:val="single" w:sz="18" w:space="0" w:color="auto"/>
              <w:bottom w:val="single" w:sz="18" w:space="0" w:color="auto"/>
              <w:right w:val="single" w:sz="2" w:space="0" w:color="auto"/>
            </w:tcBorders>
            <w:shd w:val="clear" w:color="auto" w:fill="E2EFD9" w:themeFill="accent6" w:themeFillTint="33"/>
            <w:vAlign w:val="center"/>
          </w:tcPr>
          <w:p w:rsidR="00CD7572" w:rsidRPr="00CD7572" w:rsidRDefault="0062660D" w:rsidP="00CD7572">
            <w:pPr>
              <w:jc w:val="right"/>
              <w:rPr>
                <w:rFonts w:cs="Arial"/>
                <w:b/>
              </w:rPr>
            </w:pPr>
            <w:r w:rsidRPr="00CD7572">
              <w:rPr>
                <w:rFonts w:cs="Arial"/>
                <w:b/>
              </w:rPr>
              <w:t>775.4</w:t>
            </w:r>
          </w:p>
        </w:tc>
      </w:tr>
      <w:tr w:rsidR="006A2C17" w:rsidTr="00E245D6">
        <w:trPr>
          <w:trHeight w:val="1089"/>
        </w:trPr>
        <w:tc>
          <w:tcPr>
            <w:tcW w:w="5211" w:type="dxa"/>
            <w:tcBorders>
              <w:top w:val="nil"/>
              <w:left w:val="single" w:sz="2" w:space="0" w:color="auto"/>
              <w:bottom w:val="nil"/>
            </w:tcBorders>
            <w:shd w:val="clear" w:color="auto" w:fill="C5E0B3" w:themeFill="accent6" w:themeFillTint="66"/>
            <w:vAlign w:val="center"/>
          </w:tcPr>
          <w:p w:rsidR="00CD7572" w:rsidRPr="00CD7572" w:rsidRDefault="0062660D" w:rsidP="00CD7572">
            <w:pPr>
              <w:jc w:val="left"/>
              <w:rPr>
                <w:rFonts w:cs="Arial"/>
                <w:b/>
              </w:rPr>
            </w:pPr>
            <w:r w:rsidRPr="00CD7572">
              <w:rPr>
                <w:rFonts w:cs="Arial"/>
                <w:b/>
              </w:rPr>
              <w:t xml:space="preserve">Net increase / </w:t>
            </w:r>
            <w:r w:rsidRPr="00CD7572">
              <w:rPr>
                <w:rFonts w:cs="Arial"/>
                <w:b/>
              </w:rPr>
              <w:t>(decrease) in the net assets available for benefits during the year</w:t>
            </w:r>
          </w:p>
        </w:tc>
        <w:tc>
          <w:tcPr>
            <w:tcW w:w="2157" w:type="dxa"/>
            <w:tcBorders>
              <w:top w:val="nil"/>
              <w:bottom w:val="nil"/>
            </w:tcBorders>
            <w:shd w:val="clear" w:color="auto" w:fill="C5E0B3" w:themeFill="accent6" w:themeFillTint="66"/>
            <w:vAlign w:val="center"/>
          </w:tcPr>
          <w:p w:rsidR="00CD7572" w:rsidRPr="00CD7572" w:rsidRDefault="0062660D" w:rsidP="00CD7572">
            <w:pPr>
              <w:jc w:val="center"/>
              <w:rPr>
                <w:rFonts w:cs="Arial"/>
                <w:b/>
              </w:rPr>
            </w:pPr>
          </w:p>
        </w:tc>
        <w:tc>
          <w:tcPr>
            <w:tcW w:w="1418" w:type="dxa"/>
            <w:tcBorders>
              <w:top w:val="single" w:sz="18" w:space="0" w:color="auto"/>
              <w:bottom w:val="single" w:sz="18" w:space="0" w:color="auto"/>
            </w:tcBorders>
            <w:shd w:val="clear" w:color="auto" w:fill="C5E0B3" w:themeFill="accent6" w:themeFillTint="66"/>
            <w:vAlign w:val="center"/>
          </w:tcPr>
          <w:p w:rsidR="00CD7572" w:rsidRPr="00CD7572" w:rsidRDefault="0062660D" w:rsidP="00CD7572">
            <w:pPr>
              <w:jc w:val="right"/>
              <w:rPr>
                <w:rFonts w:cs="Arial"/>
                <w:b/>
              </w:rPr>
            </w:pPr>
            <w:r w:rsidRPr="00CD7572">
              <w:rPr>
                <w:rFonts w:cs="Arial"/>
                <w:b/>
              </w:rPr>
              <w:t>205.5</w:t>
            </w:r>
          </w:p>
        </w:tc>
        <w:tc>
          <w:tcPr>
            <w:tcW w:w="425" w:type="dxa"/>
            <w:tcBorders>
              <w:top w:val="nil"/>
              <w:bottom w:val="nil"/>
            </w:tcBorders>
            <w:shd w:val="clear" w:color="auto" w:fill="C5E0B3" w:themeFill="accent6" w:themeFillTint="66"/>
            <w:vAlign w:val="center"/>
          </w:tcPr>
          <w:p w:rsidR="00CD7572" w:rsidRPr="00CD7572" w:rsidRDefault="0062660D" w:rsidP="00CD7572">
            <w:pPr>
              <w:jc w:val="right"/>
              <w:rPr>
                <w:rFonts w:cs="Arial"/>
                <w:b/>
              </w:rPr>
            </w:pPr>
          </w:p>
        </w:tc>
        <w:tc>
          <w:tcPr>
            <w:tcW w:w="1418" w:type="dxa"/>
            <w:tcBorders>
              <w:top w:val="single" w:sz="18" w:space="0" w:color="auto"/>
              <w:bottom w:val="single" w:sz="18" w:space="0" w:color="auto"/>
              <w:right w:val="single" w:sz="2" w:space="0" w:color="auto"/>
            </w:tcBorders>
            <w:shd w:val="clear" w:color="auto" w:fill="C5E0B3" w:themeFill="accent6" w:themeFillTint="66"/>
            <w:vAlign w:val="center"/>
          </w:tcPr>
          <w:p w:rsidR="00CD7572" w:rsidRPr="00CD7572" w:rsidRDefault="0062660D" w:rsidP="00CD7572">
            <w:pPr>
              <w:jc w:val="right"/>
              <w:rPr>
                <w:rFonts w:cs="Arial"/>
                <w:b/>
              </w:rPr>
            </w:pPr>
            <w:r w:rsidRPr="00CD7572">
              <w:rPr>
                <w:rFonts w:cs="Arial"/>
                <w:b/>
              </w:rPr>
              <w:t>642.5</w:t>
            </w:r>
          </w:p>
        </w:tc>
      </w:tr>
      <w:tr w:rsidR="006A2C17" w:rsidTr="00E245D6">
        <w:trPr>
          <w:trHeight w:val="679"/>
        </w:trPr>
        <w:tc>
          <w:tcPr>
            <w:tcW w:w="5211" w:type="dxa"/>
            <w:tcBorders>
              <w:top w:val="nil"/>
              <w:left w:val="single" w:sz="2" w:space="0" w:color="auto"/>
              <w:bottom w:val="single" w:sz="2" w:space="0" w:color="auto"/>
            </w:tcBorders>
            <w:shd w:val="clear" w:color="auto" w:fill="C5E0B3" w:themeFill="accent6" w:themeFillTint="66"/>
            <w:vAlign w:val="center"/>
          </w:tcPr>
          <w:p w:rsidR="00CD7572" w:rsidRPr="00CD7572" w:rsidRDefault="0062660D" w:rsidP="00CD7572">
            <w:pPr>
              <w:jc w:val="left"/>
              <w:rPr>
                <w:rFonts w:cs="Arial"/>
                <w:b/>
              </w:rPr>
            </w:pPr>
          </w:p>
          <w:p w:rsidR="00CD7572" w:rsidRPr="00CD7572" w:rsidRDefault="0062660D" w:rsidP="00CD7572">
            <w:pPr>
              <w:jc w:val="left"/>
              <w:rPr>
                <w:rFonts w:cs="Arial"/>
                <w:b/>
              </w:rPr>
            </w:pPr>
          </w:p>
          <w:p w:rsidR="00CD7572" w:rsidRPr="00CD7572" w:rsidRDefault="0062660D" w:rsidP="00CD7572">
            <w:pPr>
              <w:jc w:val="left"/>
              <w:rPr>
                <w:rFonts w:cs="Arial"/>
                <w:b/>
              </w:rPr>
            </w:pPr>
            <w:r w:rsidRPr="00CD7572">
              <w:rPr>
                <w:rFonts w:cs="Arial"/>
                <w:sz w:val="20"/>
                <w:szCs w:val="20"/>
              </w:rPr>
              <w:t>.</w:t>
            </w:r>
          </w:p>
        </w:tc>
        <w:tc>
          <w:tcPr>
            <w:tcW w:w="2157" w:type="dxa"/>
            <w:tcBorders>
              <w:top w:val="nil"/>
              <w:bottom w:val="single" w:sz="2" w:space="0" w:color="auto"/>
            </w:tcBorders>
            <w:shd w:val="clear" w:color="auto" w:fill="C5E0B3" w:themeFill="accent6" w:themeFillTint="66"/>
            <w:vAlign w:val="center"/>
          </w:tcPr>
          <w:p w:rsidR="00CD7572" w:rsidRPr="00CD7572" w:rsidRDefault="0062660D" w:rsidP="00CD7572">
            <w:pPr>
              <w:jc w:val="center"/>
              <w:rPr>
                <w:rFonts w:cs="Arial"/>
                <w:b/>
              </w:rPr>
            </w:pPr>
          </w:p>
        </w:tc>
        <w:tc>
          <w:tcPr>
            <w:tcW w:w="1418" w:type="dxa"/>
            <w:tcBorders>
              <w:top w:val="single" w:sz="18" w:space="0" w:color="auto"/>
              <w:bottom w:val="single" w:sz="2" w:space="0" w:color="auto"/>
            </w:tcBorders>
            <w:shd w:val="clear" w:color="auto" w:fill="C5E0B3" w:themeFill="accent6" w:themeFillTint="66"/>
            <w:vAlign w:val="center"/>
          </w:tcPr>
          <w:p w:rsidR="00CD7572" w:rsidRPr="00CD7572" w:rsidRDefault="0062660D" w:rsidP="00CD7572">
            <w:pPr>
              <w:jc w:val="right"/>
              <w:rPr>
                <w:rFonts w:cs="Arial"/>
                <w:b/>
              </w:rPr>
            </w:pPr>
          </w:p>
        </w:tc>
        <w:tc>
          <w:tcPr>
            <w:tcW w:w="425" w:type="dxa"/>
            <w:tcBorders>
              <w:top w:val="nil"/>
              <w:bottom w:val="single" w:sz="2" w:space="0" w:color="auto"/>
            </w:tcBorders>
            <w:shd w:val="clear" w:color="auto" w:fill="C5E0B3" w:themeFill="accent6" w:themeFillTint="66"/>
            <w:vAlign w:val="center"/>
          </w:tcPr>
          <w:p w:rsidR="00CD7572" w:rsidRPr="00CD7572" w:rsidRDefault="0062660D" w:rsidP="00CD7572">
            <w:pPr>
              <w:jc w:val="right"/>
              <w:rPr>
                <w:rFonts w:cs="Arial"/>
                <w:b/>
              </w:rPr>
            </w:pPr>
          </w:p>
        </w:tc>
        <w:tc>
          <w:tcPr>
            <w:tcW w:w="1418" w:type="dxa"/>
            <w:tcBorders>
              <w:top w:val="single" w:sz="18" w:space="0" w:color="auto"/>
              <w:bottom w:val="single" w:sz="2" w:space="0" w:color="auto"/>
              <w:right w:val="single" w:sz="2" w:space="0" w:color="auto"/>
            </w:tcBorders>
            <w:shd w:val="clear" w:color="auto" w:fill="C5E0B3" w:themeFill="accent6" w:themeFillTint="66"/>
            <w:vAlign w:val="center"/>
          </w:tcPr>
          <w:p w:rsidR="00CD7572" w:rsidRPr="00CD7572" w:rsidRDefault="0062660D" w:rsidP="00CD7572">
            <w:pPr>
              <w:jc w:val="right"/>
              <w:rPr>
                <w:rFonts w:cs="Arial"/>
                <w:b/>
              </w:rPr>
            </w:pPr>
          </w:p>
        </w:tc>
      </w:tr>
    </w:tbl>
    <w:p w:rsidR="00CD7572" w:rsidRPr="00CD7572" w:rsidRDefault="0062660D" w:rsidP="00CD7572">
      <w:pPr>
        <w:rPr>
          <w:color w:val="auto"/>
        </w:rPr>
      </w:pPr>
    </w:p>
    <w:p w:rsidR="00CD7572" w:rsidRPr="00CD7572" w:rsidRDefault="0062660D" w:rsidP="00CD7572">
      <w:pPr>
        <w:rPr>
          <w:color w:val="auto"/>
        </w:rPr>
      </w:pPr>
    </w:p>
    <w:p w:rsidR="00CD7572" w:rsidRPr="00CD7572" w:rsidRDefault="0062660D" w:rsidP="00CD7572">
      <w:pPr>
        <w:keepNext/>
        <w:spacing w:line="360" w:lineRule="auto"/>
        <w:jc w:val="center"/>
        <w:outlineLvl w:val="4"/>
        <w:rPr>
          <w:rFonts w:cs="Arial"/>
          <w:b/>
          <w:bCs/>
          <w:sz w:val="40"/>
          <w:szCs w:val="40"/>
        </w:rPr>
      </w:pPr>
      <w:r w:rsidRPr="00CD7572">
        <w:rPr>
          <w:rFonts w:cs="Arial"/>
          <w:b/>
          <w:bCs/>
          <w:sz w:val="40"/>
          <w:szCs w:val="40"/>
        </w:rPr>
        <w:t>Lancashire County Pension Fund</w:t>
      </w:r>
    </w:p>
    <w:p w:rsidR="00CD7572" w:rsidRPr="00CD7572" w:rsidRDefault="0062660D" w:rsidP="00CD7572">
      <w:pPr>
        <w:keepNext/>
        <w:spacing w:line="360" w:lineRule="auto"/>
        <w:jc w:val="center"/>
        <w:outlineLvl w:val="4"/>
        <w:rPr>
          <w:rFonts w:cs="Arial"/>
          <w:b/>
          <w:bCs/>
          <w:sz w:val="40"/>
          <w:szCs w:val="40"/>
        </w:rPr>
      </w:pPr>
      <w:r w:rsidRPr="00CD7572">
        <w:rPr>
          <w:rFonts w:cs="Arial"/>
          <w:b/>
          <w:bCs/>
          <w:sz w:val="40"/>
          <w:szCs w:val="40"/>
        </w:rPr>
        <w:t xml:space="preserve">Net assets statement </w:t>
      </w:r>
    </w:p>
    <w:p w:rsidR="00CD7572" w:rsidRPr="00CD7572" w:rsidRDefault="0062660D" w:rsidP="00CD7572">
      <w:pPr>
        <w:keepNext/>
        <w:spacing w:line="360" w:lineRule="auto"/>
        <w:jc w:val="center"/>
        <w:outlineLvl w:val="4"/>
        <w:rPr>
          <w:rFonts w:cs="Arial"/>
          <w:b/>
          <w:bCs/>
          <w:sz w:val="40"/>
          <w:szCs w:val="40"/>
        </w:rPr>
      </w:pPr>
      <w:proofErr w:type="gramStart"/>
      <w:r w:rsidRPr="00CD7572">
        <w:rPr>
          <w:rFonts w:cs="Arial"/>
          <w:b/>
          <w:bCs/>
          <w:sz w:val="40"/>
          <w:szCs w:val="40"/>
        </w:rPr>
        <w:t>as</w:t>
      </w:r>
      <w:proofErr w:type="gramEnd"/>
      <w:r w:rsidRPr="00CD7572">
        <w:rPr>
          <w:rFonts w:cs="Arial"/>
          <w:b/>
          <w:bCs/>
          <w:sz w:val="40"/>
          <w:szCs w:val="40"/>
        </w:rPr>
        <w:t xml:space="preserve"> at 31 March 2016</w:t>
      </w:r>
    </w:p>
    <w:p w:rsidR="00CD7572" w:rsidRPr="00CD7572" w:rsidRDefault="0062660D" w:rsidP="00CD7572"/>
    <w:p w:rsidR="00CD7572" w:rsidRPr="00CD7572" w:rsidRDefault="0062660D" w:rsidP="00CD7572">
      <w:pPr>
        <w:jc w:val="right"/>
        <w:rPr>
          <w:rFonts w:cs="Arial"/>
          <w:b/>
        </w:rPr>
      </w:pPr>
    </w:p>
    <w:tbl>
      <w:tblPr>
        <w:tblStyle w:val="TableGrid6"/>
        <w:tblW w:w="0" w:type="auto"/>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4250"/>
        <w:gridCol w:w="2268"/>
        <w:gridCol w:w="142"/>
        <w:gridCol w:w="1559"/>
        <w:gridCol w:w="709"/>
        <w:gridCol w:w="1522"/>
      </w:tblGrid>
      <w:tr w:rsidR="006A2C17" w:rsidTr="00E245D6">
        <w:tc>
          <w:tcPr>
            <w:tcW w:w="4250" w:type="dxa"/>
            <w:tcBorders>
              <w:top w:val="single" w:sz="2" w:space="0" w:color="auto"/>
              <w:bottom w:val="nil"/>
            </w:tcBorders>
            <w:shd w:val="clear" w:color="auto" w:fill="A8D08D" w:themeFill="accent6" w:themeFillTint="99"/>
          </w:tcPr>
          <w:p w:rsidR="00CD7572" w:rsidRPr="00CD7572" w:rsidRDefault="0062660D" w:rsidP="00CD7572">
            <w:pPr>
              <w:jc w:val="left"/>
              <w:rPr>
                <w:b/>
              </w:rPr>
            </w:pPr>
          </w:p>
        </w:tc>
        <w:tc>
          <w:tcPr>
            <w:tcW w:w="2268" w:type="dxa"/>
            <w:tcBorders>
              <w:top w:val="single" w:sz="2" w:space="0" w:color="auto"/>
              <w:bottom w:val="nil"/>
            </w:tcBorders>
            <w:shd w:val="clear" w:color="auto" w:fill="A8D08D" w:themeFill="accent6" w:themeFillTint="99"/>
          </w:tcPr>
          <w:p w:rsidR="00CD7572" w:rsidRPr="00CD7572" w:rsidRDefault="0062660D" w:rsidP="00CD7572">
            <w:pPr>
              <w:jc w:val="center"/>
              <w:rPr>
                <w:b/>
              </w:rPr>
            </w:pPr>
          </w:p>
        </w:tc>
        <w:tc>
          <w:tcPr>
            <w:tcW w:w="1701" w:type="dxa"/>
            <w:gridSpan w:val="2"/>
            <w:tcBorders>
              <w:top w:val="single" w:sz="2" w:space="0" w:color="auto"/>
              <w:bottom w:val="nil"/>
            </w:tcBorders>
            <w:shd w:val="clear" w:color="auto" w:fill="A8D08D" w:themeFill="accent6" w:themeFillTint="99"/>
          </w:tcPr>
          <w:p w:rsidR="00CD7572" w:rsidRPr="00CD7572" w:rsidRDefault="0062660D" w:rsidP="00CD7572">
            <w:pPr>
              <w:jc w:val="right"/>
              <w:rPr>
                <w:b/>
              </w:rPr>
            </w:pPr>
            <w:r w:rsidRPr="00CD7572">
              <w:rPr>
                <w:b/>
              </w:rPr>
              <w:t>31/03/16</w:t>
            </w:r>
          </w:p>
        </w:tc>
        <w:tc>
          <w:tcPr>
            <w:tcW w:w="709" w:type="dxa"/>
            <w:tcBorders>
              <w:top w:val="single" w:sz="2" w:space="0" w:color="auto"/>
              <w:bottom w:val="nil"/>
            </w:tcBorders>
            <w:shd w:val="clear" w:color="auto" w:fill="A8D08D" w:themeFill="accent6" w:themeFillTint="99"/>
          </w:tcPr>
          <w:p w:rsidR="00CD7572" w:rsidRPr="00CD7572" w:rsidRDefault="0062660D" w:rsidP="00CD7572">
            <w:pPr>
              <w:jc w:val="right"/>
              <w:rPr>
                <w:b/>
              </w:rPr>
            </w:pPr>
          </w:p>
        </w:tc>
        <w:tc>
          <w:tcPr>
            <w:tcW w:w="1522" w:type="dxa"/>
            <w:tcBorders>
              <w:top w:val="single" w:sz="2" w:space="0" w:color="auto"/>
              <w:bottom w:val="nil"/>
            </w:tcBorders>
            <w:shd w:val="clear" w:color="auto" w:fill="A8D08D" w:themeFill="accent6" w:themeFillTint="99"/>
          </w:tcPr>
          <w:p w:rsidR="00CD7572" w:rsidRPr="00CD7572" w:rsidRDefault="0062660D" w:rsidP="00CD7572">
            <w:pPr>
              <w:jc w:val="right"/>
              <w:rPr>
                <w:b/>
              </w:rPr>
            </w:pPr>
            <w:r w:rsidRPr="00CD7572">
              <w:rPr>
                <w:b/>
              </w:rPr>
              <w:t>31/03/15</w:t>
            </w:r>
          </w:p>
        </w:tc>
      </w:tr>
      <w:tr w:rsidR="006A2C17" w:rsidTr="00E245D6">
        <w:trPr>
          <w:trHeight w:val="498"/>
        </w:trPr>
        <w:tc>
          <w:tcPr>
            <w:tcW w:w="4250" w:type="dxa"/>
            <w:tcBorders>
              <w:top w:val="nil"/>
              <w:bottom w:val="single" w:sz="2" w:space="0" w:color="auto"/>
            </w:tcBorders>
            <w:shd w:val="clear" w:color="auto" w:fill="A8D08D" w:themeFill="accent6" w:themeFillTint="99"/>
          </w:tcPr>
          <w:p w:rsidR="00CD7572" w:rsidRPr="00CD7572" w:rsidRDefault="0062660D" w:rsidP="00CD7572">
            <w:pPr>
              <w:jc w:val="left"/>
              <w:rPr>
                <w:b/>
              </w:rPr>
            </w:pPr>
          </w:p>
        </w:tc>
        <w:tc>
          <w:tcPr>
            <w:tcW w:w="2268" w:type="dxa"/>
            <w:tcBorders>
              <w:top w:val="nil"/>
              <w:bottom w:val="single" w:sz="2" w:space="0" w:color="auto"/>
            </w:tcBorders>
            <w:shd w:val="clear" w:color="auto" w:fill="A8D08D" w:themeFill="accent6" w:themeFillTint="99"/>
          </w:tcPr>
          <w:p w:rsidR="00CD7572" w:rsidRPr="00CD7572" w:rsidRDefault="0062660D" w:rsidP="00CD7572">
            <w:pPr>
              <w:jc w:val="center"/>
              <w:rPr>
                <w:b/>
              </w:rPr>
            </w:pPr>
            <w:r w:rsidRPr="00CD7572">
              <w:rPr>
                <w:b/>
              </w:rPr>
              <w:t>Note</w:t>
            </w:r>
          </w:p>
        </w:tc>
        <w:tc>
          <w:tcPr>
            <w:tcW w:w="1701" w:type="dxa"/>
            <w:gridSpan w:val="2"/>
            <w:tcBorders>
              <w:top w:val="nil"/>
              <w:bottom w:val="single" w:sz="2" w:space="0" w:color="auto"/>
            </w:tcBorders>
            <w:shd w:val="clear" w:color="auto" w:fill="A8D08D" w:themeFill="accent6" w:themeFillTint="99"/>
          </w:tcPr>
          <w:p w:rsidR="00CD7572" w:rsidRPr="00CD7572" w:rsidRDefault="0062660D" w:rsidP="00CD7572">
            <w:pPr>
              <w:jc w:val="right"/>
              <w:rPr>
                <w:b/>
              </w:rPr>
            </w:pPr>
            <w:r w:rsidRPr="00CD7572">
              <w:rPr>
                <w:b/>
              </w:rPr>
              <w:t>£m</w:t>
            </w:r>
          </w:p>
        </w:tc>
        <w:tc>
          <w:tcPr>
            <w:tcW w:w="709" w:type="dxa"/>
            <w:tcBorders>
              <w:top w:val="nil"/>
              <w:bottom w:val="single" w:sz="2" w:space="0" w:color="auto"/>
            </w:tcBorders>
            <w:shd w:val="clear" w:color="auto" w:fill="A8D08D" w:themeFill="accent6" w:themeFillTint="99"/>
          </w:tcPr>
          <w:p w:rsidR="00CD7572" w:rsidRPr="00CD7572" w:rsidRDefault="0062660D" w:rsidP="00CD7572">
            <w:pPr>
              <w:jc w:val="right"/>
              <w:rPr>
                <w:b/>
              </w:rPr>
            </w:pPr>
          </w:p>
        </w:tc>
        <w:tc>
          <w:tcPr>
            <w:tcW w:w="1522" w:type="dxa"/>
            <w:tcBorders>
              <w:top w:val="nil"/>
              <w:bottom w:val="single" w:sz="2" w:space="0" w:color="auto"/>
            </w:tcBorders>
            <w:shd w:val="clear" w:color="auto" w:fill="A8D08D" w:themeFill="accent6" w:themeFillTint="99"/>
          </w:tcPr>
          <w:p w:rsidR="00CD7572" w:rsidRPr="00CD7572" w:rsidRDefault="0062660D" w:rsidP="00CD7572">
            <w:pPr>
              <w:jc w:val="right"/>
              <w:rPr>
                <w:b/>
              </w:rPr>
            </w:pPr>
            <w:r w:rsidRPr="00CD7572">
              <w:rPr>
                <w:b/>
              </w:rPr>
              <w:t>£m</w:t>
            </w:r>
          </w:p>
        </w:tc>
      </w:tr>
      <w:tr w:rsidR="006A2C17" w:rsidTr="00E245D6">
        <w:trPr>
          <w:trHeight w:val="243"/>
        </w:trPr>
        <w:tc>
          <w:tcPr>
            <w:tcW w:w="4250" w:type="dxa"/>
            <w:tcBorders>
              <w:top w:val="single" w:sz="2" w:space="0" w:color="auto"/>
            </w:tcBorders>
          </w:tcPr>
          <w:p w:rsidR="00CD7572" w:rsidRPr="00CD7572" w:rsidRDefault="0062660D" w:rsidP="00CD7572">
            <w:pPr>
              <w:jc w:val="left"/>
            </w:pPr>
          </w:p>
        </w:tc>
        <w:tc>
          <w:tcPr>
            <w:tcW w:w="2268" w:type="dxa"/>
            <w:tcBorders>
              <w:top w:val="single" w:sz="2" w:space="0" w:color="auto"/>
            </w:tcBorders>
          </w:tcPr>
          <w:p w:rsidR="00CD7572" w:rsidRPr="00CD7572" w:rsidRDefault="0062660D" w:rsidP="00CD7572">
            <w:pPr>
              <w:jc w:val="center"/>
            </w:pPr>
          </w:p>
        </w:tc>
        <w:tc>
          <w:tcPr>
            <w:tcW w:w="1701" w:type="dxa"/>
            <w:gridSpan w:val="2"/>
            <w:tcBorders>
              <w:top w:val="single" w:sz="2" w:space="0" w:color="auto"/>
            </w:tcBorders>
          </w:tcPr>
          <w:p w:rsidR="00CD7572" w:rsidRPr="00CD7572" w:rsidRDefault="0062660D" w:rsidP="00CD7572">
            <w:pPr>
              <w:jc w:val="right"/>
            </w:pPr>
          </w:p>
        </w:tc>
        <w:tc>
          <w:tcPr>
            <w:tcW w:w="709" w:type="dxa"/>
            <w:tcBorders>
              <w:top w:val="single" w:sz="2" w:space="0" w:color="auto"/>
            </w:tcBorders>
          </w:tcPr>
          <w:p w:rsidR="00CD7572" w:rsidRPr="00CD7572" w:rsidRDefault="0062660D" w:rsidP="00CD7572">
            <w:pPr>
              <w:jc w:val="right"/>
            </w:pPr>
          </w:p>
        </w:tc>
        <w:tc>
          <w:tcPr>
            <w:tcW w:w="1522" w:type="dxa"/>
            <w:tcBorders>
              <w:top w:val="single" w:sz="2" w:space="0" w:color="auto"/>
            </w:tcBorders>
          </w:tcPr>
          <w:p w:rsidR="00CD7572" w:rsidRPr="00CD7572" w:rsidRDefault="0062660D" w:rsidP="00CD7572">
            <w:pPr>
              <w:jc w:val="right"/>
            </w:pPr>
          </w:p>
        </w:tc>
      </w:tr>
      <w:tr w:rsidR="006A2C17" w:rsidTr="00E245D6">
        <w:trPr>
          <w:trHeight w:val="440"/>
        </w:trPr>
        <w:tc>
          <w:tcPr>
            <w:tcW w:w="4250" w:type="dxa"/>
          </w:tcPr>
          <w:p w:rsidR="00CD7572" w:rsidRPr="00CD7572" w:rsidRDefault="0062660D" w:rsidP="00CD7572">
            <w:pPr>
              <w:jc w:val="left"/>
            </w:pPr>
            <w:r w:rsidRPr="00CD7572">
              <w:t>Investment assets</w:t>
            </w:r>
          </w:p>
        </w:tc>
        <w:tc>
          <w:tcPr>
            <w:tcW w:w="2268" w:type="dxa"/>
          </w:tcPr>
          <w:p w:rsidR="00CD7572" w:rsidRPr="00CD7572" w:rsidRDefault="0062660D" w:rsidP="00CD7572">
            <w:pPr>
              <w:jc w:val="center"/>
            </w:pPr>
            <w:r w:rsidRPr="00CD7572">
              <w:t>14</w:t>
            </w:r>
          </w:p>
        </w:tc>
        <w:tc>
          <w:tcPr>
            <w:tcW w:w="1701" w:type="dxa"/>
            <w:gridSpan w:val="2"/>
          </w:tcPr>
          <w:p w:rsidR="00CD7572" w:rsidRPr="00CD7572" w:rsidRDefault="0062660D" w:rsidP="00CD7572">
            <w:pPr>
              <w:jc w:val="right"/>
            </w:pPr>
            <w:r w:rsidRPr="00CD7572">
              <w:t>6,108.0</w:t>
            </w:r>
          </w:p>
        </w:tc>
        <w:tc>
          <w:tcPr>
            <w:tcW w:w="709" w:type="dxa"/>
          </w:tcPr>
          <w:p w:rsidR="00CD7572" w:rsidRPr="00CD7572" w:rsidRDefault="0062660D" w:rsidP="00CD7572">
            <w:pPr>
              <w:jc w:val="right"/>
            </w:pPr>
          </w:p>
        </w:tc>
        <w:tc>
          <w:tcPr>
            <w:tcW w:w="1522" w:type="dxa"/>
          </w:tcPr>
          <w:p w:rsidR="00CD7572" w:rsidRPr="00CD7572" w:rsidRDefault="0062660D" w:rsidP="00CD7572">
            <w:pPr>
              <w:jc w:val="right"/>
            </w:pPr>
            <w:r w:rsidRPr="00CD7572">
              <w:t>6,383.1</w:t>
            </w:r>
          </w:p>
        </w:tc>
      </w:tr>
      <w:tr w:rsidR="006A2C17" w:rsidTr="00E245D6">
        <w:trPr>
          <w:trHeight w:val="488"/>
        </w:trPr>
        <w:tc>
          <w:tcPr>
            <w:tcW w:w="4250" w:type="dxa"/>
          </w:tcPr>
          <w:p w:rsidR="00CD7572" w:rsidRPr="00CD7572" w:rsidRDefault="0062660D" w:rsidP="00CD7572">
            <w:pPr>
              <w:jc w:val="left"/>
            </w:pPr>
            <w:r w:rsidRPr="00CD7572">
              <w:t xml:space="preserve">Cash </w:t>
            </w:r>
            <w:r w:rsidRPr="00CD7572">
              <w:t>deposits</w:t>
            </w:r>
          </w:p>
        </w:tc>
        <w:tc>
          <w:tcPr>
            <w:tcW w:w="2268" w:type="dxa"/>
          </w:tcPr>
          <w:p w:rsidR="00CD7572" w:rsidRPr="00CD7572" w:rsidRDefault="0062660D" w:rsidP="00CD7572">
            <w:pPr>
              <w:jc w:val="center"/>
            </w:pPr>
            <w:r w:rsidRPr="00CD7572">
              <w:t>14</w:t>
            </w:r>
          </w:p>
        </w:tc>
        <w:tc>
          <w:tcPr>
            <w:tcW w:w="1701" w:type="dxa"/>
            <w:gridSpan w:val="2"/>
            <w:tcBorders>
              <w:bottom w:val="single" w:sz="12" w:space="0" w:color="auto"/>
            </w:tcBorders>
          </w:tcPr>
          <w:p w:rsidR="00CD7572" w:rsidRPr="00CD7572" w:rsidRDefault="0062660D" w:rsidP="00CD7572">
            <w:pPr>
              <w:jc w:val="right"/>
            </w:pPr>
            <w:r w:rsidRPr="00CD7572">
              <w:t>210.3</w:t>
            </w:r>
          </w:p>
        </w:tc>
        <w:tc>
          <w:tcPr>
            <w:tcW w:w="709" w:type="dxa"/>
          </w:tcPr>
          <w:p w:rsidR="00CD7572" w:rsidRPr="00CD7572" w:rsidRDefault="0062660D" w:rsidP="00CD7572">
            <w:pPr>
              <w:jc w:val="right"/>
            </w:pPr>
          </w:p>
        </w:tc>
        <w:tc>
          <w:tcPr>
            <w:tcW w:w="1522" w:type="dxa"/>
            <w:tcBorders>
              <w:bottom w:val="single" w:sz="12" w:space="0" w:color="auto"/>
            </w:tcBorders>
          </w:tcPr>
          <w:p w:rsidR="00CD7572" w:rsidRPr="00CD7572" w:rsidRDefault="0062660D" w:rsidP="00CD7572">
            <w:pPr>
              <w:jc w:val="right"/>
            </w:pPr>
            <w:r w:rsidRPr="00CD7572">
              <w:t>60.0</w:t>
            </w:r>
          </w:p>
        </w:tc>
      </w:tr>
      <w:tr w:rsidR="006A2C17" w:rsidTr="00E245D6">
        <w:trPr>
          <w:trHeight w:val="522"/>
        </w:trPr>
        <w:tc>
          <w:tcPr>
            <w:tcW w:w="4250" w:type="dxa"/>
            <w:shd w:val="clear" w:color="auto" w:fill="E2EFD9" w:themeFill="accent6" w:themeFillTint="33"/>
          </w:tcPr>
          <w:p w:rsidR="00CD7572" w:rsidRPr="00CD7572" w:rsidRDefault="0062660D" w:rsidP="00CD7572">
            <w:pPr>
              <w:jc w:val="left"/>
            </w:pPr>
          </w:p>
        </w:tc>
        <w:tc>
          <w:tcPr>
            <w:tcW w:w="2268" w:type="dxa"/>
            <w:shd w:val="clear" w:color="auto" w:fill="E2EFD9" w:themeFill="accent6" w:themeFillTint="33"/>
          </w:tcPr>
          <w:p w:rsidR="00CD7572" w:rsidRPr="00CD7572" w:rsidRDefault="0062660D" w:rsidP="00CD7572">
            <w:pPr>
              <w:jc w:val="center"/>
              <w:rPr>
                <w:highlight w:val="yellow"/>
              </w:rPr>
            </w:pPr>
          </w:p>
        </w:tc>
        <w:tc>
          <w:tcPr>
            <w:tcW w:w="1701" w:type="dxa"/>
            <w:gridSpan w:val="2"/>
            <w:tcBorders>
              <w:top w:val="single" w:sz="12" w:space="0" w:color="auto"/>
              <w:bottom w:val="nil"/>
            </w:tcBorders>
            <w:shd w:val="clear" w:color="auto" w:fill="E2EFD9" w:themeFill="accent6" w:themeFillTint="33"/>
          </w:tcPr>
          <w:p w:rsidR="00CD7572" w:rsidRPr="00CD7572" w:rsidRDefault="0062660D" w:rsidP="00CD7572">
            <w:pPr>
              <w:jc w:val="right"/>
            </w:pPr>
            <w:r w:rsidRPr="00CD7572">
              <w:t>6,318.3</w:t>
            </w:r>
          </w:p>
        </w:tc>
        <w:tc>
          <w:tcPr>
            <w:tcW w:w="709" w:type="dxa"/>
            <w:shd w:val="clear" w:color="auto" w:fill="E2EFD9" w:themeFill="accent6" w:themeFillTint="33"/>
            <w:vAlign w:val="center"/>
          </w:tcPr>
          <w:p w:rsidR="00CD7572" w:rsidRPr="00CD7572" w:rsidRDefault="0062660D" w:rsidP="00CD7572">
            <w:pPr>
              <w:jc w:val="right"/>
            </w:pPr>
          </w:p>
        </w:tc>
        <w:tc>
          <w:tcPr>
            <w:tcW w:w="1522" w:type="dxa"/>
            <w:tcBorders>
              <w:top w:val="single" w:sz="12" w:space="0" w:color="auto"/>
            </w:tcBorders>
            <w:shd w:val="clear" w:color="auto" w:fill="E2EFD9" w:themeFill="accent6" w:themeFillTint="33"/>
            <w:vAlign w:val="center"/>
          </w:tcPr>
          <w:p w:rsidR="00CD7572" w:rsidRPr="00CD7572" w:rsidRDefault="0062660D" w:rsidP="00CD7572">
            <w:pPr>
              <w:jc w:val="right"/>
            </w:pPr>
            <w:r w:rsidRPr="00CD7572">
              <w:t>6,443.1</w:t>
            </w:r>
          </w:p>
        </w:tc>
      </w:tr>
      <w:tr w:rsidR="006A2C17" w:rsidTr="00E245D6">
        <w:trPr>
          <w:trHeight w:val="513"/>
        </w:trPr>
        <w:tc>
          <w:tcPr>
            <w:tcW w:w="4250" w:type="dxa"/>
          </w:tcPr>
          <w:p w:rsidR="00CD7572" w:rsidRPr="00CD7572" w:rsidRDefault="0062660D" w:rsidP="00CD7572">
            <w:pPr>
              <w:jc w:val="left"/>
            </w:pPr>
            <w:r w:rsidRPr="00CD7572">
              <w:t>Investment liabilities</w:t>
            </w:r>
          </w:p>
        </w:tc>
        <w:tc>
          <w:tcPr>
            <w:tcW w:w="2268" w:type="dxa"/>
          </w:tcPr>
          <w:p w:rsidR="00CD7572" w:rsidRPr="00CD7572" w:rsidRDefault="0062660D" w:rsidP="00CD7572">
            <w:pPr>
              <w:jc w:val="center"/>
              <w:rPr>
                <w:highlight w:val="yellow"/>
              </w:rPr>
            </w:pPr>
            <w:r w:rsidRPr="00CD7572">
              <w:t>14</w:t>
            </w:r>
          </w:p>
        </w:tc>
        <w:tc>
          <w:tcPr>
            <w:tcW w:w="1701" w:type="dxa"/>
            <w:gridSpan w:val="2"/>
            <w:tcBorders>
              <w:top w:val="nil"/>
            </w:tcBorders>
          </w:tcPr>
          <w:p w:rsidR="00CD7572" w:rsidRPr="00CD7572" w:rsidRDefault="0062660D" w:rsidP="00CD7572">
            <w:pPr>
              <w:jc w:val="right"/>
            </w:pPr>
            <w:r w:rsidRPr="00CD7572">
              <w:t>(291.0)</w:t>
            </w:r>
          </w:p>
        </w:tc>
        <w:tc>
          <w:tcPr>
            <w:tcW w:w="709" w:type="dxa"/>
            <w:vAlign w:val="center"/>
          </w:tcPr>
          <w:p w:rsidR="00CD7572" w:rsidRPr="00CD7572" w:rsidRDefault="0062660D" w:rsidP="00CD7572">
            <w:pPr>
              <w:jc w:val="right"/>
            </w:pPr>
          </w:p>
        </w:tc>
        <w:tc>
          <w:tcPr>
            <w:tcW w:w="1522" w:type="dxa"/>
            <w:vAlign w:val="center"/>
          </w:tcPr>
          <w:p w:rsidR="00CD7572" w:rsidRPr="00CD7572" w:rsidRDefault="0062660D" w:rsidP="00CD7572">
            <w:pPr>
              <w:jc w:val="right"/>
            </w:pPr>
            <w:r w:rsidRPr="00CD7572">
              <w:t>(629.6)</w:t>
            </w:r>
          </w:p>
        </w:tc>
      </w:tr>
      <w:tr w:rsidR="006A2C17" w:rsidTr="00E245D6">
        <w:trPr>
          <w:trHeight w:val="548"/>
        </w:trPr>
        <w:tc>
          <w:tcPr>
            <w:tcW w:w="4250" w:type="dxa"/>
          </w:tcPr>
          <w:p w:rsidR="00CD7572" w:rsidRPr="00CD7572" w:rsidRDefault="0062660D" w:rsidP="00CD7572">
            <w:pPr>
              <w:jc w:val="left"/>
            </w:pPr>
            <w:r w:rsidRPr="00CD7572">
              <w:t>Current assets</w:t>
            </w:r>
          </w:p>
        </w:tc>
        <w:tc>
          <w:tcPr>
            <w:tcW w:w="2268" w:type="dxa"/>
          </w:tcPr>
          <w:p w:rsidR="00CD7572" w:rsidRPr="00CD7572" w:rsidRDefault="0062660D" w:rsidP="00CD7572">
            <w:pPr>
              <w:jc w:val="center"/>
              <w:rPr>
                <w:highlight w:val="yellow"/>
              </w:rPr>
            </w:pPr>
            <w:r w:rsidRPr="00CD7572">
              <w:t>20</w:t>
            </w:r>
          </w:p>
        </w:tc>
        <w:tc>
          <w:tcPr>
            <w:tcW w:w="1701" w:type="dxa"/>
            <w:gridSpan w:val="2"/>
          </w:tcPr>
          <w:p w:rsidR="00CD7572" w:rsidRPr="00CD7572" w:rsidRDefault="0062660D" w:rsidP="00CD7572">
            <w:pPr>
              <w:jc w:val="right"/>
            </w:pPr>
            <w:r w:rsidRPr="00CD7572">
              <w:t>27.7</w:t>
            </w:r>
          </w:p>
        </w:tc>
        <w:tc>
          <w:tcPr>
            <w:tcW w:w="709" w:type="dxa"/>
            <w:vAlign w:val="center"/>
          </w:tcPr>
          <w:p w:rsidR="00CD7572" w:rsidRPr="00CD7572" w:rsidRDefault="0062660D" w:rsidP="00CD7572">
            <w:pPr>
              <w:jc w:val="right"/>
            </w:pPr>
          </w:p>
        </w:tc>
        <w:tc>
          <w:tcPr>
            <w:tcW w:w="1522" w:type="dxa"/>
            <w:vAlign w:val="center"/>
          </w:tcPr>
          <w:p w:rsidR="00CD7572" w:rsidRPr="00CD7572" w:rsidRDefault="0062660D" w:rsidP="00CD7572">
            <w:pPr>
              <w:jc w:val="right"/>
            </w:pPr>
            <w:r w:rsidRPr="00CD7572">
              <w:t>28.1</w:t>
            </w:r>
          </w:p>
        </w:tc>
      </w:tr>
      <w:tr w:rsidR="006A2C17" w:rsidTr="00E245D6">
        <w:trPr>
          <w:trHeight w:val="568"/>
        </w:trPr>
        <w:tc>
          <w:tcPr>
            <w:tcW w:w="4250" w:type="dxa"/>
          </w:tcPr>
          <w:p w:rsidR="00CD7572" w:rsidRPr="00CD7572" w:rsidRDefault="0062660D" w:rsidP="00CD7572">
            <w:pPr>
              <w:jc w:val="left"/>
            </w:pPr>
            <w:r w:rsidRPr="00CD7572">
              <w:t>Current liabilities</w:t>
            </w:r>
          </w:p>
        </w:tc>
        <w:tc>
          <w:tcPr>
            <w:tcW w:w="2268" w:type="dxa"/>
          </w:tcPr>
          <w:p w:rsidR="00CD7572" w:rsidRPr="00CD7572" w:rsidRDefault="0062660D" w:rsidP="00CD7572">
            <w:pPr>
              <w:jc w:val="center"/>
              <w:rPr>
                <w:highlight w:val="yellow"/>
              </w:rPr>
            </w:pPr>
            <w:r w:rsidRPr="00CD7572">
              <w:t>21</w:t>
            </w:r>
          </w:p>
        </w:tc>
        <w:tc>
          <w:tcPr>
            <w:tcW w:w="1701" w:type="dxa"/>
            <w:gridSpan w:val="2"/>
            <w:tcBorders>
              <w:bottom w:val="single" w:sz="18" w:space="0" w:color="auto"/>
            </w:tcBorders>
          </w:tcPr>
          <w:p w:rsidR="00CD7572" w:rsidRPr="00CD7572" w:rsidRDefault="0062660D" w:rsidP="00CD7572">
            <w:pPr>
              <w:jc w:val="right"/>
            </w:pPr>
            <w:r w:rsidRPr="00CD7572">
              <w:t>(18.8)</w:t>
            </w:r>
          </w:p>
        </w:tc>
        <w:tc>
          <w:tcPr>
            <w:tcW w:w="709" w:type="dxa"/>
            <w:vAlign w:val="center"/>
          </w:tcPr>
          <w:p w:rsidR="00CD7572" w:rsidRPr="00CD7572" w:rsidRDefault="0062660D" w:rsidP="00CD7572">
            <w:pPr>
              <w:jc w:val="right"/>
            </w:pPr>
          </w:p>
        </w:tc>
        <w:tc>
          <w:tcPr>
            <w:tcW w:w="1522" w:type="dxa"/>
            <w:tcBorders>
              <w:bottom w:val="single" w:sz="18" w:space="0" w:color="auto"/>
            </w:tcBorders>
            <w:vAlign w:val="center"/>
          </w:tcPr>
          <w:p w:rsidR="00CD7572" w:rsidRPr="00CD7572" w:rsidRDefault="0062660D" w:rsidP="00CD7572">
            <w:pPr>
              <w:jc w:val="right"/>
            </w:pPr>
            <w:r w:rsidRPr="00CD7572">
              <w:t>(10.9)</w:t>
            </w:r>
          </w:p>
        </w:tc>
      </w:tr>
      <w:tr w:rsidR="006A2C17" w:rsidTr="00E245D6">
        <w:tc>
          <w:tcPr>
            <w:tcW w:w="4250" w:type="dxa"/>
            <w:shd w:val="clear" w:color="auto" w:fill="C5E0B3" w:themeFill="accent6" w:themeFillTint="66"/>
            <w:vAlign w:val="center"/>
          </w:tcPr>
          <w:p w:rsidR="00CD7572" w:rsidRPr="00CD7572" w:rsidRDefault="0062660D" w:rsidP="00CD7572">
            <w:pPr>
              <w:jc w:val="left"/>
              <w:rPr>
                <w:b/>
              </w:rPr>
            </w:pPr>
            <w:r w:rsidRPr="00CD7572">
              <w:rPr>
                <w:b/>
              </w:rPr>
              <w:t>Net assets of the Fund available to fund benefits at the period end</w:t>
            </w:r>
          </w:p>
        </w:tc>
        <w:tc>
          <w:tcPr>
            <w:tcW w:w="2268" w:type="dxa"/>
            <w:shd w:val="clear" w:color="auto" w:fill="C5E0B3" w:themeFill="accent6" w:themeFillTint="66"/>
            <w:vAlign w:val="center"/>
          </w:tcPr>
          <w:p w:rsidR="00CD7572" w:rsidRPr="00CD7572" w:rsidRDefault="0062660D" w:rsidP="00CD7572">
            <w:pPr>
              <w:jc w:val="right"/>
              <w:rPr>
                <w:b/>
              </w:rPr>
            </w:pPr>
          </w:p>
        </w:tc>
        <w:tc>
          <w:tcPr>
            <w:tcW w:w="1701" w:type="dxa"/>
            <w:gridSpan w:val="2"/>
            <w:tcBorders>
              <w:top w:val="single" w:sz="18" w:space="0" w:color="auto"/>
            </w:tcBorders>
            <w:shd w:val="clear" w:color="auto" w:fill="C5E0B3" w:themeFill="accent6" w:themeFillTint="66"/>
            <w:vAlign w:val="center"/>
          </w:tcPr>
          <w:p w:rsidR="00CD7572" w:rsidRPr="00CD7572" w:rsidRDefault="0062660D" w:rsidP="00CD7572">
            <w:pPr>
              <w:jc w:val="right"/>
              <w:rPr>
                <w:b/>
              </w:rPr>
            </w:pPr>
            <w:r w:rsidRPr="00CD7572">
              <w:rPr>
                <w:b/>
              </w:rPr>
              <w:t>6,036.2</w:t>
            </w:r>
          </w:p>
        </w:tc>
        <w:tc>
          <w:tcPr>
            <w:tcW w:w="709" w:type="dxa"/>
            <w:shd w:val="clear" w:color="auto" w:fill="C5E0B3" w:themeFill="accent6" w:themeFillTint="66"/>
            <w:vAlign w:val="center"/>
          </w:tcPr>
          <w:p w:rsidR="00CD7572" w:rsidRPr="00CD7572" w:rsidRDefault="0062660D" w:rsidP="00CD7572">
            <w:pPr>
              <w:jc w:val="right"/>
              <w:rPr>
                <w:b/>
              </w:rPr>
            </w:pPr>
          </w:p>
        </w:tc>
        <w:tc>
          <w:tcPr>
            <w:tcW w:w="1522" w:type="dxa"/>
            <w:tcBorders>
              <w:top w:val="single" w:sz="18" w:space="0" w:color="auto"/>
              <w:bottom w:val="single" w:sz="18" w:space="0" w:color="auto"/>
            </w:tcBorders>
            <w:shd w:val="clear" w:color="auto" w:fill="C5E0B3" w:themeFill="accent6" w:themeFillTint="66"/>
            <w:vAlign w:val="center"/>
          </w:tcPr>
          <w:p w:rsidR="00CD7572" w:rsidRPr="00CD7572" w:rsidRDefault="0062660D" w:rsidP="00CD7572">
            <w:pPr>
              <w:jc w:val="right"/>
              <w:rPr>
                <w:b/>
              </w:rPr>
            </w:pPr>
            <w:r w:rsidRPr="00CD7572">
              <w:rPr>
                <w:b/>
              </w:rPr>
              <w:t>5,830.7</w:t>
            </w:r>
          </w:p>
        </w:tc>
      </w:tr>
      <w:tr w:rsidR="006A2C17" w:rsidTr="00E245D6">
        <w:tc>
          <w:tcPr>
            <w:tcW w:w="4250" w:type="dxa"/>
            <w:shd w:val="clear" w:color="auto" w:fill="C5E0B3" w:themeFill="accent6" w:themeFillTint="66"/>
          </w:tcPr>
          <w:p w:rsidR="00CD7572" w:rsidRPr="00CD7572" w:rsidRDefault="0062660D" w:rsidP="00CD7572">
            <w:pPr>
              <w:jc w:val="left"/>
            </w:pPr>
          </w:p>
        </w:tc>
        <w:tc>
          <w:tcPr>
            <w:tcW w:w="2410" w:type="dxa"/>
            <w:gridSpan w:val="2"/>
            <w:shd w:val="clear" w:color="auto" w:fill="C5E0B3" w:themeFill="accent6" w:themeFillTint="66"/>
          </w:tcPr>
          <w:p w:rsidR="00CD7572" w:rsidRPr="00CD7572" w:rsidRDefault="0062660D" w:rsidP="00CD7572">
            <w:pPr>
              <w:jc w:val="center"/>
            </w:pPr>
          </w:p>
        </w:tc>
        <w:tc>
          <w:tcPr>
            <w:tcW w:w="1559" w:type="dxa"/>
            <w:tcBorders>
              <w:top w:val="single" w:sz="18" w:space="0" w:color="auto"/>
            </w:tcBorders>
            <w:shd w:val="clear" w:color="auto" w:fill="C5E0B3" w:themeFill="accent6" w:themeFillTint="66"/>
          </w:tcPr>
          <w:p w:rsidR="00CD7572" w:rsidRPr="00CD7572" w:rsidRDefault="0062660D" w:rsidP="00CD7572">
            <w:pPr>
              <w:jc w:val="right"/>
            </w:pPr>
          </w:p>
        </w:tc>
        <w:tc>
          <w:tcPr>
            <w:tcW w:w="709" w:type="dxa"/>
            <w:shd w:val="clear" w:color="auto" w:fill="C5E0B3" w:themeFill="accent6" w:themeFillTint="66"/>
          </w:tcPr>
          <w:p w:rsidR="00CD7572" w:rsidRPr="00CD7572" w:rsidRDefault="0062660D" w:rsidP="00CD7572">
            <w:pPr>
              <w:jc w:val="right"/>
            </w:pPr>
          </w:p>
        </w:tc>
        <w:tc>
          <w:tcPr>
            <w:tcW w:w="1522" w:type="dxa"/>
            <w:tcBorders>
              <w:top w:val="single" w:sz="18" w:space="0" w:color="auto"/>
            </w:tcBorders>
            <w:shd w:val="clear" w:color="auto" w:fill="C5E0B3" w:themeFill="accent6" w:themeFillTint="66"/>
          </w:tcPr>
          <w:p w:rsidR="00CD7572" w:rsidRPr="00CD7572" w:rsidRDefault="0062660D" w:rsidP="00CD7572">
            <w:pPr>
              <w:jc w:val="right"/>
            </w:pPr>
          </w:p>
        </w:tc>
      </w:tr>
    </w:tbl>
    <w:p w:rsidR="00CD7572" w:rsidRPr="00CD7572" w:rsidRDefault="0062660D" w:rsidP="00CD7572"/>
    <w:p w:rsidR="00CD7572" w:rsidRPr="00CD7572" w:rsidRDefault="0062660D" w:rsidP="00CD7572"/>
    <w:p w:rsidR="00CD7572" w:rsidRPr="00CD7572" w:rsidRDefault="0062660D" w:rsidP="00CD7572">
      <w:pPr>
        <w:jc w:val="left"/>
      </w:pPr>
      <w:r w:rsidRPr="00CD7572">
        <w:t>The</w:t>
      </w:r>
      <w:r w:rsidRPr="00CD7572">
        <w:t xml:space="preserve"> Pension Fund's financial statements do not take account of liabilities to pay pensions and other benefits after the period end.</w:t>
      </w:r>
    </w:p>
    <w:p w:rsidR="00CD7572" w:rsidRPr="00CD7572" w:rsidRDefault="0062660D" w:rsidP="00CD7572">
      <w:pPr>
        <w:keepNext/>
        <w:jc w:val="left"/>
        <w:outlineLvl w:val="2"/>
      </w:pPr>
      <w:r w:rsidRPr="00CD7572">
        <w:t>This statement of accounts is that upon which the auditor should enter his certificate and opinion.  It presents fairly the pos</w:t>
      </w:r>
      <w:r w:rsidRPr="00CD7572">
        <w:t>ition of the Lancashire County Pension Fund as at 31 March 2016 and its income and expenditure for the year then ended.</w:t>
      </w:r>
    </w:p>
    <w:p w:rsidR="00CD7572" w:rsidRPr="00CD7572" w:rsidRDefault="0062660D" w:rsidP="00CD7572">
      <w:pPr>
        <w:rPr>
          <w:color w:val="auto"/>
        </w:rPr>
      </w:pPr>
    </w:p>
    <w:p w:rsidR="00CD7572" w:rsidRPr="00CD7572" w:rsidRDefault="0062660D" w:rsidP="00CD7572">
      <w:pPr>
        <w:rPr>
          <w:color w:val="auto"/>
        </w:rPr>
      </w:pPr>
    </w:p>
    <w:p w:rsidR="00CD7572" w:rsidRPr="00CD7572" w:rsidRDefault="0062660D" w:rsidP="00CD7572">
      <w:pPr>
        <w:rPr>
          <w:color w:val="auto"/>
        </w:rPr>
      </w:pPr>
    </w:p>
    <w:p w:rsidR="00CD7572" w:rsidRPr="00CD7572" w:rsidRDefault="0062660D" w:rsidP="00CD7572">
      <w:pPr>
        <w:rPr>
          <w:color w:val="auto"/>
        </w:rPr>
      </w:pPr>
    </w:p>
    <w:p w:rsidR="00CD7572" w:rsidRPr="00CD7572" w:rsidRDefault="0062660D" w:rsidP="00CD7572">
      <w:pPr>
        <w:rPr>
          <w:color w:val="auto"/>
        </w:rPr>
      </w:pPr>
    </w:p>
    <w:tbl>
      <w:tblPr>
        <w:tblW w:w="0" w:type="auto"/>
        <w:tblLook w:val="04A0" w:firstRow="1" w:lastRow="0" w:firstColumn="1" w:lastColumn="0" w:noHBand="0" w:noVBand="1"/>
      </w:tblPr>
      <w:tblGrid>
        <w:gridCol w:w="4926"/>
        <w:gridCol w:w="4927"/>
      </w:tblGrid>
      <w:tr w:rsidR="006A2C17" w:rsidTr="00E245D6">
        <w:tc>
          <w:tcPr>
            <w:tcW w:w="4926" w:type="dxa"/>
          </w:tcPr>
          <w:p w:rsidR="00CD7572" w:rsidRPr="00CD7572" w:rsidRDefault="0062660D" w:rsidP="00CD7572">
            <w:pPr>
              <w:spacing w:after="0"/>
              <w:jc w:val="left"/>
              <w:rPr>
                <w:b/>
              </w:rPr>
            </w:pPr>
            <w:r w:rsidRPr="00CD7572">
              <w:rPr>
                <w:b/>
              </w:rPr>
              <w:t>Neil Kissock</w:t>
            </w:r>
            <w:r w:rsidRPr="00CD7572">
              <w:rPr>
                <w:b/>
              </w:rPr>
              <w:tab/>
              <w:t xml:space="preserve"> </w:t>
            </w:r>
          </w:p>
        </w:tc>
        <w:tc>
          <w:tcPr>
            <w:tcW w:w="4927" w:type="dxa"/>
          </w:tcPr>
          <w:p w:rsidR="00CD7572" w:rsidRPr="00CD7572" w:rsidRDefault="0062660D" w:rsidP="00CD7572">
            <w:pPr>
              <w:spacing w:after="0"/>
              <w:rPr>
                <w:b/>
              </w:rPr>
            </w:pPr>
            <w:r w:rsidRPr="00CD7572">
              <w:rPr>
                <w:b/>
              </w:rPr>
              <w:t>County Councillor Terry Brown</w:t>
            </w:r>
          </w:p>
        </w:tc>
      </w:tr>
      <w:tr w:rsidR="006A2C17" w:rsidTr="00E245D6">
        <w:tc>
          <w:tcPr>
            <w:tcW w:w="4926" w:type="dxa"/>
          </w:tcPr>
          <w:p w:rsidR="00CD7572" w:rsidRPr="00CD7572" w:rsidRDefault="0062660D" w:rsidP="00CD7572">
            <w:pPr>
              <w:spacing w:after="0"/>
              <w:jc w:val="left"/>
              <w:rPr>
                <w:b/>
                <w:highlight w:val="yellow"/>
              </w:rPr>
            </w:pPr>
          </w:p>
        </w:tc>
        <w:tc>
          <w:tcPr>
            <w:tcW w:w="4927" w:type="dxa"/>
          </w:tcPr>
          <w:p w:rsidR="00CD7572" w:rsidRPr="00CD7572" w:rsidRDefault="0062660D" w:rsidP="00CD7572">
            <w:pPr>
              <w:spacing w:after="0"/>
              <w:rPr>
                <w:b/>
              </w:rPr>
            </w:pPr>
          </w:p>
        </w:tc>
      </w:tr>
      <w:tr w:rsidR="006A2C17" w:rsidTr="00E245D6">
        <w:tc>
          <w:tcPr>
            <w:tcW w:w="4926" w:type="dxa"/>
          </w:tcPr>
          <w:p w:rsidR="00CD7572" w:rsidRPr="00CD7572" w:rsidRDefault="0062660D" w:rsidP="00CD7572">
            <w:pPr>
              <w:spacing w:after="0"/>
              <w:jc w:val="left"/>
              <w:rPr>
                <w:b/>
              </w:rPr>
            </w:pPr>
            <w:r w:rsidRPr="00CD7572">
              <w:rPr>
                <w:b/>
              </w:rPr>
              <w:t>Director of Financial Resources</w:t>
            </w:r>
          </w:p>
        </w:tc>
        <w:tc>
          <w:tcPr>
            <w:tcW w:w="4927" w:type="dxa"/>
          </w:tcPr>
          <w:p w:rsidR="00CD7572" w:rsidRPr="00CD7572" w:rsidRDefault="0062660D" w:rsidP="00CD7572">
            <w:pPr>
              <w:jc w:val="left"/>
              <w:rPr>
                <w:b/>
              </w:rPr>
            </w:pPr>
            <w:r w:rsidRPr="00CD7572">
              <w:rPr>
                <w:b/>
              </w:rPr>
              <w:t>Chair of the Audit and Governance Committee</w:t>
            </w:r>
          </w:p>
        </w:tc>
      </w:tr>
    </w:tbl>
    <w:p w:rsidR="00CD7572" w:rsidRPr="00CD7572" w:rsidRDefault="0062660D" w:rsidP="00CD7572">
      <w:pPr>
        <w:rPr>
          <w:b/>
          <w:color w:val="auto"/>
        </w:rPr>
      </w:pPr>
    </w:p>
    <w:p w:rsidR="00CD7572" w:rsidRPr="00CD7572" w:rsidRDefault="0062660D" w:rsidP="00CD7572">
      <w:pPr>
        <w:keepNext/>
        <w:spacing w:before="120"/>
        <w:outlineLvl w:val="0"/>
        <w:rPr>
          <w:rFonts w:eastAsia="Times New Roman"/>
          <w:b/>
          <w:bCs/>
          <w:color w:val="auto"/>
          <w:sz w:val="40"/>
          <w:szCs w:val="28"/>
          <w:lang w:eastAsia="en-GB"/>
        </w:rPr>
      </w:pPr>
      <w:r w:rsidRPr="00CD7572">
        <w:rPr>
          <w:rFonts w:eastAsia="Times New Roman"/>
          <w:b/>
          <w:bCs/>
          <w:color w:val="auto"/>
          <w:sz w:val="40"/>
          <w:szCs w:val="28"/>
          <w:lang w:eastAsia="en-GB"/>
        </w:rPr>
        <w:br w:type="page"/>
      </w:r>
      <w:r w:rsidRPr="00CD7572">
        <w:rPr>
          <w:rFonts w:eastAsia="Times New Roman"/>
          <w:b/>
          <w:bCs/>
          <w:color w:val="auto"/>
          <w:sz w:val="40"/>
          <w:szCs w:val="28"/>
          <w:lang w:eastAsia="en-GB"/>
        </w:rPr>
        <w:t>Notes to the financial statements</w:t>
      </w:r>
    </w:p>
    <w:p w:rsidR="00CD7572" w:rsidRPr="00CD7572" w:rsidRDefault="0062660D" w:rsidP="00CD7572">
      <w:pPr>
        <w:numPr>
          <w:ilvl w:val="0"/>
          <w:numId w:val="6"/>
        </w:numPr>
        <w:tabs>
          <w:tab w:val="clear" w:pos="862"/>
          <w:tab w:val="num" w:pos="567"/>
          <w:tab w:val="num" w:pos="720"/>
        </w:tabs>
        <w:autoSpaceDE/>
        <w:autoSpaceDN/>
        <w:adjustRightInd/>
        <w:spacing w:after="240"/>
        <w:ind w:left="720"/>
        <w:rPr>
          <w:b/>
          <w:sz w:val="32"/>
          <w:szCs w:val="32"/>
        </w:rPr>
      </w:pPr>
      <w:r w:rsidRPr="00CD7572">
        <w:rPr>
          <w:b/>
          <w:sz w:val="32"/>
          <w:szCs w:val="32"/>
        </w:rPr>
        <w:t xml:space="preserve">Pension Fund operations and membership </w:t>
      </w:r>
    </w:p>
    <w:p w:rsidR="00CD7572" w:rsidRPr="00CD7572" w:rsidRDefault="0062660D" w:rsidP="00CD7572">
      <w:pPr>
        <w:ind w:left="567"/>
        <w:jc w:val="left"/>
      </w:pPr>
      <w:r w:rsidRPr="00CD7572">
        <w:t xml:space="preserve">The Lancashire County Pension Fund is part of the Local Government Pension Scheme and is administered by Lancashire County Council. The County Council is the reporting entity for this Pension Fund.  </w:t>
      </w:r>
    </w:p>
    <w:p w:rsidR="00CD7572" w:rsidRPr="00CD7572" w:rsidRDefault="0062660D" w:rsidP="00CD7572">
      <w:pPr>
        <w:ind w:left="567"/>
        <w:jc w:val="left"/>
      </w:pPr>
      <w:r w:rsidRPr="00CD7572">
        <w:t xml:space="preserve">The published accounts show that in </w:t>
      </w:r>
      <w:r w:rsidRPr="00CD7572">
        <w:rPr>
          <w:caps/>
        </w:rPr>
        <w:t>2015/16</w:t>
      </w:r>
      <w:r w:rsidRPr="00CD7572">
        <w:t xml:space="preserve"> cash inflows</w:t>
      </w:r>
      <w:r w:rsidRPr="00CD7572">
        <w:t xml:space="preserve"> during the year consisted of £343.2 million and cash outflows were £303.6 million, representing a net cash inflow of £39.6 million (compared with an outflow of £42.2 million in the previous year).  Benefits payable amounted to £245.8 million and were part</w:t>
      </w:r>
      <w:r w:rsidRPr="00CD7572">
        <w:t xml:space="preserve">ially offset by net investment income of £99.1 million (including £13.1 million accrued dividends); contributions of £238.6 million and transfers in of £5.5 million. </w:t>
      </w:r>
    </w:p>
    <w:p w:rsidR="00CD7572" w:rsidRPr="00CD7572" w:rsidRDefault="0062660D" w:rsidP="00CD7572">
      <w:pPr>
        <w:ind w:left="567"/>
        <w:jc w:val="left"/>
      </w:pPr>
      <w:r w:rsidRPr="00CD7572">
        <w:t>The following description of the Fund is a summary only.  For more detail, reference shou</w:t>
      </w:r>
      <w:r w:rsidRPr="00CD7572">
        <w:t>ld be made to the Lancashire County Pension Fund Annual Report 2015/16 and the underlying statutory powers underpinning the scheme, namely the Public Service Pensions Act 2013 and the Local Government Pension Scheme (LGPS) regulations.</w:t>
      </w:r>
    </w:p>
    <w:p w:rsidR="00CD7572" w:rsidRPr="00CD7572" w:rsidRDefault="0062660D" w:rsidP="00CD7572">
      <w:pPr>
        <w:ind w:left="567"/>
        <w:jc w:val="left"/>
      </w:pPr>
    </w:p>
    <w:p w:rsidR="00CD7572" w:rsidRPr="00CD7572" w:rsidRDefault="0062660D" w:rsidP="00CD7572">
      <w:pPr>
        <w:numPr>
          <w:ilvl w:val="1"/>
          <w:numId w:val="18"/>
        </w:numPr>
        <w:autoSpaceDE/>
        <w:autoSpaceDN/>
        <w:adjustRightInd/>
        <w:spacing w:after="0"/>
        <w:contextualSpacing/>
        <w:jc w:val="left"/>
      </w:pPr>
      <w:r w:rsidRPr="00CD7572">
        <w:rPr>
          <w:b/>
        </w:rPr>
        <w:t xml:space="preserve"> General</w:t>
      </w:r>
    </w:p>
    <w:p w:rsidR="00CD7572" w:rsidRPr="00CD7572" w:rsidRDefault="0062660D" w:rsidP="00CD7572">
      <w:pPr>
        <w:ind w:left="567"/>
        <w:jc w:val="left"/>
      </w:pPr>
      <w:r w:rsidRPr="00CD7572">
        <w:t>The scheme</w:t>
      </w:r>
      <w:r w:rsidRPr="00CD7572">
        <w:t xml:space="preserve"> is governed by the Public Service Pensions Act 2013.  The Fund is administered in accordance with the following secondary legislation:</w:t>
      </w:r>
    </w:p>
    <w:p w:rsidR="00CD7572" w:rsidRPr="00CD7572" w:rsidRDefault="0062660D" w:rsidP="00CD7572">
      <w:pPr>
        <w:ind w:left="567"/>
        <w:jc w:val="left"/>
      </w:pPr>
    </w:p>
    <w:p w:rsidR="00CD7572" w:rsidRPr="00CD7572" w:rsidRDefault="0062660D" w:rsidP="00CD7572">
      <w:pPr>
        <w:numPr>
          <w:ilvl w:val="0"/>
          <w:numId w:val="20"/>
        </w:numPr>
        <w:autoSpaceDE/>
        <w:autoSpaceDN/>
        <w:adjustRightInd/>
        <w:spacing w:after="0"/>
        <w:contextualSpacing/>
        <w:jc w:val="left"/>
      </w:pPr>
      <w:r w:rsidRPr="00CD7572">
        <w:t>the Local Government Pension Scheme Regulations 2013 (as amended)</w:t>
      </w:r>
    </w:p>
    <w:p w:rsidR="00CD7572" w:rsidRPr="00CD7572" w:rsidRDefault="0062660D" w:rsidP="00CD7572">
      <w:pPr>
        <w:numPr>
          <w:ilvl w:val="0"/>
          <w:numId w:val="20"/>
        </w:numPr>
        <w:autoSpaceDE/>
        <w:autoSpaceDN/>
        <w:adjustRightInd/>
        <w:spacing w:after="0"/>
        <w:contextualSpacing/>
        <w:jc w:val="left"/>
      </w:pPr>
      <w:r w:rsidRPr="00CD7572">
        <w:t>the Local Government Pension Scheme (Transitional Pro</w:t>
      </w:r>
      <w:r w:rsidRPr="00CD7572">
        <w:t>visions, Savings and Amendment) Regulations 2014 (as amended)</w:t>
      </w:r>
    </w:p>
    <w:p w:rsidR="00CD7572" w:rsidRPr="00CD7572" w:rsidRDefault="0062660D" w:rsidP="00CD7572">
      <w:pPr>
        <w:numPr>
          <w:ilvl w:val="0"/>
          <w:numId w:val="20"/>
        </w:numPr>
        <w:autoSpaceDE/>
        <w:autoSpaceDN/>
        <w:adjustRightInd/>
        <w:spacing w:after="0"/>
        <w:contextualSpacing/>
        <w:jc w:val="left"/>
      </w:pPr>
      <w:r w:rsidRPr="00CD7572">
        <w:t>the Local Government Pension Scheme (Management and Investment of Funds) Regulations 2009 (as amended)</w:t>
      </w:r>
    </w:p>
    <w:p w:rsidR="00CD7572" w:rsidRPr="00CD7572" w:rsidRDefault="0062660D" w:rsidP="00CD7572">
      <w:pPr>
        <w:ind w:left="567"/>
        <w:jc w:val="left"/>
      </w:pPr>
    </w:p>
    <w:p w:rsidR="00CD7572" w:rsidRPr="00CD7572" w:rsidRDefault="0062660D" w:rsidP="00CD7572">
      <w:pPr>
        <w:ind w:left="567"/>
        <w:jc w:val="left"/>
      </w:pPr>
      <w:r w:rsidRPr="00CD7572">
        <w:t xml:space="preserve">The Fund is a contributory defined benefit pension scheme administered by Lancashire </w:t>
      </w:r>
      <w:r w:rsidRPr="00CD7572">
        <w:t>County Council to provide pensions and other benefits for pensionable employees of Lancashire County Council, the district councils in Lancashire and a range of other scheduled and admitted bodies within the county area.  Teachers, police officers and fire</w:t>
      </w:r>
      <w:r w:rsidRPr="00CD7572">
        <w:t>-fighters are not included within the Fund as they come within other national pension schemes.</w:t>
      </w:r>
    </w:p>
    <w:p w:rsidR="00CD7572" w:rsidRPr="00CD7572" w:rsidRDefault="0062660D" w:rsidP="00CD7572">
      <w:pPr>
        <w:ind w:left="567"/>
        <w:jc w:val="left"/>
      </w:pPr>
      <w:r w:rsidRPr="00CD7572">
        <w:t>The Fund is overseen by the Lancashire Pension Fund Committee, which is a committee of Lancashire County Council.</w:t>
      </w:r>
    </w:p>
    <w:p w:rsidR="00CD7572" w:rsidRPr="00CD7572" w:rsidRDefault="0062660D" w:rsidP="00CD7572">
      <w:pPr>
        <w:ind w:left="567"/>
        <w:jc w:val="left"/>
        <w:rPr>
          <w:color w:val="0000FF"/>
          <w:u w:val="single"/>
        </w:rPr>
      </w:pPr>
      <w:r w:rsidRPr="00CD7572">
        <w:t>The investments of the Pension Fund are managed</w:t>
      </w:r>
      <w:r w:rsidRPr="00CD7572">
        <w:t xml:space="preserve"> by both external and in-house investment managers.  The asset allocation and policy in respect of the investments of the Fund is determined by the Pension Fund Committee, which meets four times a year with the Investment Panel in attendance.  The Investme</w:t>
      </w:r>
      <w:r w:rsidRPr="00CD7572">
        <w:t xml:space="preserve">nt Panel meet at least quarterly, or otherwise as necessary.  The Panel are responsible for making recommendations to the Pension Fund Committee in relation to the investment strategy of the Fund as well as monitoring the activities and performance of the </w:t>
      </w:r>
      <w:r w:rsidRPr="00CD7572">
        <w:t xml:space="preserve">investment managers.  Full details of the Panel and Committees responsibilities are published in the Funds Statement of Investment Principles and are available from the Funds website at </w:t>
      </w:r>
      <w:hyperlink r:id="rId41" w:history="1">
        <w:r w:rsidRPr="00CD7572">
          <w:rPr>
            <w:color w:val="0000FF"/>
            <w:u w:val="single"/>
          </w:rPr>
          <w:t>Your Pension Service - Lancashire Fund Information</w:t>
        </w:r>
      </w:hyperlink>
    </w:p>
    <w:p w:rsidR="00CD7572" w:rsidRPr="00CD7572" w:rsidRDefault="0062660D" w:rsidP="00CD7572">
      <w:pPr>
        <w:ind w:left="567"/>
        <w:jc w:val="left"/>
      </w:pPr>
      <w:r w:rsidRPr="00CD7572">
        <w:t>On 8th April 2016 Lancashire County Council entered into a Joint Venture with the London Pensions Fund Authority for the pooling of the executive functions of the two</w:t>
      </w:r>
      <w:r w:rsidRPr="00CD7572">
        <w:t xml:space="preserve"> organisations together with the investment assets of the two funds. </w:t>
      </w:r>
    </w:p>
    <w:p w:rsidR="00CD7572" w:rsidRPr="00CD7572" w:rsidRDefault="0062660D" w:rsidP="00CD7572">
      <w:pPr>
        <w:ind w:left="567"/>
        <w:jc w:val="left"/>
      </w:pPr>
      <w:r w:rsidRPr="00CD7572">
        <w:t xml:space="preserve">The staff involved in the operation of the two funds transferred to the new organisation, the Local Pensions Partnership (LPP) on 8th April 2016 and the investment operations within the </w:t>
      </w:r>
      <w:r w:rsidRPr="00CD7572">
        <w:t xml:space="preserve">company received regulatory approval from the Financial Conduct Authority on 11th April. </w:t>
      </w:r>
    </w:p>
    <w:p w:rsidR="00CD7572" w:rsidRPr="00CD7572" w:rsidRDefault="0062660D" w:rsidP="00CD7572">
      <w:pPr>
        <w:ind w:left="567"/>
        <w:jc w:val="left"/>
      </w:pPr>
      <w:r w:rsidRPr="00CD7572">
        <w:t>LPP will operate the two pension funds under legal agreements with the administering authorities in line with the strategies and policies agreed by the relevant gover</w:t>
      </w:r>
      <w:r w:rsidRPr="00CD7572">
        <w:t>ning bodies, in the case of the Lancashire County Pension Fund the Pension Fund Committee.</w:t>
      </w:r>
    </w:p>
    <w:p w:rsidR="00CD7572" w:rsidRPr="00CD7572" w:rsidRDefault="0062660D" w:rsidP="00CD7572">
      <w:pPr>
        <w:ind w:left="567"/>
        <w:jc w:val="left"/>
        <w:rPr>
          <w:color w:val="0000FF"/>
          <w:u w:val="single"/>
        </w:rPr>
      </w:pPr>
    </w:p>
    <w:p w:rsidR="00CD7572" w:rsidRPr="00CD7572" w:rsidRDefault="0062660D" w:rsidP="00CD7572">
      <w:pPr>
        <w:numPr>
          <w:ilvl w:val="1"/>
          <w:numId w:val="18"/>
        </w:numPr>
        <w:autoSpaceDE/>
        <w:autoSpaceDN/>
        <w:adjustRightInd/>
        <w:spacing w:after="0"/>
        <w:contextualSpacing/>
        <w:jc w:val="left"/>
      </w:pPr>
      <w:r w:rsidRPr="00CD7572">
        <w:rPr>
          <w:b/>
        </w:rPr>
        <w:t xml:space="preserve">  Membership</w:t>
      </w:r>
    </w:p>
    <w:p w:rsidR="00CD7572" w:rsidRPr="00CD7572" w:rsidRDefault="0062660D" w:rsidP="00CD7572">
      <w:pPr>
        <w:ind w:left="567"/>
        <w:contextualSpacing/>
        <w:jc w:val="left"/>
      </w:pPr>
      <w:r w:rsidRPr="00CD7572">
        <w:rPr>
          <w:rFonts w:cs="Arial"/>
        </w:rPr>
        <w:t>Membership of the LGPS is automatic although employees are able to opt-out of membership if they choose. However, employees are re-enrolled every 3 yea</w:t>
      </w:r>
      <w:r w:rsidRPr="00CD7572">
        <w:rPr>
          <w:rFonts w:cs="Arial"/>
        </w:rPr>
        <w:t>rs under the government's auto-enrolment regulations.</w:t>
      </w:r>
    </w:p>
    <w:p w:rsidR="00CD7572" w:rsidRPr="00CD7572" w:rsidRDefault="0062660D" w:rsidP="00CD7572">
      <w:pPr>
        <w:ind w:left="567"/>
        <w:jc w:val="left"/>
      </w:pPr>
    </w:p>
    <w:p w:rsidR="00CD7572" w:rsidRPr="00CD7572" w:rsidRDefault="0062660D" w:rsidP="00CD7572">
      <w:pPr>
        <w:ind w:left="567"/>
        <w:jc w:val="left"/>
      </w:pPr>
      <w:r w:rsidRPr="00CD7572">
        <w:t>Organisations participating in the Lancashire County Pension Fund include:</w:t>
      </w:r>
    </w:p>
    <w:p w:rsidR="00CD7572" w:rsidRPr="00CD7572" w:rsidRDefault="0062660D" w:rsidP="00CD7572">
      <w:pPr>
        <w:numPr>
          <w:ilvl w:val="0"/>
          <w:numId w:val="11"/>
        </w:numPr>
        <w:autoSpaceDE/>
        <w:autoSpaceDN/>
        <w:adjustRightInd/>
        <w:spacing w:after="0"/>
        <w:contextualSpacing/>
        <w:jc w:val="left"/>
      </w:pPr>
      <w:r w:rsidRPr="00CD7572">
        <w:t xml:space="preserve">Scheduled bodies, which are local authorities and similar bodies whose staff are automatically entitled to be members of the </w:t>
      </w:r>
      <w:r w:rsidRPr="00CD7572">
        <w:t>Fund.</w:t>
      </w:r>
    </w:p>
    <w:p w:rsidR="00CD7572" w:rsidRPr="00CD7572" w:rsidRDefault="0062660D" w:rsidP="00CD7572">
      <w:pPr>
        <w:ind w:left="1287"/>
        <w:contextualSpacing/>
        <w:jc w:val="left"/>
      </w:pPr>
    </w:p>
    <w:p w:rsidR="00CD7572" w:rsidRPr="00CD7572" w:rsidRDefault="0062660D" w:rsidP="00CD7572">
      <w:pPr>
        <w:numPr>
          <w:ilvl w:val="0"/>
          <w:numId w:val="11"/>
        </w:numPr>
        <w:autoSpaceDE/>
        <w:autoSpaceDN/>
        <w:adjustRightInd/>
        <w:spacing w:after="0"/>
        <w:contextualSpacing/>
        <w:jc w:val="left"/>
      </w:pPr>
      <w:r w:rsidRPr="00CD7572">
        <w:t>Admitted bodies, which are other organisations that participate in the Fund under an admission agreement between the Fund and the relevant organisation.  Admitted bodies include voluntary, charitable and similar bodies or private contractors underta</w:t>
      </w:r>
      <w:r w:rsidRPr="00CD7572">
        <w:t>king a local authority function following outsourcing to the private sector.</w:t>
      </w:r>
    </w:p>
    <w:p w:rsidR="00CD7572" w:rsidRPr="00CD7572" w:rsidRDefault="0062660D" w:rsidP="00CD7572">
      <w:pPr>
        <w:ind w:left="720"/>
        <w:contextualSpacing/>
        <w:jc w:val="left"/>
      </w:pPr>
    </w:p>
    <w:p w:rsidR="00CD7572" w:rsidRPr="00CD7572" w:rsidRDefault="0062660D" w:rsidP="00CD7572">
      <w:pPr>
        <w:ind w:left="567"/>
        <w:contextualSpacing/>
        <w:jc w:val="left"/>
      </w:pPr>
    </w:p>
    <w:p w:rsidR="00CD7572" w:rsidRPr="00CD7572" w:rsidRDefault="0062660D" w:rsidP="00CD7572">
      <w:pPr>
        <w:ind w:left="567"/>
        <w:contextualSpacing/>
        <w:jc w:val="left"/>
      </w:pPr>
      <w:r w:rsidRPr="00CD7572">
        <w:t>There are 369 employer organisations (2014/15: 320 employer organisations) within Lancashire County Pension Fund including the county council itself, of which 261 have active me</w:t>
      </w:r>
      <w:r w:rsidRPr="00CD7572">
        <w:t>mbers (2014/15: 218) as detailed below:</w:t>
      </w:r>
    </w:p>
    <w:p w:rsidR="00CD7572" w:rsidRPr="00CD7572" w:rsidRDefault="0062660D" w:rsidP="00CD7572">
      <w:pPr>
        <w:ind w:left="567"/>
        <w:contextualSpacing/>
        <w:jc w:val="left"/>
      </w:pPr>
    </w:p>
    <w:p w:rsidR="00CD7572" w:rsidRPr="00CD7572" w:rsidRDefault="0062660D" w:rsidP="00CD7572">
      <w:pPr>
        <w:ind w:left="567"/>
        <w:contextualSpacing/>
        <w:jc w:val="left"/>
      </w:pPr>
    </w:p>
    <w:tbl>
      <w:tblPr>
        <w:tblStyle w:val="TableGrid6"/>
        <w:tblW w:w="0" w:type="auto"/>
        <w:tblInd w:w="567" w:type="dxa"/>
        <w:tblLook w:val="04A0" w:firstRow="1" w:lastRow="0" w:firstColumn="1" w:lastColumn="0" w:noHBand="0" w:noVBand="1"/>
      </w:tblPr>
      <w:tblGrid>
        <w:gridCol w:w="5896"/>
        <w:gridCol w:w="1953"/>
        <w:gridCol w:w="2034"/>
      </w:tblGrid>
      <w:tr w:rsidR="006A2C17" w:rsidTr="00E245D6">
        <w:trPr>
          <w:trHeight w:val="500"/>
        </w:trPr>
        <w:tc>
          <w:tcPr>
            <w:tcW w:w="6062" w:type="dxa"/>
            <w:tcBorders>
              <w:top w:val="single" w:sz="4" w:space="0" w:color="auto"/>
              <w:left w:val="single" w:sz="4" w:space="0" w:color="auto"/>
              <w:bottom w:val="single" w:sz="4" w:space="0" w:color="auto"/>
              <w:right w:val="nil"/>
            </w:tcBorders>
            <w:shd w:val="clear" w:color="auto" w:fill="C5E0B3" w:themeFill="accent6" w:themeFillTint="66"/>
          </w:tcPr>
          <w:p w:rsidR="00CD7572" w:rsidRPr="00CD7572" w:rsidRDefault="0062660D" w:rsidP="00CD7572">
            <w:pPr>
              <w:contextualSpacing/>
              <w:jc w:val="left"/>
              <w:rPr>
                <w:b/>
              </w:rPr>
            </w:pPr>
            <w:r w:rsidRPr="00CD7572">
              <w:rPr>
                <w:b/>
              </w:rPr>
              <w:t>Lancashire County Pension Fund</w:t>
            </w:r>
          </w:p>
        </w:tc>
        <w:tc>
          <w:tcPr>
            <w:tcW w:w="1984" w:type="dxa"/>
            <w:tcBorders>
              <w:top w:val="single" w:sz="4" w:space="0" w:color="auto"/>
              <w:left w:val="nil"/>
              <w:bottom w:val="single" w:sz="4" w:space="0" w:color="auto"/>
              <w:right w:val="nil"/>
            </w:tcBorders>
            <w:shd w:val="clear" w:color="auto" w:fill="C5E0B3" w:themeFill="accent6" w:themeFillTint="66"/>
          </w:tcPr>
          <w:p w:rsidR="00CD7572" w:rsidRPr="00CD7572" w:rsidRDefault="0062660D" w:rsidP="00CD7572">
            <w:pPr>
              <w:contextualSpacing/>
              <w:jc w:val="right"/>
              <w:rPr>
                <w:b/>
              </w:rPr>
            </w:pPr>
            <w:r w:rsidRPr="00CD7572">
              <w:rPr>
                <w:b/>
              </w:rPr>
              <w:t>31/03/16</w:t>
            </w:r>
          </w:p>
        </w:tc>
        <w:tc>
          <w:tcPr>
            <w:tcW w:w="2069" w:type="dxa"/>
            <w:tcBorders>
              <w:top w:val="single" w:sz="4" w:space="0" w:color="auto"/>
              <w:left w:val="nil"/>
              <w:bottom w:val="single" w:sz="4" w:space="0" w:color="auto"/>
              <w:right w:val="single" w:sz="4" w:space="0" w:color="auto"/>
            </w:tcBorders>
            <w:shd w:val="clear" w:color="auto" w:fill="C5E0B3" w:themeFill="accent6" w:themeFillTint="66"/>
          </w:tcPr>
          <w:p w:rsidR="00CD7572" w:rsidRPr="00CD7572" w:rsidRDefault="0062660D" w:rsidP="00CD7572">
            <w:pPr>
              <w:contextualSpacing/>
              <w:jc w:val="right"/>
              <w:rPr>
                <w:b/>
              </w:rPr>
            </w:pPr>
            <w:r w:rsidRPr="00CD7572">
              <w:rPr>
                <w:b/>
              </w:rPr>
              <w:t>31/03/15</w:t>
            </w:r>
          </w:p>
        </w:tc>
      </w:tr>
      <w:tr w:rsidR="006A2C17" w:rsidTr="00E245D6">
        <w:trPr>
          <w:trHeight w:val="428"/>
        </w:trPr>
        <w:tc>
          <w:tcPr>
            <w:tcW w:w="6062" w:type="dxa"/>
            <w:tcBorders>
              <w:top w:val="single" w:sz="4" w:space="0" w:color="auto"/>
              <w:left w:val="single" w:sz="4" w:space="0" w:color="auto"/>
              <w:bottom w:val="single" w:sz="4" w:space="0" w:color="auto"/>
              <w:right w:val="nil"/>
            </w:tcBorders>
          </w:tcPr>
          <w:p w:rsidR="00CD7572" w:rsidRPr="00CD7572" w:rsidRDefault="0062660D" w:rsidP="00CD7572">
            <w:pPr>
              <w:contextualSpacing/>
              <w:jc w:val="left"/>
            </w:pPr>
            <w:r w:rsidRPr="00CD7572">
              <w:t xml:space="preserve">Total number of employers </w:t>
            </w:r>
          </w:p>
        </w:tc>
        <w:tc>
          <w:tcPr>
            <w:tcW w:w="1984" w:type="dxa"/>
            <w:tcBorders>
              <w:top w:val="single" w:sz="4" w:space="0" w:color="auto"/>
              <w:left w:val="nil"/>
              <w:bottom w:val="single" w:sz="4" w:space="0" w:color="auto"/>
              <w:right w:val="nil"/>
            </w:tcBorders>
          </w:tcPr>
          <w:p w:rsidR="00CD7572" w:rsidRPr="00CD7572" w:rsidRDefault="0062660D" w:rsidP="00CD7572">
            <w:pPr>
              <w:contextualSpacing/>
              <w:jc w:val="right"/>
            </w:pPr>
            <w:r w:rsidRPr="00CD7572">
              <w:t>369</w:t>
            </w:r>
          </w:p>
        </w:tc>
        <w:tc>
          <w:tcPr>
            <w:tcW w:w="2069" w:type="dxa"/>
            <w:tcBorders>
              <w:top w:val="single" w:sz="4" w:space="0" w:color="auto"/>
              <w:left w:val="nil"/>
              <w:bottom w:val="single" w:sz="4" w:space="0" w:color="auto"/>
              <w:right w:val="single" w:sz="4" w:space="0" w:color="auto"/>
            </w:tcBorders>
          </w:tcPr>
          <w:p w:rsidR="00CD7572" w:rsidRPr="00CD7572" w:rsidRDefault="0062660D" w:rsidP="00CD7572">
            <w:pPr>
              <w:contextualSpacing/>
              <w:jc w:val="right"/>
            </w:pPr>
            <w:r w:rsidRPr="00CD7572">
              <w:t>320</w:t>
            </w:r>
          </w:p>
        </w:tc>
      </w:tr>
      <w:tr w:rsidR="006A2C17" w:rsidTr="00E245D6">
        <w:trPr>
          <w:trHeight w:val="428"/>
        </w:trPr>
        <w:tc>
          <w:tcPr>
            <w:tcW w:w="6062" w:type="dxa"/>
            <w:tcBorders>
              <w:top w:val="single" w:sz="4" w:space="0" w:color="auto"/>
              <w:left w:val="single" w:sz="4" w:space="0" w:color="auto"/>
              <w:bottom w:val="single" w:sz="4" w:space="0" w:color="auto"/>
              <w:right w:val="nil"/>
            </w:tcBorders>
          </w:tcPr>
          <w:p w:rsidR="00CD7572" w:rsidRPr="00CD7572" w:rsidRDefault="0062660D" w:rsidP="00CD7572">
            <w:pPr>
              <w:contextualSpacing/>
              <w:jc w:val="left"/>
            </w:pPr>
            <w:r w:rsidRPr="00CD7572">
              <w:t>Number of employers with active members</w:t>
            </w:r>
          </w:p>
        </w:tc>
        <w:tc>
          <w:tcPr>
            <w:tcW w:w="1984" w:type="dxa"/>
            <w:tcBorders>
              <w:top w:val="single" w:sz="4" w:space="0" w:color="auto"/>
              <w:left w:val="nil"/>
              <w:bottom w:val="single" w:sz="4" w:space="0" w:color="auto"/>
              <w:right w:val="nil"/>
            </w:tcBorders>
          </w:tcPr>
          <w:p w:rsidR="00CD7572" w:rsidRPr="00CD7572" w:rsidRDefault="0062660D" w:rsidP="00CD7572">
            <w:pPr>
              <w:contextualSpacing/>
              <w:jc w:val="right"/>
            </w:pPr>
            <w:r w:rsidRPr="00CD7572">
              <w:t>261</w:t>
            </w:r>
          </w:p>
        </w:tc>
        <w:tc>
          <w:tcPr>
            <w:tcW w:w="2069" w:type="dxa"/>
            <w:tcBorders>
              <w:top w:val="single" w:sz="4" w:space="0" w:color="auto"/>
              <w:left w:val="nil"/>
              <w:bottom w:val="single" w:sz="4" w:space="0" w:color="auto"/>
              <w:right w:val="single" w:sz="4" w:space="0" w:color="auto"/>
            </w:tcBorders>
          </w:tcPr>
          <w:p w:rsidR="00CD7572" w:rsidRPr="00CD7572" w:rsidRDefault="0062660D" w:rsidP="00CD7572">
            <w:pPr>
              <w:contextualSpacing/>
              <w:jc w:val="right"/>
            </w:pPr>
            <w:r w:rsidRPr="00CD7572">
              <w:t>218</w:t>
            </w:r>
          </w:p>
        </w:tc>
      </w:tr>
      <w:tr w:rsidR="006A2C17" w:rsidTr="00E245D6">
        <w:tc>
          <w:tcPr>
            <w:tcW w:w="6062" w:type="dxa"/>
            <w:tcBorders>
              <w:top w:val="single" w:sz="4" w:space="0" w:color="auto"/>
              <w:left w:val="single" w:sz="4" w:space="0" w:color="auto"/>
              <w:bottom w:val="nil"/>
              <w:right w:val="nil"/>
            </w:tcBorders>
          </w:tcPr>
          <w:p w:rsidR="00CD7572" w:rsidRPr="00CD7572" w:rsidRDefault="0062660D" w:rsidP="00CD7572">
            <w:pPr>
              <w:contextualSpacing/>
              <w:jc w:val="left"/>
            </w:pPr>
            <w:r w:rsidRPr="00CD7572">
              <w:t>Number of active scheme members</w:t>
            </w:r>
          </w:p>
        </w:tc>
        <w:tc>
          <w:tcPr>
            <w:tcW w:w="1984" w:type="dxa"/>
            <w:tcBorders>
              <w:top w:val="single" w:sz="4" w:space="0" w:color="auto"/>
              <w:left w:val="nil"/>
              <w:bottom w:val="nil"/>
              <w:right w:val="nil"/>
            </w:tcBorders>
          </w:tcPr>
          <w:p w:rsidR="00CD7572" w:rsidRPr="00CD7572" w:rsidRDefault="0062660D" w:rsidP="00CD7572">
            <w:pPr>
              <w:contextualSpacing/>
              <w:jc w:val="right"/>
            </w:pPr>
          </w:p>
        </w:tc>
        <w:tc>
          <w:tcPr>
            <w:tcW w:w="2069" w:type="dxa"/>
            <w:tcBorders>
              <w:top w:val="single" w:sz="4" w:space="0" w:color="auto"/>
              <w:left w:val="nil"/>
              <w:bottom w:val="nil"/>
              <w:right w:val="single" w:sz="4" w:space="0" w:color="auto"/>
            </w:tcBorders>
          </w:tcPr>
          <w:p w:rsidR="00CD7572" w:rsidRPr="00CD7572" w:rsidRDefault="0062660D" w:rsidP="00CD7572">
            <w:pPr>
              <w:contextualSpacing/>
              <w:jc w:val="right"/>
            </w:pPr>
          </w:p>
        </w:tc>
      </w:tr>
      <w:tr w:rsidR="006A2C17" w:rsidTr="00E245D6">
        <w:tc>
          <w:tcPr>
            <w:tcW w:w="6062" w:type="dxa"/>
            <w:tcBorders>
              <w:top w:val="nil"/>
              <w:left w:val="single" w:sz="4" w:space="0" w:color="auto"/>
              <w:bottom w:val="nil"/>
              <w:right w:val="nil"/>
            </w:tcBorders>
          </w:tcPr>
          <w:p w:rsidR="00CD7572" w:rsidRPr="00CD7572" w:rsidRDefault="0062660D" w:rsidP="00CD7572">
            <w:pPr>
              <w:contextualSpacing/>
              <w:jc w:val="left"/>
            </w:pPr>
            <w:r w:rsidRPr="00CD7572">
              <w:t>County council</w:t>
            </w:r>
          </w:p>
        </w:tc>
        <w:tc>
          <w:tcPr>
            <w:tcW w:w="1984" w:type="dxa"/>
            <w:tcBorders>
              <w:top w:val="nil"/>
              <w:left w:val="nil"/>
              <w:bottom w:val="nil"/>
              <w:right w:val="nil"/>
            </w:tcBorders>
          </w:tcPr>
          <w:p w:rsidR="00CD7572" w:rsidRPr="00CD7572" w:rsidRDefault="0062660D" w:rsidP="00CD7572">
            <w:pPr>
              <w:contextualSpacing/>
              <w:jc w:val="right"/>
            </w:pPr>
            <w:r w:rsidRPr="00CD7572">
              <w:t>27,106</w:t>
            </w:r>
          </w:p>
        </w:tc>
        <w:tc>
          <w:tcPr>
            <w:tcW w:w="2069" w:type="dxa"/>
            <w:tcBorders>
              <w:top w:val="nil"/>
              <w:left w:val="nil"/>
              <w:bottom w:val="nil"/>
              <w:right w:val="single" w:sz="4" w:space="0" w:color="auto"/>
            </w:tcBorders>
          </w:tcPr>
          <w:p w:rsidR="00CD7572" w:rsidRPr="00CD7572" w:rsidRDefault="0062660D" w:rsidP="00CD7572">
            <w:pPr>
              <w:contextualSpacing/>
              <w:jc w:val="right"/>
            </w:pPr>
            <w:r w:rsidRPr="00CD7572">
              <w:t>27,405</w:t>
            </w:r>
          </w:p>
        </w:tc>
      </w:tr>
      <w:tr w:rsidR="006A2C17" w:rsidTr="00E245D6">
        <w:tc>
          <w:tcPr>
            <w:tcW w:w="6062" w:type="dxa"/>
            <w:tcBorders>
              <w:top w:val="nil"/>
              <w:left w:val="single" w:sz="4" w:space="0" w:color="auto"/>
              <w:bottom w:val="nil"/>
              <w:right w:val="nil"/>
            </w:tcBorders>
          </w:tcPr>
          <w:p w:rsidR="00CD7572" w:rsidRPr="00CD7572" w:rsidRDefault="0062660D" w:rsidP="00CD7572">
            <w:pPr>
              <w:contextualSpacing/>
              <w:jc w:val="left"/>
            </w:pPr>
            <w:r w:rsidRPr="00CD7572">
              <w:t xml:space="preserve">Other </w:t>
            </w:r>
            <w:r w:rsidRPr="00CD7572">
              <w:t>employers</w:t>
            </w:r>
          </w:p>
        </w:tc>
        <w:tc>
          <w:tcPr>
            <w:tcW w:w="1984" w:type="dxa"/>
            <w:tcBorders>
              <w:top w:val="nil"/>
              <w:left w:val="nil"/>
              <w:bottom w:val="nil"/>
              <w:right w:val="nil"/>
            </w:tcBorders>
          </w:tcPr>
          <w:p w:rsidR="00CD7572" w:rsidRPr="00CD7572" w:rsidRDefault="0062660D" w:rsidP="00CD7572">
            <w:pPr>
              <w:contextualSpacing/>
              <w:jc w:val="right"/>
            </w:pPr>
            <w:r w:rsidRPr="00CD7572">
              <w:t>29,223</w:t>
            </w:r>
          </w:p>
        </w:tc>
        <w:tc>
          <w:tcPr>
            <w:tcW w:w="2069" w:type="dxa"/>
            <w:tcBorders>
              <w:top w:val="nil"/>
              <w:left w:val="nil"/>
              <w:bottom w:val="nil"/>
              <w:right w:val="single" w:sz="4" w:space="0" w:color="auto"/>
            </w:tcBorders>
          </w:tcPr>
          <w:p w:rsidR="00CD7572" w:rsidRPr="00CD7572" w:rsidRDefault="0062660D" w:rsidP="00CD7572">
            <w:pPr>
              <w:contextualSpacing/>
              <w:jc w:val="right"/>
            </w:pPr>
            <w:r w:rsidRPr="00CD7572">
              <w:t>26,774</w:t>
            </w:r>
          </w:p>
        </w:tc>
      </w:tr>
      <w:tr w:rsidR="006A2C17" w:rsidTr="00E245D6">
        <w:tc>
          <w:tcPr>
            <w:tcW w:w="6062" w:type="dxa"/>
            <w:tcBorders>
              <w:top w:val="nil"/>
              <w:left w:val="single" w:sz="4" w:space="0" w:color="auto"/>
              <w:bottom w:val="single" w:sz="4" w:space="0" w:color="auto"/>
              <w:right w:val="nil"/>
            </w:tcBorders>
            <w:shd w:val="clear" w:color="auto" w:fill="E2EFD9" w:themeFill="accent6" w:themeFillTint="33"/>
          </w:tcPr>
          <w:p w:rsidR="00CD7572" w:rsidRPr="00CD7572" w:rsidRDefault="0062660D" w:rsidP="00CD7572">
            <w:pPr>
              <w:contextualSpacing/>
              <w:jc w:val="left"/>
            </w:pPr>
            <w:r w:rsidRPr="00CD7572">
              <w:t>Total</w:t>
            </w:r>
          </w:p>
        </w:tc>
        <w:tc>
          <w:tcPr>
            <w:tcW w:w="1984" w:type="dxa"/>
            <w:tcBorders>
              <w:top w:val="nil"/>
              <w:left w:val="nil"/>
              <w:bottom w:val="single" w:sz="4" w:space="0" w:color="auto"/>
              <w:right w:val="nil"/>
            </w:tcBorders>
            <w:shd w:val="clear" w:color="auto" w:fill="E2EFD9" w:themeFill="accent6" w:themeFillTint="33"/>
          </w:tcPr>
          <w:p w:rsidR="00CD7572" w:rsidRPr="00CD7572" w:rsidRDefault="0062660D" w:rsidP="00CD7572">
            <w:pPr>
              <w:contextualSpacing/>
              <w:jc w:val="right"/>
            </w:pPr>
            <w:r w:rsidRPr="00CD7572">
              <w:t>56,329</w:t>
            </w:r>
          </w:p>
        </w:tc>
        <w:tc>
          <w:tcPr>
            <w:tcW w:w="2069" w:type="dxa"/>
            <w:tcBorders>
              <w:top w:val="nil"/>
              <w:left w:val="nil"/>
              <w:bottom w:val="single" w:sz="4" w:space="0" w:color="auto"/>
              <w:right w:val="single" w:sz="4" w:space="0" w:color="auto"/>
            </w:tcBorders>
            <w:shd w:val="clear" w:color="auto" w:fill="E2EFD9" w:themeFill="accent6" w:themeFillTint="33"/>
          </w:tcPr>
          <w:p w:rsidR="00CD7572" w:rsidRPr="00CD7572" w:rsidRDefault="0062660D" w:rsidP="00CD7572">
            <w:pPr>
              <w:contextualSpacing/>
              <w:jc w:val="right"/>
            </w:pPr>
            <w:r w:rsidRPr="00CD7572">
              <w:t>54,179</w:t>
            </w:r>
          </w:p>
        </w:tc>
      </w:tr>
      <w:tr w:rsidR="006A2C17" w:rsidTr="00E245D6">
        <w:tc>
          <w:tcPr>
            <w:tcW w:w="6062" w:type="dxa"/>
            <w:tcBorders>
              <w:top w:val="single" w:sz="4" w:space="0" w:color="auto"/>
              <w:left w:val="single" w:sz="4" w:space="0" w:color="auto"/>
              <w:bottom w:val="nil"/>
              <w:right w:val="nil"/>
            </w:tcBorders>
          </w:tcPr>
          <w:p w:rsidR="00CD7572" w:rsidRPr="00CD7572" w:rsidRDefault="0062660D" w:rsidP="00CD7572">
            <w:pPr>
              <w:contextualSpacing/>
              <w:jc w:val="left"/>
            </w:pPr>
            <w:r w:rsidRPr="00CD7572">
              <w:t>Number of pensioners</w:t>
            </w:r>
          </w:p>
        </w:tc>
        <w:tc>
          <w:tcPr>
            <w:tcW w:w="1984" w:type="dxa"/>
            <w:tcBorders>
              <w:top w:val="single" w:sz="4" w:space="0" w:color="auto"/>
              <w:left w:val="nil"/>
              <w:bottom w:val="nil"/>
              <w:right w:val="nil"/>
            </w:tcBorders>
          </w:tcPr>
          <w:p w:rsidR="00CD7572" w:rsidRPr="00CD7572" w:rsidRDefault="0062660D" w:rsidP="00CD7572">
            <w:pPr>
              <w:contextualSpacing/>
              <w:jc w:val="right"/>
            </w:pPr>
          </w:p>
        </w:tc>
        <w:tc>
          <w:tcPr>
            <w:tcW w:w="2069" w:type="dxa"/>
            <w:tcBorders>
              <w:top w:val="single" w:sz="4" w:space="0" w:color="auto"/>
              <w:left w:val="nil"/>
              <w:bottom w:val="nil"/>
              <w:right w:val="single" w:sz="4" w:space="0" w:color="auto"/>
            </w:tcBorders>
          </w:tcPr>
          <w:p w:rsidR="00CD7572" w:rsidRPr="00CD7572" w:rsidRDefault="0062660D" w:rsidP="00CD7572">
            <w:pPr>
              <w:contextualSpacing/>
              <w:jc w:val="right"/>
            </w:pPr>
          </w:p>
        </w:tc>
      </w:tr>
      <w:tr w:rsidR="006A2C17" w:rsidTr="00E245D6">
        <w:tc>
          <w:tcPr>
            <w:tcW w:w="6062" w:type="dxa"/>
            <w:tcBorders>
              <w:top w:val="nil"/>
              <w:left w:val="single" w:sz="4" w:space="0" w:color="auto"/>
              <w:bottom w:val="nil"/>
              <w:right w:val="nil"/>
            </w:tcBorders>
          </w:tcPr>
          <w:p w:rsidR="00CD7572" w:rsidRPr="00CD7572" w:rsidRDefault="0062660D" w:rsidP="00CD7572">
            <w:pPr>
              <w:contextualSpacing/>
              <w:jc w:val="left"/>
            </w:pPr>
            <w:r w:rsidRPr="00CD7572">
              <w:t>County council</w:t>
            </w:r>
          </w:p>
        </w:tc>
        <w:tc>
          <w:tcPr>
            <w:tcW w:w="1984" w:type="dxa"/>
            <w:tcBorders>
              <w:top w:val="nil"/>
              <w:left w:val="nil"/>
              <w:bottom w:val="nil"/>
              <w:right w:val="nil"/>
            </w:tcBorders>
          </w:tcPr>
          <w:p w:rsidR="00CD7572" w:rsidRPr="00CD7572" w:rsidRDefault="0062660D" w:rsidP="00CD7572">
            <w:pPr>
              <w:contextualSpacing/>
              <w:jc w:val="right"/>
            </w:pPr>
            <w:r w:rsidRPr="00CD7572">
              <w:t>22,414</w:t>
            </w:r>
          </w:p>
        </w:tc>
        <w:tc>
          <w:tcPr>
            <w:tcW w:w="2069" w:type="dxa"/>
            <w:tcBorders>
              <w:top w:val="nil"/>
              <w:left w:val="nil"/>
              <w:bottom w:val="nil"/>
              <w:right w:val="single" w:sz="4" w:space="0" w:color="auto"/>
            </w:tcBorders>
          </w:tcPr>
          <w:p w:rsidR="00CD7572" w:rsidRPr="00CD7572" w:rsidRDefault="0062660D" w:rsidP="00CD7572">
            <w:pPr>
              <w:contextualSpacing/>
              <w:jc w:val="right"/>
            </w:pPr>
            <w:r w:rsidRPr="00CD7572">
              <w:t>21,765</w:t>
            </w:r>
          </w:p>
        </w:tc>
      </w:tr>
      <w:tr w:rsidR="006A2C17" w:rsidTr="00E245D6">
        <w:tc>
          <w:tcPr>
            <w:tcW w:w="6062" w:type="dxa"/>
            <w:tcBorders>
              <w:top w:val="nil"/>
              <w:left w:val="single" w:sz="4" w:space="0" w:color="auto"/>
              <w:bottom w:val="nil"/>
              <w:right w:val="nil"/>
            </w:tcBorders>
          </w:tcPr>
          <w:p w:rsidR="00CD7572" w:rsidRPr="00CD7572" w:rsidRDefault="0062660D" w:rsidP="00CD7572">
            <w:pPr>
              <w:contextualSpacing/>
              <w:jc w:val="left"/>
            </w:pPr>
            <w:r w:rsidRPr="00CD7572">
              <w:t>Other employers</w:t>
            </w:r>
          </w:p>
        </w:tc>
        <w:tc>
          <w:tcPr>
            <w:tcW w:w="1984" w:type="dxa"/>
            <w:tcBorders>
              <w:top w:val="nil"/>
              <w:left w:val="nil"/>
              <w:bottom w:val="nil"/>
              <w:right w:val="nil"/>
            </w:tcBorders>
          </w:tcPr>
          <w:p w:rsidR="00CD7572" w:rsidRPr="00CD7572" w:rsidRDefault="0062660D" w:rsidP="00CD7572">
            <w:pPr>
              <w:contextualSpacing/>
              <w:jc w:val="right"/>
            </w:pPr>
            <w:r w:rsidRPr="00CD7572">
              <w:t>22,093</w:t>
            </w:r>
          </w:p>
        </w:tc>
        <w:tc>
          <w:tcPr>
            <w:tcW w:w="2069" w:type="dxa"/>
            <w:tcBorders>
              <w:top w:val="nil"/>
              <w:left w:val="nil"/>
              <w:bottom w:val="nil"/>
              <w:right w:val="single" w:sz="4" w:space="0" w:color="auto"/>
            </w:tcBorders>
          </w:tcPr>
          <w:p w:rsidR="00CD7572" w:rsidRPr="00CD7572" w:rsidRDefault="0062660D" w:rsidP="00CD7572">
            <w:pPr>
              <w:contextualSpacing/>
              <w:jc w:val="right"/>
            </w:pPr>
            <w:r w:rsidRPr="00CD7572">
              <w:t>21,446</w:t>
            </w:r>
          </w:p>
        </w:tc>
      </w:tr>
      <w:tr w:rsidR="006A2C17" w:rsidTr="00E245D6">
        <w:tc>
          <w:tcPr>
            <w:tcW w:w="6062" w:type="dxa"/>
            <w:tcBorders>
              <w:top w:val="nil"/>
              <w:left w:val="single" w:sz="4" w:space="0" w:color="auto"/>
              <w:bottom w:val="single" w:sz="4" w:space="0" w:color="auto"/>
              <w:right w:val="nil"/>
            </w:tcBorders>
            <w:shd w:val="clear" w:color="auto" w:fill="E2EFD9" w:themeFill="accent6" w:themeFillTint="33"/>
          </w:tcPr>
          <w:p w:rsidR="00CD7572" w:rsidRPr="00CD7572" w:rsidRDefault="0062660D" w:rsidP="00CD7572">
            <w:pPr>
              <w:contextualSpacing/>
              <w:jc w:val="left"/>
            </w:pPr>
            <w:r w:rsidRPr="00CD7572">
              <w:t>Total</w:t>
            </w:r>
          </w:p>
        </w:tc>
        <w:tc>
          <w:tcPr>
            <w:tcW w:w="1984" w:type="dxa"/>
            <w:tcBorders>
              <w:top w:val="nil"/>
              <w:left w:val="nil"/>
              <w:bottom w:val="single" w:sz="4" w:space="0" w:color="auto"/>
              <w:right w:val="nil"/>
            </w:tcBorders>
            <w:shd w:val="clear" w:color="auto" w:fill="E2EFD9" w:themeFill="accent6" w:themeFillTint="33"/>
          </w:tcPr>
          <w:p w:rsidR="00CD7572" w:rsidRPr="00CD7572" w:rsidRDefault="0062660D" w:rsidP="00CD7572">
            <w:pPr>
              <w:contextualSpacing/>
              <w:jc w:val="right"/>
            </w:pPr>
            <w:r w:rsidRPr="00CD7572">
              <w:t>44,507</w:t>
            </w:r>
          </w:p>
        </w:tc>
        <w:tc>
          <w:tcPr>
            <w:tcW w:w="2069" w:type="dxa"/>
            <w:tcBorders>
              <w:top w:val="nil"/>
              <w:left w:val="nil"/>
              <w:bottom w:val="single" w:sz="4" w:space="0" w:color="auto"/>
              <w:right w:val="single" w:sz="4" w:space="0" w:color="auto"/>
            </w:tcBorders>
            <w:shd w:val="clear" w:color="auto" w:fill="E2EFD9" w:themeFill="accent6" w:themeFillTint="33"/>
          </w:tcPr>
          <w:p w:rsidR="00CD7572" w:rsidRPr="00CD7572" w:rsidRDefault="0062660D" w:rsidP="00CD7572">
            <w:pPr>
              <w:contextualSpacing/>
              <w:jc w:val="right"/>
            </w:pPr>
            <w:r w:rsidRPr="00CD7572">
              <w:t>43,211</w:t>
            </w:r>
          </w:p>
        </w:tc>
      </w:tr>
      <w:tr w:rsidR="006A2C17" w:rsidTr="00E245D6">
        <w:tc>
          <w:tcPr>
            <w:tcW w:w="6062" w:type="dxa"/>
            <w:tcBorders>
              <w:top w:val="single" w:sz="4" w:space="0" w:color="auto"/>
              <w:left w:val="single" w:sz="4" w:space="0" w:color="auto"/>
              <w:bottom w:val="nil"/>
              <w:right w:val="nil"/>
            </w:tcBorders>
          </w:tcPr>
          <w:p w:rsidR="00CD7572" w:rsidRPr="00CD7572" w:rsidRDefault="0062660D" w:rsidP="00CD7572">
            <w:pPr>
              <w:contextualSpacing/>
              <w:jc w:val="left"/>
            </w:pPr>
            <w:r w:rsidRPr="00CD7572">
              <w:t>Number of deferred pensioners</w:t>
            </w:r>
          </w:p>
        </w:tc>
        <w:tc>
          <w:tcPr>
            <w:tcW w:w="1984" w:type="dxa"/>
            <w:tcBorders>
              <w:top w:val="single" w:sz="4" w:space="0" w:color="auto"/>
              <w:left w:val="nil"/>
              <w:bottom w:val="nil"/>
              <w:right w:val="nil"/>
            </w:tcBorders>
          </w:tcPr>
          <w:p w:rsidR="00CD7572" w:rsidRPr="00CD7572" w:rsidRDefault="0062660D" w:rsidP="00CD7572">
            <w:pPr>
              <w:contextualSpacing/>
              <w:jc w:val="right"/>
            </w:pPr>
          </w:p>
        </w:tc>
        <w:tc>
          <w:tcPr>
            <w:tcW w:w="2069" w:type="dxa"/>
            <w:tcBorders>
              <w:top w:val="single" w:sz="4" w:space="0" w:color="auto"/>
              <w:left w:val="nil"/>
              <w:bottom w:val="nil"/>
              <w:right w:val="single" w:sz="4" w:space="0" w:color="auto"/>
            </w:tcBorders>
          </w:tcPr>
          <w:p w:rsidR="00CD7572" w:rsidRPr="00CD7572" w:rsidRDefault="0062660D" w:rsidP="00CD7572">
            <w:pPr>
              <w:contextualSpacing/>
              <w:jc w:val="right"/>
            </w:pPr>
          </w:p>
        </w:tc>
      </w:tr>
      <w:tr w:rsidR="006A2C17" w:rsidTr="00E245D6">
        <w:tc>
          <w:tcPr>
            <w:tcW w:w="6062" w:type="dxa"/>
            <w:tcBorders>
              <w:top w:val="nil"/>
              <w:left w:val="single" w:sz="4" w:space="0" w:color="auto"/>
              <w:bottom w:val="nil"/>
              <w:right w:val="nil"/>
            </w:tcBorders>
          </w:tcPr>
          <w:p w:rsidR="00CD7572" w:rsidRPr="00CD7572" w:rsidRDefault="0062660D" w:rsidP="00CD7572">
            <w:pPr>
              <w:contextualSpacing/>
              <w:jc w:val="left"/>
            </w:pPr>
            <w:r w:rsidRPr="00CD7572">
              <w:t>County council</w:t>
            </w:r>
          </w:p>
        </w:tc>
        <w:tc>
          <w:tcPr>
            <w:tcW w:w="1984" w:type="dxa"/>
            <w:tcBorders>
              <w:top w:val="nil"/>
              <w:left w:val="nil"/>
              <w:bottom w:val="nil"/>
              <w:right w:val="nil"/>
            </w:tcBorders>
          </w:tcPr>
          <w:p w:rsidR="00CD7572" w:rsidRPr="00CD7572" w:rsidRDefault="0062660D" w:rsidP="00CD7572">
            <w:pPr>
              <w:contextualSpacing/>
              <w:jc w:val="right"/>
            </w:pPr>
            <w:r w:rsidRPr="00CD7572">
              <w:t>33,253</w:t>
            </w:r>
          </w:p>
        </w:tc>
        <w:tc>
          <w:tcPr>
            <w:tcW w:w="2069" w:type="dxa"/>
            <w:tcBorders>
              <w:top w:val="nil"/>
              <w:left w:val="nil"/>
              <w:bottom w:val="nil"/>
              <w:right w:val="single" w:sz="4" w:space="0" w:color="auto"/>
            </w:tcBorders>
          </w:tcPr>
          <w:p w:rsidR="00CD7572" w:rsidRPr="00CD7572" w:rsidRDefault="0062660D" w:rsidP="00CD7572">
            <w:pPr>
              <w:contextualSpacing/>
              <w:jc w:val="right"/>
            </w:pPr>
            <w:r w:rsidRPr="00CD7572">
              <w:t>29,148</w:t>
            </w:r>
          </w:p>
        </w:tc>
      </w:tr>
      <w:tr w:rsidR="006A2C17" w:rsidTr="00E245D6">
        <w:tc>
          <w:tcPr>
            <w:tcW w:w="6062" w:type="dxa"/>
            <w:tcBorders>
              <w:top w:val="nil"/>
              <w:left w:val="single" w:sz="4" w:space="0" w:color="auto"/>
              <w:bottom w:val="nil"/>
              <w:right w:val="nil"/>
            </w:tcBorders>
          </w:tcPr>
          <w:p w:rsidR="00CD7572" w:rsidRPr="00CD7572" w:rsidRDefault="0062660D" w:rsidP="00CD7572">
            <w:pPr>
              <w:contextualSpacing/>
              <w:jc w:val="left"/>
            </w:pPr>
            <w:r w:rsidRPr="00CD7572">
              <w:t>Other employers</w:t>
            </w:r>
          </w:p>
        </w:tc>
        <w:tc>
          <w:tcPr>
            <w:tcW w:w="1984" w:type="dxa"/>
            <w:tcBorders>
              <w:top w:val="nil"/>
              <w:left w:val="nil"/>
              <w:bottom w:val="nil"/>
              <w:right w:val="nil"/>
            </w:tcBorders>
          </w:tcPr>
          <w:p w:rsidR="00CD7572" w:rsidRPr="00CD7572" w:rsidRDefault="0062660D" w:rsidP="00CD7572">
            <w:pPr>
              <w:contextualSpacing/>
              <w:jc w:val="right"/>
            </w:pPr>
            <w:r w:rsidRPr="00CD7572">
              <w:t>28,377</w:t>
            </w:r>
          </w:p>
        </w:tc>
        <w:tc>
          <w:tcPr>
            <w:tcW w:w="2069" w:type="dxa"/>
            <w:tcBorders>
              <w:top w:val="nil"/>
              <w:left w:val="nil"/>
              <w:bottom w:val="nil"/>
              <w:right w:val="single" w:sz="4" w:space="0" w:color="auto"/>
            </w:tcBorders>
          </w:tcPr>
          <w:p w:rsidR="00CD7572" w:rsidRPr="00CD7572" w:rsidRDefault="0062660D" w:rsidP="00CD7572">
            <w:pPr>
              <w:contextualSpacing/>
              <w:jc w:val="right"/>
            </w:pPr>
            <w:r w:rsidRPr="00CD7572">
              <w:t>26,665</w:t>
            </w:r>
          </w:p>
        </w:tc>
      </w:tr>
      <w:tr w:rsidR="006A2C17" w:rsidTr="00E245D6">
        <w:tc>
          <w:tcPr>
            <w:tcW w:w="6062" w:type="dxa"/>
            <w:tcBorders>
              <w:top w:val="nil"/>
              <w:left w:val="single" w:sz="4" w:space="0" w:color="auto"/>
              <w:bottom w:val="single" w:sz="4" w:space="0" w:color="auto"/>
              <w:right w:val="nil"/>
            </w:tcBorders>
            <w:shd w:val="clear" w:color="auto" w:fill="E2EFD9" w:themeFill="accent6" w:themeFillTint="33"/>
          </w:tcPr>
          <w:p w:rsidR="00CD7572" w:rsidRPr="00CD7572" w:rsidRDefault="0062660D" w:rsidP="00CD7572">
            <w:pPr>
              <w:contextualSpacing/>
              <w:jc w:val="left"/>
            </w:pPr>
            <w:r w:rsidRPr="00CD7572">
              <w:t>Total</w:t>
            </w:r>
          </w:p>
        </w:tc>
        <w:tc>
          <w:tcPr>
            <w:tcW w:w="1984" w:type="dxa"/>
            <w:tcBorders>
              <w:top w:val="nil"/>
              <w:left w:val="nil"/>
              <w:bottom w:val="single" w:sz="4" w:space="0" w:color="auto"/>
              <w:right w:val="nil"/>
            </w:tcBorders>
            <w:shd w:val="clear" w:color="auto" w:fill="E2EFD9" w:themeFill="accent6" w:themeFillTint="33"/>
          </w:tcPr>
          <w:p w:rsidR="00CD7572" w:rsidRPr="00CD7572" w:rsidRDefault="0062660D" w:rsidP="00CD7572">
            <w:pPr>
              <w:contextualSpacing/>
              <w:jc w:val="right"/>
            </w:pPr>
            <w:r w:rsidRPr="00CD7572">
              <w:t>61,630</w:t>
            </w:r>
          </w:p>
        </w:tc>
        <w:tc>
          <w:tcPr>
            <w:tcW w:w="2069" w:type="dxa"/>
            <w:tcBorders>
              <w:top w:val="nil"/>
              <w:left w:val="nil"/>
              <w:bottom w:val="single" w:sz="4" w:space="0" w:color="auto"/>
              <w:right w:val="single" w:sz="4" w:space="0" w:color="auto"/>
            </w:tcBorders>
            <w:shd w:val="clear" w:color="auto" w:fill="E2EFD9" w:themeFill="accent6" w:themeFillTint="33"/>
          </w:tcPr>
          <w:p w:rsidR="00CD7572" w:rsidRPr="00CD7572" w:rsidRDefault="0062660D" w:rsidP="00CD7572">
            <w:pPr>
              <w:contextualSpacing/>
              <w:jc w:val="right"/>
            </w:pPr>
            <w:r w:rsidRPr="00CD7572">
              <w:t>55,813</w:t>
            </w:r>
          </w:p>
        </w:tc>
      </w:tr>
      <w:tr w:rsidR="006A2C17" w:rsidTr="00E245D6">
        <w:trPr>
          <w:trHeight w:val="480"/>
        </w:trPr>
        <w:tc>
          <w:tcPr>
            <w:tcW w:w="6062" w:type="dxa"/>
            <w:tcBorders>
              <w:top w:val="single" w:sz="4" w:space="0" w:color="auto"/>
              <w:left w:val="single" w:sz="4" w:space="0" w:color="auto"/>
              <w:bottom w:val="single" w:sz="4" w:space="0" w:color="auto"/>
              <w:right w:val="nil"/>
            </w:tcBorders>
            <w:shd w:val="clear" w:color="auto" w:fill="A8D08D" w:themeFill="accent6" w:themeFillTint="99"/>
          </w:tcPr>
          <w:p w:rsidR="00CD7572" w:rsidRPr="00CD7572" w:rsidRDefault="0062660D" w:rsidP="00CD7572">
            <w:pPr>
              <w:contextualSpacing/>
              <w:jc w:val="left"/>
              <w:rPr>
                <w:b/>
              </w:rPr>
            </w:pPr>
            <w:r w:rsidRPr="00CD7572">
              <w:rPr>
                <w:b/>
              </w:rPr>
              <w:t>Total membership</w:t>
            </w:r>
          </w:p>
        </w:tc>
        <w:tc>
          <w:tcPr>
            <w:tcW w:w="1984" w:type="dxa"/>
            <w:tcBorders>
              <w:top w:val="single" w:sz="4" w:space="0" w:color="auto"/>
              <w:left w:val="nil"/>
              <w:bottom w:val="single" w:sz="4" w:space="0" w:color="auto"/>
              <w:right w:val="nil"/>
            </w:tcBorders>
            <w:shd w:val="clear" w:color="auto" w:fill="A8D08D" w:themeFill="accent6" w:themeFillTint="99"/>
          </w:tcPr>
          <w:p w:rsidR="00CD7572" w:rsidRPr="00CD7572" w:rsidRDefault="0062660D" w:rsidP="00CD7572">
            <w:pPr>
              <w:contextualSpacing/>
              <w:jc w:val="right"/>
              <w:rPr>
                <w:b/>
              </w:rPr>
            </w:pPr>
            <w:r w:rsidRPr="00CD7572">
              <w:rPr>
                <w:b/>
              </w:rPr>
              <w:t>162,466</w:t>
            </w:r>
          </w:p>
        </w:tc>
        <w:tc>
          <w:tcPr>
            <w:tcW w:w="2069" w:type="dxa"/>
            <w:tcBorders>
              <w:top w:val="single" w:sz="4" w:space="0" w:color="auto"/>
              <w:left w:val="nil"/>
              <w:bottom w:val="single" w:sz="4" w:space="0" w:color="auto"/>
              <w:right w:val="single" w:sz="4" w:space="0" w:color="auto"/>
            </w:tcBorders>
            <w:shd w:val="clear" w:color="auto" w:fill="A8D08D" w:themeFill="accent6" w:themeFillTint="99"/>
          </w:tcPr>
          <w:p w:rsidR="00CD7572" w:rsidRPr="00CD7572" w:rsidRDefault="0062660D" w:rsidP="00CD7572">
            <w:pPr>
              <w:contextualSpacing/>
              <w:jc w:val="right"/>
              <w:rPr>
                <w:b/>
              </w:rPr>
            </w:pPr>
            <w:r w:rsidRPr="00CD7572">
              <w:rPr>
                <w:b/>
              </w:rPr>
              <w:t>153,203</w:t>
            </w:r>
          </w:p>
        </w:tc>
      </w:tr>
    </w:tbl>
    <w:p w:rsidR="00CD7572" w:rsidRPr="00CD7572" w:rsidRDefault="0062660D" w:rsidP="00CD7572">
      <w:pPr>
        <w:ind w:left="567"/>
        <w:contextualSpacing/>
        <w:jc w:val="left"/>
      </w:pPr>
    </w:p>
    <w:p w:rsidR="00CD7572" w:rsidRPr="00CD7572" w:rsidRDefault="0062660D" w:rsidP="00CD7572">
      <w:pPr>
        <w:ind w:left="360"/>
        <w:jc w:val="left"/>
      </w:pPr>
    </w:p>
    <w:p w:rsidR="00CD7572" w:rsidRPr="00CD7572" w:rsidRDefault="0062660D" w:rsidP="00CD7572">
      <w:pPr>
        <w:numPr>
          <w:ilvl w:val="1"/>
          <w:numId w:val="18"/>
        </w:numPr>
        <w:autoSpaceDE/>
        <w:autoSpaceDN/>
        <w:adjustRightInd/>
        <w:spacing w:after="0"/>
        <w:contextualSpacing/>
        <w:jc w:val="left"/>
      </w:pPr>
      <w:r w:rsidRPr="00CD7572">
        <w:rPr>
          <w:b/>
        </w:rPr>
        <w:t xml:space="preserve">  Funding</w:t>
      </w:r>
    </w:p>
    <w:p w:rsidR="00CD7572" w:rsidRPr="00CD7572" w:rsidRDefault="0062660D" w:rsidP="00CD7572">
      <w:pPr>
        <w:ind w:left="567"/>
        <w:jc w:val="left"/>
      </w:pPr>
      <w:r w:rsidRPr="00CD7572">
        <w:t>Benefits are funded by contributions and investment earnings.  Employee contributions are made by active members of the Fund in accordance with the LGPS Regulations 2013 and range from 5.5% to 12.0% of pensionable pay for the financial year ending 31 March</w:t>
      </w:r>
      <w:r w:rsidRPr="00CD7572">
        <w:t xml:space="preserve"> 2016.  Employee contributions are matched by employers' contributions which are set based on triennial actuarial funding valuations.  The last valuation relevant to the year ended 31</w:t>
      </w:r>
      <w:r w:rsidRPr="00CD7572">
        <w:rPr>
          <w:vertAlign w:val="superscript"/>
        </w:rPr>
        <w:t>st</w:t>
      </w:r>
      <w:r w:rsidRPr="00CD7572">
        <w:t xml:space="preserve"> March 2016 was done at 31 March 2013.  Currently employer contribution</w:t>
      </w:r>
      <w:r w:rsidRPr="00CD7572">
        <w:t xml:space="preserve">s range from 3.0% to 25.8% of pensionable pay. </w:t>
      </w:r>
    </w:p>
    <w:p w:rsidR="00CD7572" w:rsidRPr="00CD7572" w:rsidRDefault="0062660D" w:rsidP="00CD7572">
      <w:pPr>
        <w:ind w:left="709"/>
      </w:pPr>
    </w:p>
    <w:p w:rsidR="00CD7572" w:rsidRPr="00CD7572" w:rsidRDefault="0062660D" w:rsidP="00CD7572">
      <w:pPr>
        <w:numPr>
          <w:ilvl w:val="1"/>
          <w:numId w:val="18"/>
        </w:numPr>
        <w:tabs>
          <w:tab w:val="left" w:pos="720"/>
        </w:tabs>
        <w:autoSpaceDE/>
        <w:autoSpaceDN/>
        <w:adjustRightInd/>
        <w:spacing w:after="0"/>
        <w:contextualSpacing/>
        <w:jc w:val="left"/>
        <w:rPr>
          <w:b/>
        </w:rPr>
      </w:pPr>
      <w:r w:rsidRPr="00CD7572">
        <w:rPr>
          <w:b/>
        </w:rPr>
        <w:t xml:space="preserve">  Benefits</w:t>
      </w:r>
    </w:p>
    <w:p w:rsidR="00CD7572" w:rsidRPr="00CD7572" w:rsidRDefault="0062660D" w:rsidP="00CD7572">
      <w:pPr>
        <w:ind w:left="567"/>
        <w:jc w:val="left"/>
      </w:pPr>
      <w:r w:rsidRPr="00CD7572">
        <w:t>Prior to 1 April 2014, pension benefits under the LGPS were based on final pensionable pay and length of pensionable service, as detailed in the following summary:</w:t>
      </w:r>
    </w:p>
    <w:p w:rsidR="00CD7572" w:rsidRPr="00CD7572" w:rsidRDefault="0062660D" w:rsidP="00CD7572">
      <w:pPr>
        <w:ind w:left="720"/>
        <w:jc w:val="left"/>
      </w:pPr>
    </w:p>
    <w:tbl>
      <w:tblPr>
        <w:tblStyle w:val="TableGrid11"/>
        <w:tblW w:w="0" w:type="auto"/>
        <w:tblInd w:w="720" w:type="dxa"/>
        <w:tblLook w:val="04A0" w:firstRow="1" w:lastRow="0" w:firstColumn="1" w:lastColumn="0" w:noHBand="0" w:noVBand="1"/>
      </w:tblPr>
      <w:tblGrid>
        <w:gridCol w:w="1496"/>
        <w:gridCol w:w="2496"/>
        <w:gridCol w:w="2899"/>
        <w:gridCol w:w="2839"/>
      </w:tblGrid>
      <w:tr w:rsidR="006A2C17" w:rsidTr="00E245D6">
        <w:trPr>
          <w:trHeight w:val="521"/>
        </w:trPr>
        <w:tc>
          <w:tcPr>
            <w:tcW w:w="1515" w:type="dxa"/>
            <w:shd w:val="clear" w:color="auto" w:fill="C5E0B3" w:themeFill="accent6" w:themeFillTint="66"/>
          </w:tcPr>
          <w:p w:rsidR="00CD7572" w:rsidRPr="00CD7572" w:rsidRDefault="0062660D" w:rsidP="00CD7572">
            <w:pPr>
              <w:jc w:val="left"/>
              <w:rPr>
                <w:rFonts w:ascii="Arial" w:hAnsi="Arial"/>
              </w:rPr>
            </w:pPr>
          </w:p>
        </w:tc>
        <w:tc>
          <w:tcPr>
            <w:tcW w:w="2551" w:type="dxa"/>
            <w:shd w:val="clear" w:color="auto" w:fill="C5E0B3" w:themeFill="accent6" w:themeFillTint="66"/>
          </w:tcPr>
          <w:p w:rsidR="00CD7572" w:rsidRPr="00CD7572" w:rsidRDefault="0062660D" w:rsidP="00CD7572">
            <w:pPr>
              <w:jc w:val="left"/>
              <w:rPr>
                <w:rFonts w:ascii="Arial" w:hAnsi="Arial"/>
                <w:b/>
              </w:rPr>
            </w:pPr>
            <w:r w:rsidRPr="00CD7572">
              <w:rPr>
                <w:rFonts w:ascii="Arial" w:hAnsi="Arial"/>
                <w:b/>
              </w:rPr>
              <w:t>Service Pre 1 April 2008</w:t>
            </w:r>
          </w:p>
        </w:tc>
        <w:tc>
          <w:tcPr>
            <w:tcW w:w="2977" w:type="dxa"/>
            <w:shd w:val="clear" w:color="auto" w:fill="C5E0B3" w:themeFill="accent6" w:themeFillTint="66"/>
          </w:tcPr>
          <w:p w:rsidR="00CD7572" w:rsidRPr="00CD7572" w:rsidRDefault="0062660D" w:rsidP="00CD7572">
            <w:pPr>
              <w:jc w:val="left"/>
              <w:rPr>
                <w:rFonts w:ascii="Arial" w:hAnsi="Arial"/>
                <w:b/>
              </w:rPr>
            </w:pPr>
            <w:r w:rsidRPr="00CD7572">
              <w:rPr>
                <w:rFonts w:ascii="Arial" w:hAnsi="Arial"/>
                <w:b/>
              </w:rPr>
              <w:t>Service post 31 March 2008</w:t>
            </w:r>
          </w:p>
        </w:tc>
        <w:tc>
          <w:tcPr>
            <w:tcW w:w="2913" w:type="dxa"/>
            <w:shd w:val="clear" w:color="auto" w:fill="C5E0B3" w:themeFill="accent6" w:themeFillTint="66"/>
          </w:tcPr>
          <w:p w:rsidR="00CD7572" w:rsidRPr="00CD7572" w:rsidRDefault="0062660D" w:rsidP="00CD7572">
            <w:pPr>
              <w:jc w:val="left"/>
              <w:rPr>
                <w:b/>
              </w:rPr>
            </w:pPr>
            <w:r w:rsidRPr="00CD7572">
              <w:rPr>
                <w:rFonts w:ascii="Arial" w:hAnsi="Arial"/>
                <w:b/>
              </w:rPr>
              <w:t>Service post 1 April 2014</w:t>
            </w:r>
          </w:p>
        </w:tc>
      </w:tr>
      <w:tr w:rsidR="006A2C17" w:rsidTr="00E245D6">
        <w:trPr>
          <w:trHeight w:val="841"/>
        </w:trPr>
        <w:tc>
          <w:tcPr>
            <w:tcW w:w="1515" w:type="dxa"/>
            <w:shd w:val="clear" w:color="auto" w:fill="E2EFD9" w:themeFill="accent6" w:themeFillTint="33"/>
          </w:tcPr>
          <w:p w:rsidR="00CD7572" w:rsidRPr="00CD7572" w:rsidRDefault="0062660D" w:rsidP="00CD7572">
            <w:pPr>
              <w:jc w:val="left"/>
              <w:rPr>
                <w:rFonts w:ascii="Arial" w:hAnsi="Arial"/>
                <w:b/>
              </w:rPr>
            </w:pPr>
            <w:r w:rsidRPr="00CD7572">
              <w:rPr>
                <w:rFonts w:ascii="Arial" w:hAnsi="Arial"/>
                <w:b/>
              </w:rPr>
              <w:t>Pension</w:t>
            </w:r>
          </w:p>
        </w:tc>
        <w:tc>
          <w:tcPr>
            <w:tcW w:w="2551" w:type="dxa"/>
            <w:shd w:val="clear" w:color="auto" w:fill="E2EFD9" w:themeFill="accent6" w:themeFillTint="33"/>
          </w:tcPr>
          <w:p w:rsidR="00CD7572" w:rsidRPr="00CD7572" w:rsidRDefault="0062660D" w:rsidP="00CD7572">
            <w:pPr>
              <w:jc w:val="left"/>
              <w:rPr>
                <w:rFonts w:ascii="Arial" w:hAnsi="Arial"/>
              </w:rPr>
            </w:pPr>
            <w:r w:rsidRPr="00CD7572">
              <w:rPr>
                <w:rFonts w:ascii="Arial" w:hAnsi="Arial"/>
              </w:rPr>
              <w:t>Each year worked is worth 1/80 x final pensionable salary</w:t>
            </w:r>
          </w:p>
        </w:tc>
        <w:tc>
          <w:tcPr>
            <w:tcW w:w="2977" w:type="dxa"/>
            <w:shd w:val="clear" w:color="auto" w:fill="E2EFD9" w:themeFill="accent6" w:themeFillTint="33"/>
          </w:tcPr>
          <w:p w:rsidR="00CD7572" w:rsidRPr="00CD7572" w:rsidRDefault="0062660D" w:rsidP="00CD7572">
            <w:pPr>
              <w:jc w:val="left"/>
              <w:rPr>
                <w:rFonts w:ascii="Arial" w:hAnsi="Arial"/>
              </w:rPr>
            </w:pPr>
            <w:r w:rsidRPr="00CD7572">
              <w:rPr>
                <w:rFonts w:ascii="Arial" w:hAnsi="Arial"/>
              </w:rPr>
              <w:t>Each year worked is worth 1/60 x final pensionable salary</w:t>
            </w:r>
          </w:p>
        </w:tc>
        <w:tc>
          <w:tcPr>
            <w:tcW w:w="2913" w:type="dxa"/>
            <w:shd w:val="clear" w:color="auto" w:fill="E2EFD9" w:themeFill="accent6" w:themeFillTint="33"/>
          </w:tcPr>
          <w:p w:rsidR="00CD7572" w:rsidRPr="00CD7572" w:rsidRDefault="0062660D" w:rsidP="00CD7572">
            <w:pPr>
              <w:jc w:val="left"/>
              <w:rPr>
                <w:rFonts w:ascii="Arial" w:hAnsi="Arial"/>
              </w:rPr>
            </w:pPr>
            <w:r w:rsidRPr="00CD7572">
              <w:rPr>
                <w:rFonts w:ascii="Arial" w:hAnsi="Arial"/>
              </w:rPr>
              <w:t>Each year worked is worth 1/49</w:t>
            </w:r>
            <w:r w:rsidRPr="00CD7572">
              <w:rPr>
                <w:rFonts w:ascii="Arial" w:hAnsi="Arial"/>
                <w:vertAlign w:val="superscript"/>
              </w:rPr>
              <w:t>th</w:t>
            </w:r>
            <w:r w:rsidRPr="00CD7572">
              <w:rPr>
                <w:rFonts w:ascii="Arial" w:hAnsi="Arial"/>
              </w:rPr>
              <w:t xml:space="preserve"> x the pensionable pay  for that year (or 1/98th of pensionable pay if member opts for the 50/50 section of the scheme)</w:t>
            </w:r>
          </w:p>
        </w:tc>
      </w:tr>
      <w:tr w:rsidR="006A2C17" w:rsidTr="00E245D6">
        <w:trPr>
          <w:trHeight w:val="1972"/>
        </w:trPr>
        <w:tc>
          <w:tcPr>
            <w:tcW w:w="1515" w:type="dxa"/>
            <w:shd w:val="clear" w:color="auto" w:fill="E2EFD9" w:themeFill="accent6" w:themeFillTint="33"/>
          </w:tcPr>
          <w:p w:rsidR="00CD7572" w:rsidRPr="00CD7572" w:rsidRDefault="0062660D" w:rsidP="00CD7572">
            <w:pPr>
              <w:jc w:val="left"/>
              <w:rPr>
                <w:rFonts w:ascii="Arial" w:hAnsi="Arial"/>
                <w:b/>
              </w:rPr>
            </w:pPr>
            <w:r w:rsidRPr="00CD7572">
              <w:rPr>
                <w:rFonts w:ascii="Arial" w:hAnsi="Arial"/>
                <w:b/>
              </w:rPr>
              <w:t>Lump sum</w:t>
            </w:r>
          </w:p>
        </w:tc>
        <w:tc>
          <w:tcPr>
            <w:tcW w:w="2551" w:type="dxa"/>
            <w:shd w:val="clear" w:color="auto" w:fill="E2EFD9" w:themeFill="accent6" w:themeFillTint="33"/>
          </w:tcPr>
          <w:p w:rsidR="00CD7572" w:rsidRPr="00CD7572" w:rsidRDefault="0062660D" w:rsidP="00CD7572">
            <w:pPr>
              <w:jc w:val="left"/>
              <w:rPr>
                <w:rFonts w:ascii="Arial" w:hAnsi="Arial"/>
              </w:rPr>
            </w:pPr>
            <w:r w:rsidRPr="00CD7572">
              <w:rPr>
                <w:rFonts w:ascii="Arial" w:hAnsi="Arial"/>
              </w:rPr>
              <w:t>Automatic lump sum of 3 x salary.</w:t>
            </w:r>
          </w:p>
          <w:p w:rsidR="00CD7572" w:rsidRPr="00CD7572" w:rsidRDefault="0062660D" w:rsidP="00CD7572">
            <w:pPr>
              <w:jc w:val="left"/>
              <w:rPr>
                <w:rFonts w:ascii="Arial" w:hAnsi="Arial"/>
              </w:rPr>
            </w:pPr>
            <w:r w:rsidRPr="00CD7572">
              <w:rPr>
                <w:rFonts w:ascii="Arial" w:hAnsi="Arial"/>
              </w:rPr>
              <w:t xml:space="preserve">In addition, part of the annual pension can be exchanged for a one-off tax free cash </w:t>
            </w:r>
            <w:r w:rsidRPr="00CD7572">
              <w:rPr>
                <w:rFonts w:ascii="Arial" w:hAnsi="Arial"/>
              </w:rPr>
              <w:t>payment.  A lump sum of £12 is paid for each £1 of pension given up</w:t>
            </w:r>
          </w:p>
        </w:tc>
        <w:tc>
          <w:tcPr>
            <w:tcW w:w="2977" w:type="dxa"/>
            <w:shd w:val="clear" w:color="auto" w:fill="E2EFD9" w:themeFill="accent6" w:themeFillTint="33"/>
          </w:tcPr>
          <w:p w:rsidR="00CD7572" w:rsidRPr="00CD7572" w:rsidRDefault="0062660D" w:rsidP="00CD7572">
            <w:pPr>
              <w:jc w:val="left"/>
              <w:rPr>
                <w:rFonts w:ascii="Arial" w:hAnsi="Arial"/>
              </w:rPr>
            </w:pPr>
            <w:r w:rsidRPr="00CD7572">
              <w:rPr>
                <w:rFonts w:ascii="Arial" w:hAnsi="Arial"/>
              </w:rPr>
              <w:t>No automatic lump sum.</w:t>
            </w:r>
          </w:p>
          <w:p w:rsidR="00CD7572" w:rsidRPr="00CD7572" w:rsidRDefault="0062660D" w:rsidP="00CD7572">
            <w:pPr>
              <w:jc w:val="left"/>
              <w:rPr>
                <w:rFonts w:ascii="Arial" w:hAnsi="Arial"/>
              </w:rPr>
            </w:pPr>
            <w:r w:rsidRPr="00CD7572">
              <w:rPr>
                <w:rFonts w:ascii="Arial" w:hAnsi="Arial"/>
              </w:rPr>
              <w:t>Part of the annual pension can be exchanged for a one-off tax free cash payment.  A lump sum of £12 is paid for each £1 of pension given up</w:t>
            </w:r>
          </w:p>
        </w:tc>
        <w:tc>
          <w:tcPr>
            <w:tcW w:w="2913" w:type="dxa"/>
            <w:shd w:val="clear" w:color="auto" w:fill="E2EFD9" w:themeFill="accent6" w:themeFillTint="33"/>
          </w:tcPr>
          <w:p w:rsidR="00CD7572" w:rsidRPr="00CD7572" w:rsidRDefault="0062660D" w:rsidP="00CD7572">
            <w:pPr>
              <w:jc w:val="left"/>
              <w:rPr>
                <w:rFonts w:ascii="Arial" w:hAnsi="Arial"/>
              </w:rPr>
            </w:pPr>
            <w:r w:rsidRPr="00CD7572">
              <w:rPr>
                <w:rFonts w:ascii="Arial" w:hAnsi="Arial"/>
              </w:rPr>
              <w:t>No automatic lump sum.</w:t>
            </w:r>
          </w:p>
          <w:p w:rsidR="00CD7572" w:rsidRPr="00CD7572" w:rsidRDefault="0062660D" w:rsidP="00CD7572">
            <w:pPr>
              <w:jc w:val="left"/>
              <w:rPr>
                <w:rFonts w:ascii="Arial" w:hAnsi="Arial"/>
              </w:rPr>
            </w:pPr>
            <w:r w:rsidRPr="00CD7572">
              <w:rPr>
                <w:rFonts w:ascii="Arial" w:hAnsi="Arial"/>
              </w:rPr>
              <w:t>Pa</w:t>
            </w:r>
            <w:r w:rsidRPr="00CD7572">
              <w:rPr>
                <w:rFonts w:ascii="Arial" w:hAnsi="Arial"/>
              </w:rPr>
              <w:t>rt of the annual pension can be exchanged for a one-off tax free cash payment.  A lump sum of £12 is paid for each £1 of pension given up</w:t>
            </w:r>
          </w:p>
        </w:tc>
      </w:tr>
    </w:tbl>
    <w:p w:rsidR="00CD7572" w:rsidRPr="00CD7572" w:rsidRDefault="0062660D" w:rsidP="00CD7572">
      <w:pPr>
        <w:ind w:left="720"/>
        <w:rPr>
          <w:highlight w:val="yellow"/>
        </w:rPr>
      </w:pPr>
    </w:p>
    <w:p w:rsidR="00CD7572" w:rsidRPr="00CD7572" w:rsidRDefault="0062660D" w:rsidP="00CD7572">
      <w:pPr>
        <w:ind w:left="720"/>
      </w:pPr>
    </w:p>
    <w:p w:rsidR="00CD7572" w:rsidRPr="00CD7572" w:rsidRDefault="0062660D" w:rsidP="00CD7572">
      <w:pPr>
        <w:numPr>
          <w:ilvl w:val="0"/>
          <w:numId w:val="6"/>
        </w:numPr>
        <w:tabs>
          <w:tab w:val="clear" w:pos="862"/>
          <w:tab w:val="left" w:pos="567"/>
          <w:tab w:val="num" w:pos="720"/>
        </w:tabs>
        <w:autoSpaceDE/>
        <w:autoSpaceDN/>
        <w:adjustRightInd/>
        <w:spacing w:after="0"/>
        <w:ind w:left="720"/>
        <w:contextualSpacing/>
        <w:jc w:val="left"/>
        <w:rPr>
          <w:b/>
          <w:sz w:val="32"/>
          <w:szCs w:val="32"/>
        </w:rPr>
      </w:pPr>
      <w:r w:rsidRPr="00CD7572">
        <w:rPr>
          <w:b/>
          <w:sz w:val="32"/>
          <w:szCs w:val="32"/>
        </w:rPr>
        <w:t xml:space="preserve">Basis of preparation </w:t>
      </w:r>
    </w:p>
    <w:p w:rsidR="00CD7572" w:rsidRPr="00CD7572" w:rsidRDefault="0062660D" w:rsidP="00CD7572">
      <w:pPr>
        <w:tabs>
          <w:tab w:val="left" w:pos="567"/>
        </w:tabs>
        <w:jc w:val="left"/>
        <w:rPr>
          <w:b/>
        </w:rPr>
      </w:pPr>
    </w:p>
    <w:p w:rsidR="00CD7572" w:rsidRPr="00CD7572" w:rsidRDefault="0062660D" w:rsidP="00CD7572">
      <w:pPr>
        <w:tabs>
          <w:tab w:val="left" w:pos="1080"/>
        </w:tabs>
        <w:ind w:left="567"/>
        <w:jc w:val="left"/>
      </w:pPr>
      <w:r w:rsidRPr="00CD7572">
        <w:t xml:space="preserve">The Statement of Accounts summarises the Fund's transactions for the 2015/16 financial year </w:t>
      </w:r>
      <w:r w:rsidRPr="00CD7572">
        <w:t xml:space="preserve">and its position as at 31 March 2016.  The accounts have been prepared in accordance with the Code of Practice on Local Authority Accounting in United Kingdom 2015/16 which is based on International Financial Reporting Standards (IFRS), as amended for the </w:t>
      </w:r>
      <w:r w:rsidRPr="00CD7572">
        <w:t>UK public sector.</w:t>
      </w:r>
    </w:p>
    <w:p w:rsidR="00CD7572" w:rsidRPr="00CD7572" w:rsidRDefault="0062660D" w:rsidP="00CD7572">
      <w:pPr>
        <w:ind w:left="567"/>
        <w:jc w:val="left"/>
      </w:pPr>
      <w:r w:rsidRPr="00CD7572">
        <w:t xml:space="preserve">The accounts summarise the transactions of the Fund and report the net assets available to pay pension benefits. They do not take account of obligations to pay pensions and benefits which fall due after the end of the financial year. The </w:t>
      </w:r>
      <w:r w:rsidRPr="00CD7572">
        <w:t>actuarial present value of promised retirement benefits, valued on an International Accounting Standard (IAS) 19 basis, is disclosed in note 25 of these accounts.</w:t>
      </w:r>
    </w:p>
    <w:p w:rsidR="00CD7572" w:rsidRPr="00CD7572" w:rsidRDefault="0062660D" w:rsidP="00CD7572">
      <w:pPr>
        <w:ind w:left="567"/>
        <w:jc w:val="left"/>
      </w:pPr>
    </w:p>
    <w:p w:rsidR="00CD7572" w:rsidRPr="00CD7572" w:rsidRDefault="0062660D" w:rsidP="00CD7572">
      <w:pPr>
        <w:ind w:left="567"/>
        <w:jc w:val="left"/>
      </w:pPr>
    </w:p>
    <w:p w:rsidR="00CD7572" w:rsidRDefault="0062660D" w:rsidP="00CD7572">
      <w:pPr>
        <w:ind w:left="567"/>
        <w:jc w:val="left"/>
      </w:pPr>
    </w:p>
    <w:p w:rsidR="00CD7572" w:rsidRPr="00CD7572" w:rsidRDefault="0062660D" w:rsidP="00CD7572">
      <w:pPr>
        <w:ind w:left="567"/>
        <w:jc w:val="left"/>
      </w:pPr>
    </w:p>
    <w:p w:rsidR="00CD7572" w:rsidRPr="00CD7572" w:rsidRDefault="0062660D" w:rsidP="00CD7572">
      <w:pPr>
        <w:ind w:left="567"/>
        <w:jc w:val="left"/>
      </w:pPr>
    </w:p>
    <w:p w:rsidR="00CD7572" w:rsidRPr="00CD7572" w:rsidRDefault="0062660D" w:rsidP="00CD7572">
      <w:pPr>
        <w:numPr>
          <w:ilvl w:val="0"/>
          <w:numId w:val="6"/>
        </w:numPr>
        <w:tabs>
          <w:tab w:val="clear" w:pos="862"/>
          <w:tab w:val="num" w:pos="567"/>
          <w:tab w:val="num" w:pos="720"/>
        </w:tabs>
        <w:autoSpaceDE/>
        <w:autoSpaceDN/>
        <w:adjustRightInd/>
        <w:spacing w:after="0"/>
        <w:ind w:left="567" w:hanging="567"/>
        <w:jc w:val="left"/>
        <w:rPr>
          <w:b/>
          <w:sz w:val="32"/>
          <w:szCs w:val="28"/>
        </w:rPr>
      </w:pPr>
      <w:r w:rsidRPr="00CD7572">
        <w:rPr>
          <w:b/>
          <w:sz w:val="32"/>
          <w:szCs w:val="28"/>
        </w:rPr>
        <w:t>Accounting policies</w:t>
      </w:r>
    </w:p>
    <w:p w:rsidR="00CD7572" w:rsidRPr="00CD7572" w:rsidRDefault="0062660D" w:rsidP="00CD7572">
      <w:pPr>
        <w:ind w:left="567"/>
        <w:jc w:val="left"/>
        <w:rPr>
          <w:b/>
        </w:rPr>
      </w:pPr>
    </w:p>
    <w:p w:rsidR="00CD7572" w:rsidRPr="00CD7572" w:rsidRDefault="0062660D" w:rsidP="00CD7572">
      <w:pPr>
        <w:numPr>
          <w:ilvl w:val="1"/>
          <w:numId w:val="16"/>
        </w:numPr>
        <w:tabs>
          <w:tab w:val="left" w:pos="1134"/>
        </w:tabs>
        <w:spacing w:after="0"/>
        <w:ind w:left="993" w:hanging="426"/>
        <w:contextualSpacing/>
        <w:jc w:val="left"/>
        <w:rPr>
          <w:b/>
          <w:sz w:val="32"/>
          <w:szCs w:val="32"/>
        </w:rPr>
      </w:pPr>
      <w:r w:rsidRPr="00CD7572">
        <w:rPr>
          <w:b/>
          <w:sz w:val="32"/>
          <w:szCs w:val="32"/>
        </w:rPr>
        <w:t>Fund Account - revenue recognition</w:t>
      </w:r>
    </w:p>
    <w:p w:rsidR="00CD7572" w:rsidRPr="00CD7572" w:rsidRDefault="0062660D" w:rsidP="00CD7572">
      <w:pPr>
        <w:spacing w:after="0"/>
        <w:jc w:val="left"/>
        <w:rPr>
          <w:b/>
        </w:rPr>
      </w:pPr>
    </w:p>
    <w:p w:rsidR="00CD7572" w:rsidRPr="00CD7572" w:rsidRDefault="0062660D" w:rsidP="00CD7572">
      <w:pPr>
        <w:tabs>
          <w:tab w:val="num" w:pos="851"/>
        </w:tabs>
        <w:spacing w:after="0"/>
        <w:ind w:left="567"/>
        <w:jc w:val="left"/>
        <w:rPr>
          <w:b/>
        </w:rPr>
      </w:pPr>
      <w:r w:rsidRPr="00CD7572">
        <w:rPr>
          <w:b/>
        </w:rPr>
        <w:t>3.1.1 Contribution income</w:t>
      </w:r>
    </w:p>
    <w:p w:rsidR="00CD7572" w:rsidRPr="00CD7572" w:rsidRDefault="0062660D" w:rsidP="00CD7572">
      <w:pPr>
        <w:tabs>
          <w:tab w:val="left" w:pos="851"/>
        </w:tabs>
        <w:ind w:left="567"/>
        <w:jc w:val="left"/>
      </w:pPr>
      <w:r w:rsidRPr="00CD7572">
        <w:t>Normal contributions both from the members and from the employer are accounted for on an accruals basis. Member contributions are in accordance with the LGPS Regulations 2013 and employer contributions are at the percentage rate recommended by the scheme a</w:t>
      </w:r>
      <w:r w:rsidRPr="00CD7572">
        <w:t>ctuary, in the payroll period to which they relate.</w:t>
      </w:r>
    </w:p>
    <w:p w:rsidR="00CD7572" w:rsidRPr="00CD7572" w:rsidRDefault="0062660D" w:rsidP="00CD7572">
      <w:pPr>
        <w:tabs>
          <w:tab w:val="left" w:pos="851"/>
        </w:tabs>
        <w:ind w:left="567"/>
        <w:jc w:val="left"/>
      </w:pPr>
      <w:r w:rsidRPr="00CD7572">
        <w:t xml:space="preserve">Employer deficit funding contributions are accounted for on the due dates on which they are payable under the schedule of contributions set by the scheme actuary or on receipt if earlier than the due </w:t>
      </w:r>
      <w:r w:rsidRPr="00CD7572">
        <w:t>date.</w:t>
      </w:r>
    </w:p>
    <w:p w:rsidR="00CD7572" w:rsidRPr="00CD7572" w:rsidRDefault="0062660D" w:rsidP="00CD7572">
      <w:pPr>
        <w:ind w:left="567"/>
        <w:jc w:val="left"/>
        <w:rPr>
          <w:b/>
        </w:rPr>
      </w:pPr>
      <w:r w:rsidRPr="00CD7572">
        <w:t>Employers' augmentation contributions and pension strain contributions are accounted for</w:t>
      </w:r>
      <w:r w:rsidRPr="00CD7572">
        <w:rPr>
          <w:b/>
        </w:rPr>
        <w:t xml:space="preserve"> </w:t>
      </w:r>
      <w:r w:rsidRPr="00CD7572">
        <w:t>in</w:t>
      </w:r>
      <w:r w:rsidRPr="00CD7572">
        <w:rPr>
          <w:b/>
        </w:rPr>
        <w:t xml:space="preserve"> </w:t>
      </w:r>
      <w:r w:rsidRPr="00CD7572">
        <w:t>the period in which the liability arises.  Any amount due in the year but unpaid will be classed as a current financial asset.  Amounts not due until future y</w:t>
      </w:r>
      <w:r w:rsidRPr="00CD7572">
        <w:t>ears are classed as long term financial assets.</w:t>
      </w:r>
      <w:r w:rsidRPr="00CD7572">
        <w:rPr>
          <w:b/>
        </w:rPr>
        <w:t xml:space="preserve"> </w:t>
      </w:r>
    </w:p>
    <w:p w:rsidR="00CD7572" w:rsidRPr="00CD7572" w:rsidRDefault="0062660D" w:rsidP="00CD7572">
      <w:pPr>
        <w:ind w:left="851"/>
        <w:jc w:val="left"/>
        <w:rPr>
          <w:b/>
        </w:rPr>
      </w:pPr>
    </w:p>
    <w:p w:rsidR="00CD7572" w:rsidRPr="00CD7572" w:rsidRDefault="0062660D" w:rsidP="00CD7572">
      <w:pPr>
        <w:spacing w:after="0"/>
        <w:ind w:left="567"/>
        <w:jc w:val="left"/>
        <w:rPr>
          <w:b/>
        </w:rPr>
      </w:pPr>
      <w:r w:rsidRPr="00CD7572">
        <w:rPr>
          <w:b/>
        </w:rPr>
        <w:t>3.1.2 Transfers to and from other schemes</w:t>
      </w:r>
    </w:p>
    <w:p w:rsidR="00CD7572" w:rsidRPr="00CD7572" w:rsidRDefault="0062660D" w:rsidP="00CD7572">
      <w:pPr>
        <w:tabs>
          <w:tab w:val="left" w:pos="567"/>
        </w:tabs>
        <w:ind w:left="567"/>
        <w:jc w:val="left"/>
        <w:rPr>
          <w:highlight w:val="yellow"/>
        </w:rPr>
      </w:pPr>
      <w:r w:rsidRPr="00CD7572">
        <w:t xml:space="preserve">Transfer values represent amounts received and paid during the period for individual members who have either joined or left the Fund during the financial year and </w:t>
      </w:r>
      <w:r w:rsidRPr="00CD7572">
        <w:t>are calculated in accordance with Local Government Pension Scheme Regulations.</w:t>
      </w:r>
    </w:p>
    <w:p w:rsidR="00CD7572" w:rsidRPr="00CD7572" w:rsidRDefault="0062660D" w:rsidP="00CD7572">
      <w:pPr>
        <w:tabs>
          <w:tab w:val="left" w:pos="567"/>
        </w:tabs>
        <w:ind w:left="567"/>
        <w:jc w:val="left"/>
      </w:pPr>
      <w:r w:rsidRPr="00CD7572">
        <w:t>Individual transfers in/out are accounted for when received/paid, which is when the member liability is accepted or discharged.</w:t>
      </w:r>
    </w:p>
    <w:p w:rsidR="00CD7572" w:rsidRPr="00CD7572" w:rsidRDefault="0062660D" w:rsidP="00CD7572">
      <w:pPr>
        <w:tabs>
          <w:tab w:val="left" w:pos="567"/>
        </w:tabs>
        <w:ind w:left="567"/>
        <w:jc w:val="left"/>
      </w:pPr>
      <w:r w:rsidRPr="00CD7572">
        <w:t>Transfers in from members wishing to use the proc</w:t>
      </w:r>
      <w:r w:rsidRPr="00CD7572">
        <w:t>eeds of their additional voluntary contributions to purchase scheme benefits are accounted for on a receipts basis and are included in transfers in.</w:t>
      </w:r>
    </w:p>
    <w:p w:rsidR="00CD7572" w:rsidRPr="00CD7572" w:rsidRDefault="0062660D" w:rsidP="00CD7572">
      <w:pPr>
        <w:tabs>
          <w:tab w:val="left" w:pos="567"/>
        </w:tabs>
        <w:ind w:left="567"/>
        <w:jc w:val="left"/>
      </w:pPr>
      <w:r w:rsidRPr="00CD7572">
        <w:t xml:space="preserve">Bulk (group) transfers are accounted for on an accruals basis in accordance with the terms of the transfer </w:t>
      </w:r>
      <w:r w:rsidRPr="00CD7572">
        <w:t>agreement.</w:t>
      </w:r>
    </w:p>
    <w:p w:rsidR="00CD7572" w:rsidRPr="00CD7572" w:rsidRDefault="0062660D" w:rsidP="00CD7572">
      <w:pPr>
        <w:tabs>
          <w:tab w:val="left" w:pos="851"/>
        </w:tabs>
        <w:ind w:left="851"/>
        <w:jc w:val="left"/>
      </w:pPr>
    </w:p>
    <w:p w:rsidR="00CD7572" w:rsidRPr="00CD7572" w:rsidRDefault="0062660D" w:rsidP="00CD7572">
      <w:pPr>
        <w:numPr>
          <w:ilvl w:val="2"/>
          <w:numId w:val="17"/>
        </w:numPr>
        <w:tabs>
          <w:tab w:val="left" w:pos="851"/>
        </w:tabs>
        <w:ind w:left="1276" w:hanging="710"/>
        <w:contextualSpacing/>
        <w:jc w:val="left"/>
      </w:pPr>
      <w:r w:rsidRPr="00CD7572">
        <w:rPr>
          <w:b/>
        </w:rPr>
        <w:t>Investment income</w:t>
      </w:r>
    </w:p>
    <w:p w:rsidR="00CD7572" w:rsidRPr="00CD7572" w:rsidRDefault="0062660D" w:rsidP="00CD7572">
      <w:pPr>
        <w:tabs>
          <w:tab w:val="left" w:pos="709"/>
        </w:tabs>
        <w:autoSpaceDE/>
        <w:autoSpaceDN/>
        <w:adjustRightInd/>
        <w:spacing w:after="0"/>
        <w:ind w:left="720"/>
        <w:contextualSpacing/>
        <w:jc w:val="left"/>
      </w:pPr>
      <w:r w:rsidRPr="00CD7572">
        <w:rPr>
          <w:b/>
        </w:rPr>
        <w:t>3.1.3.1 Interest income</w:t>
      </w:r>
    </w:p>
    <w:p w:rsidR="00CD7572" w:rsidRPr="00CD7572" w:rsidRDefault="0062660D" w:rsidP="00CD7572">
      <w:pPr>
        <w:tabs>
          <w:tab w:val="left" w:pos="709"/>
        </w:tabs>
        <w:ind w:left="709"/>
        <w:jc w:val="left"/>
      </w:pPr>
      <w:r w:rsidRPr="00CD7572">
        <w:t>Interest income is recognised in the fund account as it accrues, using the effective interest rate of the financial instrument as at the date of acquisition or origination.  Income includes the amortisa</w:t>
      </w:r>
      <w:r w:rsidRPr="00CD7572">
        <w:t>tion of any discount or premium, transaction costs or other differences between the initial carrying amount of the instrument and its amount at maturity calculated on an effective interest rate basis.</w:t>
      </w:r>
    </w:p>
    <w:p w:rsidR="00CD7572" w:rsidRPr="00CD7572" w:rsidRDefault="0062660D" w:rsidP="00CD7572">
      <w:pPr>
        <w:tabs>
          <w:tab w:val="left" w:pos="851"/>
        </w:tabs>
        <w:ind w:left="851"/>
        <w:jc w:val="left"/>
      </w:pPr>
    </w:p>
    <w:p w:rsidR="00CD7572" w:rsidRPr="00CD7572" w:rsidRDefault="0062660D" w:rsidP="00CD7572">
      <w:pPr>
        <w:numPr>
          <w:ilvl w:val="3"/>
          <w:numId w:val="19"/>
        </w:numPr>
        <w:tabs>
          <w:tab w:val="left" w:pos="709"/>
        </w:tabs>
        <w:autoSpaceDE/>
        <w:autoSpaceDN/>
        <w:adjustRightInd/>
        <w:spacing w:after="0"/>
        <w:ind w:left="1560" w:hanging="855"/>
        <w:contextualSpacing/>
        <w:jc w:val="left"/>
      </w:pPr>
      <w:r w:rsidRPr="00CD7572">
        <w:rPr>
          <w:b/>
        </w:rPr>
        <w:t>Dividend income</w:t>
      </w:r>
    </w:p>
    <w:p w:rsidR="00CD7572" w:rsidRPr="00CD7572" w:rsidRDefault="0062660D" w:rsidP="00CD7572">
      <w:pPr>
        <w:tabs>
          <w:tab w:val="left" w:pos="709"/>
        </w:tabs>
        <w:ind w:left="709"/>
        <w:jc w:val="left"/>
      </w:pPr>
      <w:r w:rsidRPr="00CD7572">
        <w:t>Dividend income is recognised on the d</w:t>
      </w:r>
      <w:r w:rsidRPr="00CD7572">
        <w:t>ate the shares are quoted ex-dividend.  Any amount not received by the end of the reporting period is disclosed in the net assets statement as a current financial asset.</w:t>
      </w:r>
    </w:p>
    <w:p w:rsidR="00CD7572" w:rsidRPr="00CD7572" w:rsidRDefault="0062660D" w:rsidP="00CD7572">
      <w:pPr>
        <w:tabs>
          <w:tab w:val="left" w:pos="851"/>
        </w:tabs>
        <w:ind w:left="927"/>
        <w:jc w:val="left"/>
      </w:pPr>
    </w:p>
    <w:p w:rsidR="00CD7572" w:rsidRPr="00CD7572" w:rsidRDefault="0062660D" w:rsidP="00CD7572">
      <w:pPr>
        <w:numPr>
          <w:ilvl w:val="3"/>
          <w:numId w:val="19"/>
        </w:numPr>
        <w:tabs>
          <w:tab w:val="left" w:pos="709"/>
        </w:tabs>
        <w:autoSpaceDE/>
        <w:autoSpaceDN/>
        <w:adjustRightInd/>
        <w:spacing w:after="0"/>
        <w:ind w:left="1560" w:hanging="851"/>
        <w:contextualSpacing/>
        <w:jc w:val="left"/>
      </w:pPr>
      <w:r w:rsidRPr="00CD7572">
        <w:rPr>
          <w:b/>
        </w:rPr>
        <w:t>Distribution from pooled funds</w:t>
      </w:r>
    </w:p>
    <w:p w:rsidR="00CD7572" w:rsidRPr="00CD7572" w:rsidRDefault="0062660D" w:rsidP="00CD7572">
      <w:pPr>
        <w:tabs>
          <w:tab w:val="left" w:pos="709"/>
        </w:tabs>
        <w:ind w:left="709"/>
        <w:jc w:val="left"/>
      </w:pPr>
      <w:r w:rsidRPr="00CD7572">
        <w:t xml:space="preserve">Distributions from pooled funds are recognised at the </w:t>
      </w:r>
      <w:r w:rsidRPr="00CD7572">
        <w:t>date of issue.  Any amount not received by the end of the reporting period is disclosed in the net assets statement as a current financial asset.</w:t>
      </w:r>
    </w:p>
    <w:p w:rsidR="00CD7572" w:rsidRPr="00CD7572" w:rsidRDefault="0062660D" w:rsidP="00CD7572">
      <w:pPr>
        <w:tabs>
          <w:tab w:val="left" w:pos="851"/>
        </w:tabs>
        <w:ind w:left="927"/>
        <w:jc w:val="left"/>
      </w:pPr>
    </w:p>
    <w:p w:rsidR="00CD7572" w:rsidRPr="00CD7572" w:rsidRDefault="0062660D" w:rsidP="00CD7572">
      <w:pPr>
        <w:tabs>
          <w:tab w:val="left" w:pos="851"/>
        </w:tabs>
        <w:ind w:left="927"/>
        <w:jc w:val="left"/>
      </w:pPr>
    </w:p>
    <w:p w:rsidR="00CD7572" w:rsidRPr="00CD7572" w:rsidRDefault="0062660D" w:rsidP="00CD7572">
      <w:pPr>
        <w:numPr>
          <w:ilvl w:val="3"/>
          <w:numId w:val="19"/>
        </w:numPr>
        <w:tabs>
          <w:tab w:val="left" w:pos="709"/>
        </w:tabs>
        <w:autoSpaceDE/>
        <w:autoSpaceDN/>
        <w:adjustRightInd/>
        <w:spacing w:after="0"/>
        <w:ind w:left="1560" w:hanging="855"/>
        <w:contextualSpacing/>
        <w:jc w:val="left"/>
      </w:pPr>
      <w:r w:rsidRPr="00CD7572">
        <w:rPr>
          <w:b/>
        </w:rPr>
        <w:t>Property–related income</w:t>
      </w:r>
    </w:p>
    <w:p w:rsidR="00CD7572" w:rsidRPr="00CD7572" w:rsidRDefault="0062660D" w:rsidP="00CD7572">
      <w:pPr>
        <w:tabs>
          <w:tab w:val="left" w:pos="709"/>
        </w:tabs>
        <w:ind w:left="709"/>
        <w:jc w:val="left"/>
      </w:pPr>
      <w:r w:rsidRPr="00CD7572">
        <w:t>Property-related income consists primarily of rental income.</w:t>
      </w:r>
    </w:p>
    <w:p w:rsidR="00CD7572" w:rsidRPr="00CD7572" w:rsidRDefault="0062660D" w:rsidP="00CD7572">
      <w:pPr>
        <w:tabs>
          <w:tab w:val="left" w:pos="709"/>
        </w:tabs>
        <w:ind w:left="709"/>
        <w:jc w:val="left"/>
      </w:pPr>
      <w:r w:rsidRPr="00CD7572">
        <w:t>Rental income from oper</w:t>
      </w:r>
      <w:r w:rsidRPr="00CD7572">
        <w:t>ating leases on properties owned by the Fund is recognised on a straight line basis over the term of the lease.  Any lease incentives granted are recognised as an integral part of the total rental income, over the term of the lease.</w:t>
      </w:r>
    </w:p>
    <w:p w:rsidR="00CD7572" w:rsidRPr="00CD7572" w:rsidRDefault="0062660D" w:rsidP="00CD7572">
      <w:pPr>
        <w:tabs>
          <w:tab w:val="left" w:pos="709"/>
        </w:tabs>
        <w:ind w:left="709"/>
        <w:jc w:val="left"/>
      </w:pPr>
      <w:r w:rsidRPr="00CD7572">
        <w:t xml:space="preserve">Contingent rents based </w:t>
      </w:r>
      <w:r w:rsidRPr="00CD7572">
        <w:t>on the future amount of a factor that changes other than with the passage of time, such as turnover rents, are only recognised when contractually due.</w:t>
      </w:r>
    </w:p>
    <w:p w:rsidR="00CD7572" w:rsidRPr="00CD7572" w:rsidRDefault="0062660D" w:rsidP="00CD7572">
      <w:pPr>
        <w:tabs>
          <w:tab w:val="left" w:pos="851"/>
        </w:tabs>
        <w:ind w:left="851"/>
        <w:jc w:val="left"/>
      </w:pPr>
    </w:p>
    <w:p w:rsidR="00CD7572" w:rsidRPr="00CD7572" w:rsidRDefault="0062660D" w:rsidP="00CD7572">
      <w:pPr>
        <w:numPr>
          <w:ilvl w:val="3"/>
          <w:numId w:val="19"/>
        </w:numPr>
        <w:tabs>
          <w:tab w:val="left" w:pos="709"/>
        </w:tabs>
        <w:autoSpaceDE/>
        <w:autoSpaceDN/>
        <w:adjustRightInd/>
        <w:spacing w:after="0"/>
        <w:ind w:left="1560" w:hanging="855"/>
        <w:contextualSpacing/>
        <w:jc w:val="left"/>
      </w:pPr>
      <w:r w:rsidRPr="00CD7572">
        <w:rPr>
          <w:b/>
        </w:rPr>
        <w:t>Movement in the net market value of investments</w:t>
      </w:r>
    </w:p>
    <w:p w:rsidR="00CD7572" w:rsidRPr="00CD7572" w:rsidRDefault="0062660D" w:rsidP="00CD7572">
      <w:pPr>
        <w:tabs>
          <w:tab w:val="left" w:pos="709"/>
        </w:tabs>
        <w:ind w:left="709"/>
        <w:jc w:val="left"/>
      </w:pPr>
      <w:r w:rsidRPr="00CD7572">
        <w:t>Changes in the net market value of investments (includin</w:t>
      </w:r>
      <w:r w:rsidRPr="00CD7572">
        <w:t>g investment properties) are recognised as income and comprise all realised and unrealised profits/losses during the year.</w:t>
      </w:r>
    </w:p>
    <w:p w:rsidR="00CD7572" w:rsidRPr="00CD7572" w:rsidRDefault="0062660D" w:rsidP="00CD7572">
      <w:pPr>
        <w:tabs>
          <w:tab w:val="left" w:pos="851"/>
        </w:tabs>
        <w:ind w:left="851"/>
        <w:jc w:val="left"/>
      </w:pPr>
    </w:p>
    <w:p w:rsidR="00CD7572" w:rsidRPr="00CD7572" w:rsidRDefault="0062660D" w:rsidP="00CD7572">
      <w:pPr>
        <w:spacing w:after="0"/>
        <w:ind w:left="567"/>
        <w:jc w:val="left"/>
        <w:rPr>
          <w:b/>
          <w:sz w:val="32"/>
          <w:szCs w:val="32"/>
        </w:rPr>
      </w:pPr>
      <w:r w:rsidRPr="00CD7572">
        <w:rPr>
          <w:b/>
          <w:sz w:val="32"/>
          <w:szCs w:val="32"/>
        </w:rPr>
        <w:t>3.2 Fund account – expense items</w:t>
      </w:r>
    </w:p>
    <w:p w:rsidR="00CD7572" w:rsidRPr="00CD7572" w:rsidRDefault="0062660D" w:rsidP="00CD7572">
      <w:pPr>
        <w:ind w:left="567"/>
        <w:jc w:val="left"/>
        <w:rPr>
          <w:b/>
          <w:sz w:val="32"/>
          <w:szCs w:val="32"/>
        </w:rPr>
      </w:pPr>
    </w:p>
    <w:p w:rsidR="00CD7572" w:rsidRPr="00CD7572" w:rsidRDefault="0062660D" w:rsidP="00CD7572">
      <w:pPr>
        <w:tabs>
          <w:tab w:val="num" w:pos="567"/>
        </w:tabs>
        <w:spacing w:after="0"/>
        <w:ind w:left="567"/>
        <w:jc w:val="left"/>
        <w:rPr>
          <w:b/>
        </w:rPr>
      </w:pPr>
      <w:r w:rsidRPr="00CD7572">
        <w:rPr>
          <w:b/>
        </w:rPr>
        <w:t>3.2.1 Benefits payable</w:t>
      </w:r>
    </w:p>
    <w:p w:rsidR="00CD7572" w:rsidRPr="00CD7572" w:rsidRDefault="0062660D" w:rsidP="00CD7572">
      <w:pPr>
        <w:tabs>
          <w:tab w:val="num" w:pos="567"/>
        </w:tabs>
        <w:spacing w:after="0"/>
        <w:ind w:left="567"/>
        <w:jc w:val="left"/>
      </w:pPr>
      <w:r w:rsidRPr="00CD7572">
        <w:t xml:space="preserve">Pensions and lump sum benefits payable include all amounts known to be due </w:t>
      </w:r>
      <w:r w:rsidRPr="00CD7572">
        <w:t>as at the end of the financial year.  Any amounts due but unpaid are disclosed on the net assets statement as current liabilities.</w:t>
      </w:r>
    </w:p>
    <w:p w:rsidR="00CD7572" w:rsidRPr="00CD7572" w:rsidRDefault="0062660D" w:rsidP="00CD7572">
      <w:pPr>
        <w:tabs>
          <w:tab w:val="num" w:pos="567"/>
        </w:tabs>
        <w:ind w:left="567"/>
        <w:jc w:val="left"/>
      </w:pPr>
    </w:p>
    <w:p w:rsidR="00CD7572" w:rsidRPr="00CD7572" w:rsidRDefault="0062660D" w:rsidP="00CD7572">
      <w:pPr>
        <w:tabs>
          <w:tab w:val="num" w:pos="567"/>
        </w:tabs>
        <w:spacing w:after="0"/>
        <w:ind w:left="567"/>
        <w:jc w:val="left"/>
        <w:rPr>
          <w:b/>
        </w:rPr>
      </w:pPr>
      <w:r w:rsidRPr="00CD7572">
        <w:rPr>
          <w:b/>
        </w:rPr>
        <w:t>3.2.2 Taxation</w:t>
      </w:r>
    </w:p>
    <w:p w:rsidR="00CD7572" w:rsidRPr="00CD7572" w:rsidRDefault="0062660D" w:rsidP="00CD7572">
      <w:pPr>
        <w:tabs>
          <w:tab w:val="num" w:pos="567"/>
        </w:tabs>
        <w:spacing w:after="0"/>
        <w:ind w:left="567"/>
        <w:jc w:val="left"/>
      </w:pPr>
      <w:r w:rsidRPr="00CD7572">
        <w:t xml:space="preserve">The Fund is a registered public service scheme under section 1(1) of Schedule 36 of the Finance Act 2004 and </w:t>
      </w:r>
      <w:r w:rsidRPr="00CD7572">
        <w:t xml:space="preserve">as such is exempt from UK income tax on interest received and from capital gains tax on the proceeds of investments sold.  Income from overseas investments suffers withholding tax in the country of origin, unless exemption is permitted.  Irrecoverable tax </w:t>
      </w:r>
      <w:r w:rsidRPr="00CD7572">
        <w:t>is accounted for as a fund expense as it arises.</w:t>
      </w:r>
    </w:p>
    <w:p w:rsidR="00CD7572" w:rsidRPr="00CD7572" w:rsidRDefault="0062660D" w:rsidP="00CD7572">
      <w:pPr>
        <w:tabs>
          <w:tab w:val="num" w:pos="567"/>
        </w:tabs>
        <w:ind w:left="567"/>
        <w:jc w:val="left"/>
      </w:pPr>
    </w:p>
    <w:p w:rsidR="00CD7572" w:rsidRPr="00CD7572" w:rsidRDefault="0062660D" w:rsidP="00CD7572">
      <w:pPr>
        <w:tabs>
          <w:tab w:val="num" w:pos="567"/>
        </w:tabs>
        <w:spacing w:after="0"/>
        <w:ind w:left="567"/>
        <w:jc w:val="left"/>
        <w:rPr>
          <w:b/>
        </w:rPr>
      </w:pPr>
      <w:r w:rsidRPr="00CD7572">
        <w:rPr>
          <w:b/>
        </w:rPr>
        <w:t>3.2.3 Management expenses</w:t>
      </w:r>
    </w:p>
    <w:p w:rsidR="00CD7572" w:rsidRPr="00CD7572" w:rsidRDefault="0062660D" w:rsidP="00CD7572">
      <w:pPr>
        <w:spacing w:after="0"/>
        <w:ind w:left="567"/>
        <w:jc w:val="left"/>
        <w:rPr>
          <w:rFonts w:eastAsia="Times New Roman" w:cs="Arial"/>
          <w:lang w:eastAsia="en-GB"/>
        </w:rPr>
      </w:pPr>
      <w:r w:rsidRPr="00CD7572">
        <w:rPr>
          <w:rFonts w:eastAsia="Times New Roman" w:cs="Arial"/>
          <w:lang w:eastAsia="en-GB"/>
        </w:rPr>
        <w:t>The code does not require any breakdown of pension fund administrative expenses.  However, in the interests of greater transparency, the Fund discloses its management expenses in a</w:t>
      </w:r>
      <w:r w:rsidRPr="00CD7572">
        <w:rPr>
          <w:rFonts w:eastAsia="Times New Roman" w:cs="Arial"/>
          <w:lang w:eastAsia="en-GB"/>
        </w:rPr>
        <w:t>ccordance with the CIPFA guidance "Accounting for Local Government Pension Scheme Management Costs".    Management expenses have now been broken down across the following three categories:</w:t>
      </w:r>
    </w:p>
    <w:p w:rsidR="00CD7572" w:rsidRPr="00CD7572" w:rsidRDefault="0062660D" w:rsidP="00CD7572">
      <w:pPr>
        <w:numPr>
          <w:ilvl w:val="0"/>
          <w:numId w:val="37"/>
        </w:numPr>
        <w:spacing w:after="0"/>
        <w:rPr>
          <w:rFonts w:eastAsia="Times New Roman" w:cs="Arial"/>
          <w:lang w:eastAsia="en-GB"/>
        </w:rPr>
      </w:pPr>
      <w:r w:rsidRPr="00CD7572">
        <w:rPr>
          <w:rFonts w:eastAsia="Times New Roman" w:cs="Arial"/>
          <w:lang w:eastAsia="en-GB"/>
        </w:rPr>
        <w:t>3.2.4 - Administrative expenses</w:t>
      </w:r>
    </w:p>
    <w:p w:rsidR="00CD7572" w:rsidRPr="00CD7572" w:rsidRDefault="0062660D" w:rsidP="00CD7572">
      <w:pPr>
        <w:numPr>
          <w:ilvl w:val="0"/>
          <w:numId w:val="37"/>
        </w:numPr>
        <w:spacing w:after="0"/>
        <w:rPr>
          <w:rFonts w:eastAsia="Times New Roman" w:cs="Arial"/>
          <w:lang w:eastAsia="en-GB"/>
        </w:rPr>
      </w:pPr>
      <w:r w:rsidRPr="00CD7572">
        <w:rPr>
          <w:rFonts w:eastAsia="Times New Roman" w:cs="Arial"/>
          <w:lang w:eastAsia="en-GB"/>
        </w:rPr>
        <w:t>3.2.5 - Oversight and governance ex</w:t>
      </w:r>
      <w:r w:rsidRPr="00CD7572">
        <w:rPr>
          <w:rFonts w:eastAsia="Times New Roman" w:cs="Arial"/>
          <w:lang w:eastAsia="en-GB"/>
        </w:rPr>
        <w:t>penses</w:t>
      </w:r>
    </w:p>
    <w:p w:rsidR="00CD7572" w:rsidRPr="00CD7572" w:rsidRDefault="0062660D" w:rsidP="00CD7572">
      <w:pPr>
        <w:numPr>
          <w:ilvl w:val="0"/>
          <w:numId w:val="37"/>
        </w:numPr>
        <w:spacing w:after="0"/>
        <w:rPr>
          <w:rFonts w:eastAsia="Times New Roman" w:cs="Arial"/>
          <w:lang w:eastAsia="en-GB"/>
        </w:rPr>
      </w:pPr>
      <w:r w:rsidRPr="00CD7572">
        <w:rPr>
          <w:rFonts w:eastAsia="Times New Roman" w:cs="Arial"/>
          <w:lang w:eastAsia="en-GB"/>
        </w:rPr>
        <w:t>3.2.6 - Investment management expenses</w:t>
      </w:r>
    </w:p>
    <w:p w:rsidR="00CD7572" w:rsidRPr="00CD7572" w:rsidRDefault="0062660D" w:rsidP="00CD7572">
      <w:pPr>
        <w:tabs>
          <w:tab w:val="num" w:pos="851"/>
        </w:tabs>
        <w:autoSpaceDE/>
        <w:autoSpaceDN/>
        <w:adjustRightInd/>
        <w:spacing w:after="0"/>
        <w:ind w:left="567"/>
        <w:contextualSpacing/>
        <w:jc w:val="left"/>
        <w:rPr>
          <w:b/>
        </w:rPr>
      </w:pPr>
    </w:p>
    <w:p w:rsidR="00CD7572" w:rsidRPr="00CD7572" w:rsidRDefault="0062660D" w:rsidP="00CD7572">
      <w:pPr>
        <w:tabs>
          <w:tab w:val="num" w:pos="851"/>
        </w:tabs>
        <w:autoSpaceDE/>
        <w:autoSpaceDN/>
        <w:adjustRightInd/>
        <w:spacing w:after="0"/>
        <w:ind w:left="567"/>
        <w:contextualSpacing/>
        <w:jc w:val="left"/>
        <w:rPr>
          <w:b/>
        </w:rPr>
      </w:pPr>
    </w:p>
    <w:p w:rsidR="00CD7572" w:rsidRPr="00CD7572" w:rsidRDefault="0062660D" w:rsidP="00CD7572">
      <w:pPr>
        <w:tabs>
          <w:tab w:val="num" w:pos="851"/>
        </w:tabs>
        <w:autoSpaceDE/>
        <w:autoSpaceDN/>
        <w:adjustRightInd/>
        <w:spacing w:after="0"/>
        <w:ind w:left="567"/>
        <w:contextualSpacing/>
        <w:jc w:val="left"/>
        <w:rPr>
          <w:rFonts w:eastAsia="Cambria" w:cs="Arial"/>
          <w:lang w:eastAsia="en-GB"/>
        </w:rPr>
      </w:pPr>
      <w:r w:rsidRPr="00CD7572">
        <w:rPr>
          <w:b/>
        </w:rPr>
        <w:t>3.2.4 Administrative expenses</w:t>
      </w:r>
    </w:p>
    <w:p w:rsidR="00CD7572" w:rsidRPr="00CD7572" w:rsidRDefault="0062660D" w:rsidP="00CD7572">
      <w:pPr>
        <w:spacing w:after="0"/>
        <w:ind w:left="567"/>
        <w:jc w:val="left"/>
        <w:rPr>
          <w:rFonts w:eastAsia="Times New Roman" w:cs="Arial"/>
          <w:lang w:eastAsia="en-GB"/>
        </w:rPr>
      </w:pPr>
      <w:r w:rsidRPr="00CD7572">
        <w:rPr>
          <w:rFonts w:eastAsia="Times New Roman" w:cs="Arial"/>
          <w:lang w:eastAsia="en-GB"/>
        </w:rPr>
        <w:t>Administration expenses consist of the following:</w:t>
      </w:r>
    </w:p>
    <w:p w:rsidR="00CD7572" w:rsidRPr="00CD7572" w:rsidRDefault="0062660D" w:rsidP="00CD7572">
      <w:pPr>
        <w:spacing w:after="0"/>
        <w:ind w:left="567"/>
        <w:jc w:val="left"/>
        <w:rPr>
          <w:rFonts w:eastAsia="Times New Roman" w:cs="Arial"/>
          <w:lang w:eastAsia="en-GB"/>
        </w:rPr>
      </w:pPr>
    </w:p>
    <w:p w:rsidR="00CD7572" w:rsidRPr="00CD7572" w:rsidRDefault="0062660D" w:rsidP="00CD7572">
      <w:pPr>
        <w:numPr>
          <w:ilvl w:val="0"/>
          <w:numId w:val="38"/>
        </w:numPr>
        <w:spacing w:after="0"/>
        <w:ind w:left="1276" w:hanging="283"/>
        <w:contextualSpacing/>
        <w:jc w:val="left"/>
        <w:rPr>
          <w:rFonts w:eastAsia="Times New Roman" w:cs="Arial"/>
          <w:lang w:eastAsia="en-GB"/>
        </w:rPr>
      </w:pPr>
      <w:r w:rsidRPr="00CD7572">
        <w:rPr>
          <w:rFonts w:eastAsia="Times New Roman" w:cs="Arial"/>
          <w:lang w:eastAsia="en-GB"/>
        </w:rPr>
        <w:t>Expenses related to LGPS members and pensioners. These include all activities the pension scheme must perform to administer entitlements and provide members with scheme and benefit entitlement information. Examples of this include pension allocations, bene</w:t>
      </w:r>
      <w:r w:rsidRPr="00CD7572">
        <w:rPr>
          <w:rFonts w:eastAsia="Times New Roman" w:cs="Arial"/>
          <w:lang w:eastAsia="en-GB"/>
        </w:rPr>
        <w:t xml:space="preserve">fit estimates, payment of benefits, processing of the transfer of assets, commutation, communications with members and pensioners, and annual benefit statements; </w:t>
      </w:r>
    </w:p>
    <w:p w:rsidR="00CD7572" w:rsidRPr="00CD7572" w:rsidRDefault="0062660D" w:rsidP="00CD7572">
      <w:pPr>
        <w:spacing w:after="0"/>
        <w:ind w:left="720"/>
        <w:contextualSpacing/>
        <w:jc w:val="left"/>
        <w:rPr>
          <w:rFonts w:eastAsia="Times New Roman" w:cs="Arial"/>
          <w:lang w:eastAsia="en-GB"/>
        </w:rPr>
      </w:pPr>
    </w:p>
    <w:p w:rsidR="00CD7572" w:rsidRPr="00CD7572" w:rsidRDefault="0062660D" w:rsidP="00CD7572">
      <w:pPr>
        <w:numPr>
          <w:ilvl w:val="0"/>
          <w:numId w:val="38"/>
        </w:numPr>
        <w:spacing w:after="0"/>
        <w:ind w:left="1276" w:hanging="283"/>
        <w:contextualSpacing/>
        <w:jc w:val="left"/>
        <w:rPr>
          <w:rFonts w:eastAsia="Times New Roman" w:cs="Arial"/>
          <w:lang w:eastAsia="en-GB"/>
        </w:rPr>
      </w:pPr>
      <w:r w:rsidRPr="00CD7572">
        <w:rPr>
          <w:rFonts w:eastAsia="Times New Roman" w:cs="Arial"/>
          <w:lang w:eastAsia="en-GB"/>
        </w:rPr>
        <w:t>Expenses related to interaction with scheme employers e.g. data collection and verification,</w:t>
      </w:r>
      <w:r w:rsidRPr="00CD7572">
        <w:rPr>
          <w:rFonts w:eastAsia="Times New Roman" w:cs="Arial"/>
          <w:lang w:eastAsia="en-GB"/>
        </w:rPr>
        <w:t xml:space="preserve"> contributions collection and reconciliation, the employer’s help desk or other employer support, and communications with employers; and </w:t>
      </w:r>
    </w:p>
    <w:p w:rsidR="00CD7572" w:rsidRPr="00CD7572" w:rsidRDefault="0062660D" w:rsidP="00CD7572">
      <w:pPr>
        <w:spacing w:after="0"/>
        <w:ind w:left="1276" w:hanging="283"/>
        <w:contextualSpacing/>
        <w:jc w:val="left"/>
        <w:rPr>
          <w:rFonts w:eastAsia="Times New Roman" w:cs="Arial"/>
          <w:lang w:eastAsia="en-GB"/>
        </w:rPr>
      </w:pPr>
    </w:p>
    <w:p w:rsidR="00CD7572" w:rsidRPr="00CD7572" w:rsidRDefault="0062660D" w:rsidP="00CD7572">
      <w:pPr>
        <w:numPr>
          <w:ilvl w:val="0"/>
          <w:numId w:val="38"/>
        </w:numPr>
        <w:spacing w:after="0"/>
        <w:ind w:left="1276" w:hanging="283"/>
        <w:contextualSpacing/>
        <w:jc w:val="left"/>
        <w:rPr>
          <w:rFonts w:eastAsia="Times New Roman" w:cs="Arial"/>
          <w:lang w:eastAsia="en-GB"/>
        </w:rPr>
      </w:pPr>
      <w:r w:rsidRPr="00CD7572">
        <w:rPr>
          <w:rFonts w:eastAsia="Times New Roman" w:cs="Arial"/>
          <w:lang w:eastAsia="en-GB"/>
        </w:rPr>
        <w:t xml:space="preserve">Associated project expenses. </w:t>
      </w:r>
    </w:p>
    <w:p w:rsidR="00CD7572" w:rsidRPr="00CD7572" w:rsidRDefault="0062660D" w:rsidP="00CD7572">
      <w:pPr>
        <w:autoSpaceDE/>
        <w:autoSpaceDN/>
        <w:adjustRightInd/>
        <w:spacing w:after="0"/>
        <w:ind w:left="993"/>
        <w:contextualSpacing/>
        <w:jc w:val="left"/>
        <w:rPr>
          <w:rFonts w:eastAsia="Times New Roman" w:cs="Arial"/>
          <w:lang w:eastAsia="en-GB"/>
        </w:rPr>
      </w:pPr>
    </w:p>
    <w:p w:rsidR="00CD7572" w:rsidRPr="00CD7572" w:rsidRDefault="0062660D" w:rsidP="00CD7572">
      <w:pPr>
        <w:ind w:left="567"/>
        <w:jc w:val="left"/>
        <w:rPr>
          <w:rFonts w:eastAsia="Times New Roman" w:cs="Arial"/>
          <w:lang w:eastAsia="en-GB"/>
        </w:rPr>
      </w:pPr>
      <w:r w:rsidRPr="00CD7572">
        <w:rPr>
          <w:rFonts w:eastAsia="Times New Roman" w:cs="Arial"/>
          <w:lang w:eastAsia="en-GB"/>
        </w:rPr>
        <w:t>All administrative expenses are accounted for on an accruals basis. All staff costs of</w:t>
      </w:r>
      <w:r w:rsidRPr="00CD7572">
        <w:rPr>
          <w:rFonts w:eastAsia="Times New Roman" w:cs="Arial"/>
          <w:lang w:eastAsia="en-GB"/>
        </w:rPr>
        <w:t xml:space="preserve"> the pension's administration team are charged directly to the Fund.  Management, accommodation, finance and other overheads are apportioned in accordance with council policy.</w:t>
      </w:r>
    </w:p>
    <w:p w:rsidR="00CD7572" w:rsidRPr="00CD7572" w:rsidRDefault="0062660D" w:rsidP="00CD7572">
      <w:pPr>
        <w:tabs>
          <w:tab w:val="num" w:pos="567"/>
        </w:tabs>
        <w:ind w:left="567"/>
        <w:jc w:val="left"/>
      </w:pPr>
    </w:p>
    <w:p w:rsidR="00CD7572" w:rsidRPr="00CD7572" w:rsidRDefault="0062660D" w:rsidP="00CD7572">
      <w:pPr>
        <w:tabs>
          <w:tab w:val="num" w:pos="851"/>
        </w:tabs>
        <w:autoSpaceDE/>
        <w:autoSpaceDN/>
        <w:adjustRightInd/>
        <w:spacing w:after="0"/>
        <w:ind w:left="1287" w:hanging="720"/>
        <w:contextualSpacing/>
        <w:jc w:val="left"/>
        <w:rPr>
          <w:rFonts w:eastAsia="Cambria" w:cs="Arial"/>
          <w:lang w:eastAsia="en-GB"/>
        </w:rPr>
      </w:pPr>
      <w:r w:rsidRPr="00CD7572">
        <w:rPr>
          <w:b/>
        </w:rPr>
        <w:t>3.2.5 Oversight and governance expenses</w:t>
      </w:r>
    </w:p>
    <w:p w:rsidR="00CD7572" w:rsidRPr="00CD7572" w:rsidRDefault="0062660D" w:rsidP="00CD7572">
      <w:pPr>
        <w:spacing w:after="152"/>
        <w:ind w:left="993" w:hanging="426"/>
        <w:jc w:val="left"/>
        <w:rPr>
          <w:rFonts w:eastAsia="Times New Roman" w:cs="Arial"/>
          <w:lang w:eastAsia="en-GB"/>
        </w:rPr>
      </w:pPr>
      <w:r w:rsidRPr="00CD7572">
        <w:rPr>
          <w:rFonts w:eastAsia="Times New Roman" w:cs="Arial"/>
          <w:lang w:eastAsia="en-GB"/>
        </w:rPr>
        <w:t>Oversight and governance expenses inclu</w:t>
      </w:r>
      <w:r w:rsidRPr="00CD7572">
        <w:rPr>
          <w:rFonts w:eastAsia="Times New Roman" w:cs="Arial"/>
          <w:lang w:eastAsia="en-GB"/>
        </w:rPr>
        <w:t xml:space="preserve">de the following costs: </w:t>
      </w:r>
    </w:p>
    <w:p w:rsidR="00CD7572" w:rsidRPr="00CD7572" w:rsidRDefault="0062660D" w:rsidP="00CD7572">
      <w:pPr>
        <w:numPr>
          <w:ilvl w:val="0"/>
          <w:numId w:val="38"/>
        </w:numPr>
        <w:spacing w:after="152"/>
        <w:ind w:left="1276" w:hanging="283"/>
        <w:contextualSpacing/>
        <w:jc w:val="left"/>
        <w:rPr>
          <w:rFonts w:eastAsia="Times New Roman" w:cs="Arial"/>
          <w:lang w:eastAsia="en-GB"/>
        </w:rPr>
      </w:pPr>
      <w:r w:rsidRPr="00CD7572">
        <w:rPr>
          <w:rFonts w:eastAsia="Times New Roman" w:cs="Arial"/>
          <w:lang w:eastAsia="en-GB"/>
        </w:rPr>
        <w:t xml:space="preserve">Selection, appointment and performance management and monitoring of external fund managers; </w:t>
      </w:r>
    </w:p>
    <w:p w:rsidR="00CD7572" w:rsidRPr="00CD7572" w:rsidRDefault="0062660D" w:rsidP="00CD7572">
      <w:pPr>
        <w:numPr>
          <w:ilvl w:val="0"/>
          <w:numId w:val="38"/>
        </w:numPr>
        <w:spacing w:after="152"/>
        <w:ind w:left="1276" w:hanging="283"/>
        <w:contextualSpacing/>
        <w:jc w:val="left"/>
        <w:rPr>
          <w:rFonts w:eastAsia="Times New Roman" w:cs="Arial"/>
          <w:lang w:eastAsia="en-GB"/>
        </w:rPr>
      </w:pPr>
      <w:r w:rsidRPr="00CD7572">
        <w:rPr>
          <w:rFonts w:eastAsia="Times New Roman" w:cs="Arial"/>
          <w:lang w:eastAsia="en-GB"/>
        </w:rPr>
        <w:t xml:space="preserve">Selection, appointment and performance management and monitoring of fund managers; </w:t>
      </w:r>
    </w:p>
    <w:p w:rsidR="00CD7572" w:rsidRPr="00CD7572" w:rsidRDefault="0062660D" w:rsidP="00CD7572">
      <w:pPr>
        <w:numPr>
          <w:ilvl w:val="0"/>
          <w:numId w:val="38"/>
        </w:numPr>
        <w:spacing w:after="152"/>
        <w:ind w:left="1276" w:hanging="283"/>
        <w:contextualSpacing/>
        <w:jc w:val="left"/>
        <w:rPr>
          <w:rFonts w:eastAsia="Times New Roman" w:cs="Arial"/>
          <w:lang w:eastAsia="en-GB"/>
        </w:rPr>
      </w:pPr>
      <w:r w:rsidRPr="00CD7572">
        <w:rPr>
          <w:rFonts w:eastAsia="Times New Roman" w:cs="Arial"/>
          <w:lang w:eastAsia="en-GB"/>
        </w:rPr>
        <w:t xml:space="preserve">Investment advisory services (strategic allocation, manager monitoring and selection, etc); </w:t>
      </w:r>
    </w:p>
    <w:p w:rsidR="00CD7572" w:rsidRPr="00CD7572" w:rsidRDefault="0062660D" w:rsidP="00CD7572">
      <w:pPr>
        <w:numPr>
          <w:ilvl w:val="0"/>
          <w:numId w:val="38"/>
        </w:numPr>
        <w:spacing w:after="152"/>
        <w:ind w:left="1276" w:hanging="283"/>
        <w:contextualSpacing/>
        <w:jc w:val="left"/>
        <w:rPr>
          <w:rFonts w:eastAsia="Times New Roman" w:cs="Arial"/>
          <w:lang w:eastAsia="en-GB"/>
        </w:rPr>
      </w:pPr>
      <w:r w:rsidRPr="00CD7572">
        <w:rPr>
          <w:rFonts w:eastAsia="Times New Roman" w:cs="Arial"/>
          <w:lang w:eastAsia="en-GB"/>
        </w:rPr>
        <w:t xml:space="preserve">Independent advisors to the pension fund; </w:t>
      </w:r>
    </w:p>
    <w:p w:rsidR="00CD7572" w:rsidRPr="00CD7572" w:rsidRDefault="0062660D" w:rsidP="00CD7572">
      <w:pPr>
        <w:numPr>
          <w:ilvl w:val="0"/>
          <w:numId w:val="38"/>
        </w:numPr>
        <w:spacing w:after="152"/>
        <w:ind w:left="1276" w:hanging="283"/>
        <w:contextualSpacing/>
        <w:jc w:val="left"/>
        <w:rPr>
          <w:rFonts w:eastAsia="Times New Roman" w:cs="Arial"/>
          <w:lang w:eastAsia="en-GB"/>
        </w:rPr>
      </w:pPr>
      <w:r w:rsidRPr="00CD7572">
        <w:rPr>
          <w:rFonts w:eastAsia="Times New Roman" w:cs="Arial"/>
          <w:lang w:eastAsia="en-GB"/>
        </w:rPr>
        <w:t>Operation and support of the pensions committee (i.e. those charged with governance of the pension fund), local pensions</w:t>
      </w:r>
      <w:r w:rsidRPr="00CD7572">
        <w:rPr>
          <w:rFonts w:eastAsia="Times New Roman" w:cs="Arial"/>
          <w:lang w:eastAsia="en-GB"/>
        </w:rPr>
        <w:t xml:space="preserve"> board, or any other oversight body; </w:t>
      </w:r>
    </w:p>
    <w:p w:rsidR="00CD7572" w:rsidRPr="00CD7572" w:rsidRDefault="0062660D" w:rsidP="00CD7572">
      <w:pPr>
        <w:numPr>
          <w:ilvl w:val="0"/>
          <w:numId w:val="38"/>
        </w:numPr>
        <w:spacing w:after="152"/>
        <w:ind w:left="1276" w:hanging="283"/>
        <w:contextualSpacing/>
        <w:jc w:val="left"/>
        <w:rPr>
          <w:rFonts w:eastAsia="Times New Roman" w:cs="Arial"/>
          <w:lang w:eastAsia="en-GB"/>
        </w:rPr>
      </w:pPr>
      <w:r w:rsidRPr="00CD7572">
        <w:rPr>
          <w:rFonts w:eastAsia="Times New Roman" w:cs="Arial"/>
          <w:lang w:eastAsia="en-GB"/>
        </w:rPr>
        <w:t xml:space="preserve">Governance and voting services; </w:t>
      </w:r>
    </w:p>
    <w:p w:rsidR="00CD7572" w:rsidRPr="00CD7572" w:rsidRDefault="0062660D" w:rsidP="00CD7572">
      <w:pPr>
        <w:numPr>
          <w:ilvl w:val="0"/>
          <w:numId w:val="38"/>
        </w:numPr>
        <w:spacing w:after="152"/>
        <w:ind w:left="1276" w:hanging="283"/>
        <w:contextualSpacing/>
        <w:jc w:val="left"/>
        <w:rPr>
          <w:rFonts w:eastAsia="Times New Roman" w:cs="Arial"/>
          <w:lang w:eastAsia="en-GB"/>
        </w:rPr>
      </w:pPr>
      <w:r w:rsidRPr="00CD7572">
        <w:rPr>
          <w:rFonts w:eastAsia="Times New Roman" w:cs="Arial"/>
          <w:lang w:eastAsia="en-GB"/>
        </w:rPr>
        <w:t xml:space="preserve">Costs of compliance with statutory or non-statutory internal or external reporting (annual reports and accounts, etc); </w:t>
      </w:r>
    </w:p>
    <w:p w:rsidR="00CD7572" w:rsidRPr="00CD7572" w:rsidRDefault="0062660D" w:rsidP="00CD7572">
      <w:pPr>
        <w:numPr>
          <w:ilvl w:val="0"/>
          <w:numId w:val="38"/>
        </w:numPr>
        <w:spacing w:after="152"/>
        <w:ind w:left="1276" w:hanging="283"/>
        <w:contextualSpacing/>
        <w:jc w:val="left"/>
        <w:rPr>
          <w:rFonts w:eastAsia="Times New Roman" w:cs="Arial"/>
          <w:lang w:eastAsia="en-GB"/>
        </w:rPr>
      </w:pPr>
      <w:r w:rsidRPr="00CD7572">
        <w:rPr>
          <w:rFonts w:eastAsia="Times New Roman" w:cs="Arial"/>
          <w:lang w:eastAsia="en-GB"/>
        </w:rPr>
        <w:t xml:space="preserve">Legal, actuarial and tax advisory services; </w:t>
      </w:r>
    </w:p>
    <w:p w:rsidR="00CD7572" w:rsidRPr="00CD7572" w:rsidRDefault="0062660D" w:rsidP="00CD7572">
      <w:pPr>
        <w:numPr>
          <w:ilvl w:val="0"/>
          <w:numId w:val="38"/>
        </w:numPr>
        <w:spacing w:after="152"/>
        <w:ind w:left="1276" w:hanging="283"/>
        <w:contextualSpacing/>
        <w:jc w:val="left"/>
        <w:rPr>
          <w:rFonts w:eastAsia="Times New Roman" w:cs="Arial"/>
          <w:lang w:eastAsia="en-GB"/>
        </w:rPr>
      </w:pPr>
      <w:r w:rsidRPr="00CD7572">
        <w:rPr>
          <w:rFonts w:eastAsia="Times New Roman" w:cs="Arial"/>
          <w:lang w:eastAsia="en-GB"/>
        </w:rPr>
        <w:t>Non-custodian accoun</w:t>
      </w:r>
      <w:r w:rsidRPr="00CD7572">
        <w:rPr>
          <w:rFonts w:eastAsia="Times New Roman" w:cs="Arial"/>
          <w:lang w:eastAsia="en-GB"/>
        </w:rPr>
        <w:t xml:space="preserve">tancy and banking services; and </w:t>
      </w:r>
    </w:p>
    <w:p w:rsidR="00CD7572" w:rsidRPr="00CD7572" w:rsidRDefault="0062660D" w:rsidP="00CD7572">
      <w:pPr>
        <w:numPr>
          <w:ilvl w:val="0"/>
          <w:numId w:val="38"/>
        </w:numPr>
        <w:spacing w:after="0"/>
        <w:ind w:left="1276" w:hanging="283"/>
        <w:contextualSpacing/>
        <w:jc w:val="left"/>
        <w:rPr>
          <w:rFonts w:eastAsia="Times New Roman" w:cs="Arial"/>
          <w:lang w:eastAsia="en-GB"/>
        </w:rPr>
      </w:pPr>
      <w:r w:rsidRPr="00CD7572">
        <w:rPr>
          <w:rFonts w:eastAsia="Times New Roman" w:cs="Arial"/>
          <w:lang w:eastAsia="en-GB"/>
        </w:rPr>
        <w:t xml:space="preserve">Internal and external audit. </w:t>
      </w:r>
    </w:p>
    <w:p w:rsidR="00CD7572" w:rsidRPr="00CD7572" w:rsidRDefault="0062660D" w:rsidP="00CD7572">
      <w:pPr>
        <w:tabs>
          <w:tab w:val="num" w:pos="851"/>
        </w:tabs>
        <w:autoSpaceDE/>
        <w:autoSpaceDN/>
        <w:adjustRightInd/>
        <w:spacing w:after="0"/>
        <w:ind w:left="1287" w:hanging="720"/>
        <w:contextualSpacing/>
        <w:jc w:val="left"/>
        <w:rPr>
          <w:rFonts w:eastAsia="Times New Roman" w:cs="Arial"/>
          <w:lang w:eastAsia="en-GB"/>
        </w:rPr>
      </w:pPr>
    </w:p>
    <w:p w:rsidR="00CD7572" w:rsidRPr="00CD7572" w:rsidRDefault="0062660D" w:rsidP="00CD7572">
      <w:pPr>
        <w:tabs>
          <w:tab w:val="num" w:pos="567"/>
        </w:tabs>
        <w:ind w:left="567"/>
        <w:jc w:val="left"/>
        <w:rPr>
          <w:rFonts w:cs="Arial"/>
        </w:rPr>
      </w:pPr>
      <w:r w:rsidRPr="00CD7572">
        <w:t>All oversight and governance</w:t>
      </w:r>
      <w:r w:rsidRPr="00CD7572">
        <w:rPr>
          <w:rFonts w:cs="Arial"/>
        </w:rPr>
        <w:t xml:space="preserve"> expenses are accounted for on an accruals basis.  All staff costs associated with governance and oversight are charged direct to the Fund.  Associated management, </w:t>
      </w:r>
      <w:r w:rsidRPr="00CD7572">
        <w:rPr>
          <w:rFonts w:cs="Arial"/>
        </w:rPr>
        <w:t>accommodation and other overheads are apportioned to this activity and charged as expenses to the Fund.</w:t>
      </w:r>
    </w:p>
    <w:p w:rsidR="00CD7572" w:rsidRPr="00CD7572" w:rsidRDefault="0062660D" w:rsidP="00CD7572">
      <w:pPr>
        <w:tabs>
          <w:tab w:val="num" w:pos="567"/>
        </w:tabs>
        <w:ind w:left="851"/>
        <w:jc w:val="left"/>
        <w:rPr>
          <w:rFonts w:cs="Arial"/>
        </w:rPr>
      </w:pPr>
    </w:p>
    <w:p w:rsidR="00CD7572" w:rsidRPr="00CD7572" w:rsidRDefault="0062660D" w:rsidP="00CD7572">
      <w:pPr>
        <w:autoSpaceDE/>
        <w:autoSpaceDN/>
        <w:adjustRightInd/>
        <w:spacing w:after="0"/>
        <w:ind w:firstLine="567"/>
        <w:jc w:val="left"/>
        <w:rPr>
          <w:rFonts w:cs="Arial"/>
          <w:b/>
        </w:rPr>
      </w:pPr>
      <w:r w:rsidRPr="00CD7572">
        <w:rPr>
          <w:rFonts w:cs="Arial"/>
          <w:b/>
        </w:rPr>
        <w:t>3.2.6 Investment management expenses</w:t>
      </w:r>
    </w:p>
    <w:p w:rsidR="00CD7572" w:rsidRPr="00CD7572" w:rsidRDefault="0062660D" w:rsidP="00CD7572">
      <w:pPr>
        <w:spacing w:after="0"/>
        <w:ind w:left="567"/>
        <w:jc w:val="left"/>
        <w:rPr>
          <w:rFonts w:cs="Arial"/>
        </w:rPr>
      </w:pPr>
      <w:r w:rsidRPr="00CD7572">
        <w:rPr>
          <w:rFonts w:cs="Arial"/>
        </w:rPr>
        <w:t>Investment management expenses are defined as any expenses incurred in relation to the management of pension fund assets and financial instruments entered into in relation to the management of fund assets. This includes expenses directly invoiced by invest</w:t>
      </w:r>
      <w:r w:rsidRPr="00CD7572">
        <w:rPr>
          <w:rFonts w:cs="Arial"/>
        </w:rPr>
        <w:t xml:space="preserve">ment managers and any fees payable to fund managers which are deducted from fund assets. </w:t>
      </w:r>
    </w:p>
    <w:p w:rsidR="00CD7572" w:rsidRPr="00CD7572" w:rsidRDefault="0062660D" w:rsidP="00CD7572">
      <w:pPr>
        <w:autoSpaceDE/>
        <w:autoSpaceDN/>
        <w:adjustRightInd/>
        <w:spacing w:after="0"/>
        <w:ind w:firstLine="567"/>
        <w:jc w:val="left"/>
        <w:rPr>
          <w:rFonts w:cs="Arial"/>
        </w:rPr>
      </w:pPr>
    </w:p>
    <w:p w:rsidR="00CD7572" w:rsidRPr="00CD7572" w:rsidRDefault="0062660D" w:rsidP="00CD7572">
      <w:pPr>
        <w:tabs>
          <w:tab w:val="num" w:pos="567"/>
        </w:tabs>
        <w:ind w:left="567"/>
        <w:contextualSpacing/>
        <w:jc w:val="left"/>
        <w:rPr>
          <w:rFonts w:cs="Arial"/>
        </w:rPr>
      </w:pPr>
      <w:r w:rsidRPr="00CD7572">
        <w:rPr>
          <w:rFonts w:cs="Arial"/>
        </w:rPr>
        <w:t>All investment management expenses are accounted for on an accruals basis.</w:t>
      </w:r>
    </w:p>
    <w:p w:rsidR="00CD7572" w:rsidRPr="00CD7572" w:rsidRDefault="0062660D" w:rsidP="00CD7572">
      <w:pPr>
        <w:tabs>
          <w:tab w:val="num" w:pos="993"/>
        </w:tabs>
        <w:ind w:left="567"/>
        <w:jc w:val="left"/>
        <w:rPr>
          <w:rFonts w:cs="Arial"/>
        </w:rPr>
      </w:pPr>
      <w:r w:rsidRPr="00CD7572">
        <w:rPr>
          <w:rFonts w:cs="Arial"/>
        </w:rPr>
        <w:t>Fees of the external investment managers and custodian are agreed in the respective mandat</w:t>
      </w:r>
      <w:r w:rsidRPr="00CD7572">
        <w:rPr>
          <w:rFonts w:cs="Arial"/>
        </w:rPr>
        <w:t>es governing their appointments.  Broadly, these are based on the market value of investments under their management and therefore increase or reduce as the value of these investments change.</w:t>
      </w:r>
    </w:p>
    <w:p w:rsidR="00CD7572" w:rsidRPr="00CD7572" w:rsidRDefault="0062660D" w:rsidP="00CD7572">
      <w:pPr>
        <w:tabs>
          <w:tab w:val="num" w:pos="851"/>
        </w:tabs>
        <w:ind w:left="851" w:hanging="284"/>
        <w:jc w:val="left"/>
        <w:rPr>
          <w:rFonts w:cs="Arial"/>
        </w:rPr>
      </w:pPr>
      <w:r w:rsidRPr="00CD7572">
        <w:rPr>
          <w:rFonts w:cs="Arial"/>
        </w:rPr>
        <w:t>The Fund has negotiated performance related fees with a number o</w:t>
      </w:r>
      <w:r w:rsidRPr="00CD7572">
        <w:rPr>
          <w:rFonts w:cs="Arial"/>
        </w:rPr>
        <w:t>f managers.</w:t>
      </w:r>
    </w:p>
    <w:p w:rsidR="00CD7572" w:rsidRPr="00CD7572" w:rsidRDefault="0062660D" w:rsidP="00CD7572">
      <w:pPr>
        <w:tabs>
          <w:tab w:val="num" w:pos="567"/>
        </w:tabs>
        <w:ind w:left="567"/>
        <w:jc w:val="left"/>
        <w:rPr>
          <w:rFonts w:cs="Arial"/>
        </w:rPr>
      </w:pPr>
      <w:r w:rsidRPr="00CD7572">
        <w:rPr>
          <w:rFonts w:cs="Arial"/>
        </w:rPr>
        <w:t xml:space="preserve">Where an investment manager's fee note has not been received by the net assets statement date, an estimate based upon the market value of their mandate as at the end of the year is used for the inclusion in the fund account.  In 2015/16, £4.7m </w:t>
      </w:r>
      <w:r w:rsidRPr="00CD7572">
        <w:rPr>
          <w:rFonts w:cs="Arial"/>
        </w:rPr>
        <w:t>of fees is based on such estimates (2014/15: £2.3m).</w:t>
      </w:r>
    </w:p>
    <w:p w:rsidR="00CD7572" w:rsidRPr="00CD7572" w:rsidRDefault="0062660D" w:rsidP="00CD7572">
      <w:pPr>
        <w:tabs>
          <w:tab w:val="num" w:pos="567"/>
        </w:tabs>
        <w:ind w:left="567"/>
        <w:jc w:val="left"/>
        <w:rPr>
          <w:rFonts w:cs="Arial"/>
        </w:rPr>
      </w:pPr>
      <w:r w:rsidRPr="00CD7572">
        <w:rPr>
          <w:rFonts w:cs="Arial"/>
        </w:rPr>
        <w:t>The costs of the council's in-house fund management team are charged direct to the Fund and a proportion of the council's costs representing management time spent by officers on investment management are</w:t>
      </w:r>
      <w:r w:rsidRPr="00CD7572">
        <w:rPr>
          <w:rFonts w:cs="Arial"/>
        </w:rPr>
        <w:t xml:space="preserve"> also charged to the Fund.</w:t>
      </w:r>
    </w:p>
    <w:p w:rsidR="00CD7572" w:rsidRPr="00CD7572" w:rsidRDefault="0062660D" w:rsidP="00CD7572">
      <w:pPr>
        <w:jc w:val="left"/>
        <w:rPr>
          <w:b/>
        </w:rPr>
      </w:pPr>
    </w:p>
    <w:p w:rsidR="00CD7572" w:rsidRPr="00CD7572" w:rsidRDefault="0062660D" w:rsidP="00CD7572">
      <w:pPr>
        <w:ind w:left="567"/>
        <w:jc w:val="left"/>
        <w:rPr>
          <w:b/>
          <w:sz w:val="32"/>
          <w:szCs w:val="32"/>
        </w:rPr>
      </w:pPr>
      <w:r w:rsidRPr="00CD7572">
        <w:rPr>
          <w:b/>
          <w:sz w:val="32"/>
          <w:szCs w:val="32"/>
        </w:rPr>
        <w:t>3.3 Net assets statement</w:t>
      </w:r>
    </w:p>
    <w:p w:rsidR="00CD7572" w:rsidRPr="00CD7572" w:rsidRDefault="0062660D" w:rsidP="00CD7572">
      <w:pPr>
        <w:jc w:val="left"/>
        <w:rPr>
          <w:b/>
        </w:rPr>
      </w:pPr>
    </w:p>
    <w:p w:rsidR="00CD7572" w:rsidRPr="00CD7572" w:rsidRDefault="0062660D" w:rsidP="00CD7572">
      <w:pPr>
        <w:spacing w:after="0"/>
        <w:ind w:left="567"/>
        <w:jc w:val="left"/>
        <w:rPr>
          <w:b/>
        </w:rPr>
      </w:pPr>
      <w:r w:rsidRPr="00CD7572">
        <w:rPr>
          <w:b/>
        </w:rPr>
        <w:t xml:space="preserve">3.3.1 Financial assets </w:t>
      </w:r>
    </w:p>
    <w:p w:rsidR="00CD7572" w:rsidRPr="00CD7572" w:rsidRDefault="0062660D" w:rsidP="00CD7572">
      <w:pPr>
        <w:tabs>
          <w:tab w:val="left" w:pos="567"/>
        </w:tabs>
        <w:spacing w:after="0"/>
        <w:ind w:left="567"/>
        <w:jc w:val="left"/>
      </w:pPr>
      <w:r w:rsidRPr="00CD7572">
        <w:t xml:space="preserve">Financial assets, other than loans and receivables, are included in the net assets statement on a fair value basis as at the reporting date.  A financial asset is recognised in </w:t>
      </w:r>
      <w:r w:rsidRPr="00CD7572">
        <w:t>the net assets statement on the date the Fund becomes party to the contractual acquisition of the asset.  From this date any gains or losses arising from changes in the fair value of the asset are recognised by the Fund.</w:t>
      </w:r>
    </w:p>
    <w:p w:rsidR="00CD7572" w:rsidRPr="00CD7572" w:rsidRDefault="0062660D" w:rsidP="00CD7572">
      <w:pPr>
        <w:tabs>
          <w:tab w:val="left" w:pos="567"/>
        </w:tabs>
        <w:spacing w:after="0"/>
        <w:ind w:left="567"/>
        <w:jc w:val="left"/>
      </w:pPr>
    </w:p>
    <w:p w:rsidR="00CD7572" w:rsidRPr="00CD7572" w:rsidRDefault="0062660D" w:rsidP="00CD7572">
      <w:pPr>
        <w:tabs>
          <w:tab w:val="left" w:pos="567"/>
        </w:tabs>
        <w:spacing w:after="0"/>
        <w:ind w:left="567"/>
        <w:jc w:val="left"/>
      </w:pPr>
      <w:r w:rsidRPr="00CD7572">
        <w:t>The values of investments as shown</w:t>
      </w:r>
      <w:r w:rsidRPr="00CD7572">
        <w:t xml:space="preserve"> in the net assets statement have been determined as follows:</w:t>
      </w:r>
    </w:p>
    <w:p w:rsidR="00CD7572" w:rsidRPr="00CD7572" w:rsidRDefault="0062660D" w:rsidP="00CD7572">
      <w:pPr>
        <w:tabs>
          <w:tab w:val="left" w:pos="567"/>
          <w:tab w:val="left" w:pos="1134"/>
        </w:tabs>
        <w:autoSpaceDE/>
        <w:autoSpaceDN/>
        <w:adjustRightInd/>
        <w:spacing w:after="0"/>
        <w:ind w:left="567"/>
        <w:contextualSpacing/>
        <w:jc w:val="left"/>
        <w:rPr>
          <w:b/>
        </w:rPr>
      </w:pPr>
    </w:p>
    <w:p w:rsidR="00CD7572" w:rsidRPr="00CD7572" w:rsidRDefault="0062660D" w:rsidP="00CD7572">
      <w:pPr>
        <w:tabs>
          <w:tab w:val="left" w:pos="567"/>
          <w:tab w:val="left" w:pos="1134"/>
        </w:tabs>
        <w:autoSpaceDE/>
        <w:autoSpaceDN/>
        <w:adjustRightInd/>
        <w:spacing w:after="0"/>
        <w:ind w:left="567"/>
        <w:contextualSpacing/>
        <w:jc w:val="left"/>
        <w:rPr>
          <w:b/>
        </w:rPr>
      </w:pPr>
      <w:r w:rsidRPr="00CD7572">
        <w:rPr>
          <w:b/>
        </w:rPr>
        <w:t>3.3.2 Market-quoted investments</w:t>
      </w:r>
    </w:p>
    <w:p w:rsidR="00CD7572" w:rsidRPr="00CD7572" w:rsidRDefault="0062660D" w:rsidP="00CD7572">
      <w:pPr>
        <w:tabs>
          <w:tab w:val="left" w:pos="1134"/>
        </w:tabs>
        <w:spacing w:after="0"/>
        <w:ind w:left="567"/>
        <w:jc w:val="left"/>
      </w:pPr>
      <w:r w:rsidRPr="00CD7572">
        <w:t>The value of an investment for which there is a readily available market price is determined by bid market price ruling on the final day of the accounting period</w:t>
      </w:r>
      <w:r w:rsidRPr="00CD7572">
        <w:t>.</w:t>
      </w:r>
    </w:p>
    <w:p w:rsidR="00CD7572" w:rsidRPr="00CD7572" w:rsidRDefault="0062660D" w:rsidP="00CD7572">
      <w:pPr>
        <w:tabs>
          <w:tab w:val="left" w:pos="1134"/>
        </w:tabs>
        <w:spacing w:after="0"/>
        <w:ind w:left="567"/>
        <w:jc w:val="left"/>
      </w:pPr>
    </w:p>
    <w:p w:rsidR="00CD7572" w:rsidRPr="00CD7572" w:rsidRDefault="0062660D" w:rsidP="00CD7572">
      <w:pPr>
        <w:tabs>
          <w:tab w:val="left" w:pos="567"/>
        </w:tabs>
        <w:autoSpaceDE/>
        <w:autoSpaceDN/>
        <w:adjustRightInd/>
        <w:spacing w:after="0"/>
        <w:ind w:left="567"/>
        <w:contextualSpacing/>
        <w:jc w:val="left"/>
        <w:rPr>
          <w:b/>
        </w:rPr>
      </w:pPr>
      <w:r w:rsidRPr="00CD7572">
        <w:rPr>
          <w:b/>
        </w:rPr>
        <w:t>3.3.3 Fixed interest securities</w:t>
      </w:r>
    </w:p>
    <w:p w:rsidR="00CD7572" w:rsidRPr="00CD7572" w:rsidRDefault="0062660D" w:rsidP="00CD7572">
      <w:pPr>
        <w:tabs>
          <w:tab w:val="left" w:pos="567"/>
          <w:tab w:val="left" w:pos="993"/>
        </w:tabs>
        <w:spacing w:after="0"/>
        <w:ind w:left="567"/>
        <w:jc w:val="left"/>
      </w:pPr>
      <w:r w:rsidRPr="00CD7572">
        <w:t>Fixed interest securities are recorded at net market value based on their current yields.</w:t>
      </w:r>
    </w:p>
    <w:p w:rsidR="00CD7572" w:rsidRPr="00CD7572" w:rsidRDefault="0062660D" w:rsidP="00CD7572">
      <w:pPr>
        <w:tabs>
          <w:tab w:val="left" w:pos="567"/>
          <w:tab w:val="left" w:pos="993"/>
        </w:tabs>
        <w:spacing w:after="0"/>
        <w:ind w:left="567"/>
        <w:jc w:val="left"/>
      </w:pPr>
    </w:p>
    <w:p w:rsidR="00CD7572" w:rsidRPr="00CD7572" w:rsidRDefault="0062660D" w:rsidP="00CD7572">
      <w:pPr>
        <w:tabs>
          <w:tab w:val="left" w:pos="927"/>
        </w:tabs>
        <w:autoSpaceDE/>
        <w:autoSpaceDN/>
        <w:adjustRightInd/>
        <w:spacing w:after="0"/>
        <w:ind w:left="567"/>
        <w:contextualSpacing/>
        <w:jc w:val="left"/>
        <w:rPr>
          <w:b/>
        </w:rPr>
      </w:pPr>
      <w:r w:rsidRPr="00CD7572">
        <w:rPr>
          <w:b/>
        </w:rPr>
        <w:t>3.3.4 Unquoted investments</w:t>
      </w:r>
    </w:p>
    <w:p w:rsidR="00CD7572" w:rsidRPr="00CD7572" w:rsidRDefault="0062660D" w:rsidP="00CD7572">
      <w:pPr>
        <w:tabs>
          <w:tab w:val="left" w:pos="993"/>
          <w:tab w:val="left" w:pos="1134"/>
        </w:tabs>
        <w:ind w:left="567"/>
        <w:jc w:val="left"/>
      </w:pPr>
      <w:r w:rsidRPr="00CD7572">
        <w:t>The fair value of investments for which market quotations are not readily available is determined as fo</w:t>
      </w:r>
      <w:r w:rsidRPr="00CD7572">
        <w:t>llows:</w:t>
      </w:r>
    </w:p>
    <w:p w:rsidR="00CD7572" w:rsidRPr="00CD7572" w:rsidRDefault="0062660D" w:rsidP="00CD7572">
      <w:pPr>
        <w:tabs>
          <w:tab w:val="left" w:pos="567"/>
        </w:tabs>
        <w:autoSpaceDE/>
        <w:autoSpaceDN/>
        <w:adjustRightInd/>
        <w:spacing w:after="0"/>
        <w:ind w:left="567"/>
        <w:contextualSpacing/>
        <w:jc w:val="left"/>
      </w:pPr>
      <w:r w:rsidRPr="00CD7572">
        <w:t>Valuations of delisted securities are based on the last sale price prior to delisting, or where subject to liquidation, the amount the Fund expects to receive on wind-up, less estimated realisation costs.</w:t>
      </w:r>
    </w:p>
    <w:p w:rsidR="00CD7572" w:rsidRPr="00CD7572" w:rsidRDefault="0062660D" w:rsidP="00CD7572">
      <w:pPr>
        <w:tabs>
          <w:tab w:val="left" w:pos="567"/>
        </w:tabs>
        <w:autoSpaceDE/>
        <w:autoSpaceDN/>
        <w:adjustRightInd/>
        <w:spacing w:after="0"/>
        <w:ind w:left="567"/>
        <w:contextualSpacing/>
        <w:jc w:val="left"/>
      </w:pPr>
    </w:p>
    <w:p w:rsidR="00CD7572" w:rsidRPr="00CD7572" w:rsidRDefault="0062660D" w:rsidP="00CD7572">
      <w:pPr>
        <w:tabs>
          <w:tab w:val="left" w:pos="567"/>
        </w:tabs>
        <w:autoSpaceDE/>
        <w:autoSpaceDN/>
        <w:adjustRightInd/>
        <w:spacing w:after="0"/>
        <w:ind w:left="567"/>
        <w:contextualSpacing/>
        <w:jc w:val="left"/>
      </w:pPr>
      <w:r w:rsidRPr="00CD7572">
        <w:t xml:space="preserve">Where securities are subject to takeover </w:t>
      </w:r>
      <w:r w:rsidRPr="00CD7572">
        <w:t>offer, the valuation is based on the consideration offered, less realisation costs.</w:t>
      </w:r>
    </w:p>
    <w:p w:rsidR="00CD7572" w:rsidRPr="00CD7572" w:rsidRDefault="0062660D" w:rsidP="00CD7572">
      <w:pPr>
        <w:tabs>
          <w:tab w:val="left" w:pos="567"/>
        </w:tabs>
        <w:ind w:left="567"/>
        <w:contextualSpacing/>
        <w:jc w:val="left"/>
      </w:pPr>
    </w:p>
    <w:p w:rsidR="00CD7572" w:rsidRPr="00CD7572" w:rsidRDefault="0062660D" w:rsidP="00CD7572">
      <w:pPr>
        <w:tabs>
          <w:tab w:val="left" w:pos="567"/>
        </w:tabs>
        <w:autoSpaceDE/>
        <w:autoSpaceDN/>
        <w:adjustRightInd/>
        <w:spacing w:after="0"/>
        <w:ind w:left="567"/>
        <w:contextualSpacing/>
        <w:jc w:val="left"/>
      </w:pPr>
      <w:r w:rsidRPr="00CD7572">
        <w:t>Directly held investments include investments in limited partnerships, shares in unlisted companies, trusts and bonds. Other unquoted securities typically include pooled i</w:t>
      </w:r>
      <w:r w:rsidRPr="00CD7572">
        <w:t>nvestments in property, infrastructure, debt securities and private equity.  The valuation of these pools or directly held securities is undertaken by the investment manager or responsible entity and advised as a unit or security price.  The valuation stan</w:t>
      </w:r>
      <w:r w:rsidRPr="00CD7572">
        <w:t>dards followed in these valuations adhere to industry guidelines or to standards set by the constituent documents of the pool or the management agreement.</w:t>
      </w:r>
    </w:p>
    <w:p w:rsidR="00CD7572" w:rsidRPr="00CD7572" w:rsidRDefault="0062660D" w:rsidP="00CD7572">
      <w:pPr>
        <w:tabs>
          <w:tab w:val="left" w:pos="1134"/>
        </w:tabs>
        <w:ind w:left="1134" w:hanging="283"/>
        <w:jc w:val="left"/>
      </w:pPr>
    </w:p>
    <w:p w:rsidR="00CD7572" w:rsidRPr="00CD7572" w:rsidRDefault="0062660D" w:rsidP="00CD7572">
      <w:pPr>
        <w:tabs>
          <w:tab w:val="left" w:pos="567"/>
        </w:tabs>
        <w:autoSpaceDE/>
        <w:autoSpaceDN/>
        <w:adjustRightInd/>
        <w:spacing w:after="0"/>
        <w:ind w:left="567"/>
        <w:contextualSpacing/>
        <w:jc w:val="left"/>
      </w:pPr>
      <w:r w:rsidRPr="00CD7572">
        <w:t>Investments in unquoted property and infrastructure pooled funds are valued at the net asset value o</w:t>
      </w:r>
      <w:r w:rsidRPr="00CD7572">
        <w:t>r a single price advised by the fund manager.</w:t>
      </w:r>
    </w:p>
    <w:p w:rsidR="00CD7572" w:rsidRPr="00CD7572" w:rsidRDefault="0062660D" w:rsidP="00CD7572">
      <w:pPr>
        <w:tabs>
          <w:tab w:val="left" w:pos="567"/>
        </w:tabs>
        <w:autoSpaceDE/>
        <w:autoSpaceDN/>
        <w:adjustRightInd/>
        <w:spacing w:after="0"/>
        <w:ind w:left="567"/>
        <w:contextualSpacing/>
        <w:jc w:val="left"/>
      </w:pPr>
    </w:p>
    <w:p w:rsidR="00CD7572" w:rsidRPr="00CD7572" w:rsidRDefault="0062660D" w:rsidP="00CD7572">
      <w:pPr>
        <w:tabs>
          <w:tab w:val="left" w:pos="567"/>
        </w:tabs>
        <w:autoSpaceDE/>
        <w:autoSpaceDN/>
        <w:adjustRightInd/>
        <w:spacing w:after="0"/>
        <w:ind w:left="567"/>
        <w:contextualSpacing/>
        <w:jc w:val="left"/>
      </w:pPr>
      <w:r w:rsidRPr="00CD7572">
        <w:t>Investments in private equity funds and unquoted listed partnerships are valued based on the fund's share of the net assets in the private equity fund or limited partnership using the latest financial statemen</w:t>
      </w:r>
      <w:r w:rsidRPr="00CD7572">
        <w:t>ts published by the respective fund managers in accordance with the International Private Equity and Venture Capital Valuation Guidelines 2012.</w:t>
      </w:r>
    </w:p>
    <w:p w:rsidR="00CD7572" w:rsidRPr="00CD7572" w:rsidRDefault="0062660D" w:rsidP="00CD7572">
      <w:pPr>
        <w:tabs>
          <w:tab w:val="left" w:pos="567"/>
        </w:tabs>
        <w:autoSpaceDE/>
        <w:autoSpaceDN/>
        <w:adjustRightInd/>
        <w:spacing w:after="0"/>
        <w:ind w:left="567"/>
        <w:contextualSpacing/>
        <w:jc w:val="left"/>
      </w:pPr>
    </w:p>
    <w:p w:rsidR="00CD7572" w:rsidRPr="00CD7572" w:rsidRDefault="0062660D" w:rsidP="00CD7572">
      <w:pPr>
        <w:tabs>
          <w:tab w:val="left" w:pos="993"/>
        </w:tabs>
        <w:ind w:left="851"/>
        <w:jc w:val="left"/>
      </w:pPr>
    </w:p>
    <w:p w:rsidR="00CD7572" w:rsidRPr="00CD7572" w:rsidRDefault="0062660D" w:rsidP="00CD7572">
      <w:pPr>
        <w:tabs>
          <w:tab w:val="left" w:pos="993"/>
        </w:tabs>
        <w:ind w:left="851"/>
        <w:jc w:val="left"/>
      </w:pPr>
    </w:p>
    <w:p w:rsidR="00CD7572" w:rsidRPr="00CD7572" w:rsidRDefault="0062660D" w:rsidP="00CD7572">
      <w:pPr>
        <w:tabs>
          <w:tab w:val="left" w:pos="567"/>
        </w:tabs>
        <w:autoSpaceDE/>
        <w:autoSpaceDN/>
        <w:adjustRightInd/>
        <w:spacing w:after="0"/>
        <w:ind w:left="567"/>
        <w:jc w:val="left"/>
      </w:pPr>
      <w:r w:rsidRPr="00CD7572">
        <w:rPr>
          <w:b/>
        </w:rPr>
        <w:t>3.3.5 Limited partnerships</w:t>
      </w:r>
    </w:p>
    <w:p w:rsidR="00CD7572" w:rsidRPr="00CD7572" w:rsidRDefault="0062660D" w:rsidP="00CD7572">
      <w:pPr>
        <w:tabs>
          <w:tab w:val="left" w:pos="993"/>
          <w:tab w:val="left" w:pos="1134"/>
        </w:tabs>
        <w:ind w:left="567"/>
        <w:jc w:val="left"/>
      </w:pPr>
      <w:r w:rsidRPr="00CD7572">
        <w:t>Fair value is based on the net asset value ascertained from periodic valuations pr</w:t>
      </w:r>
      <w:r w:rsidRPr="00CD7572">
        <w:t>ovided by those controlling the partnership.</w:t>
      </w:r>
    </w:p>
    <w:p w:rsidR="00CD7572" w:rsidRPr="00CD7572" w:rsidRDefault="0062660D" w:rsidP="00CD7572">
      <w:pPr>
        <w:tabs>
          <w:tab w:val="left" w:pos="851"/>
        </w:tabs>
        <w:ind w:left="851"/>
        <w:jc w:val="left"/>
      </w:pPr>
    </w:p>
    <w:p w:rsidR="00CD7572" w:rsidRPr="00CD7572" w:rsidRDefault="0062660D" w:rsidP="00CD7572">
      <w:pPr>
        <w:tabs>
          <w:tab w:val="left" w:pos="567"/>
        </w:tabs>
        <w:autoSpaceDE/>
        <w:autoSpaceDN/>
        <w:adjustRightInd/>
        <w:spacing w:after="0"/>
        <w:ind w:left="567"/>
        <w:contextualSpacing/>
        <w:jc w:val="left"/>
      </w:pPr>
      <w:r w:rsidRPr="00CD7572">
        <w:rPr>
          <w:b/>
        </w:rPr>
        <w:t>3.3.6 Pooled investment vehicles</w:t>
      </w:r>
    </w:p>
    <w:p w:rsidR="00CD7572" w:rsidRPr="00CD7572" w:rsidRDefault="0062660D" w:rsidP="00CD7572">
      <w:pPr>
        <w:tabs>
          <w:tab w:val="left" w:pos="993"/>
          <w:tab w:val="left" w:pos="1134"/>
        </w:tabs>
        <w:ind w:left="567"/>
        <w:jc w:val="left"/>
      </w:pPr>
      <w:r w:rsidRPr="00CD7572">
        <w:t xml:space="preserve">Pooled investment vehicles are valued at closing bid price if both bid and offer prices are published; or if single priced, at the closing single price.  In the case of pooled </w:t>
      </w:r>
      <w:r w:rsidRPr="00CD7572">
        <w:t>investment vehicles that are accumulation funds, change in market value also includes income which is reinvested in the Fund, net of applicable withholding tax.</w:t>
      </w:r>
    </w:p>
    <w:p w:rsidR="00CD7572" w:rsidRPr="00CD7572" w:rsidRDefault="0062660D" w:rsidP="00CD7572">
      <w:pPr>
        <w:tabs>
          <w:tab w:val="left" w:pos="993"/>
          <w:tab w:val="left" w:pos="1134"/>
        </w:tabs>
        <w:ind w:left="567"/>
        <w:jc w:val="left"/>
      </w:pPr>
    </w:p>
    <w:p w:rsidR="00CD7572" w:rsidRPr="00CD7572" w:rsidRDefault="0062660D" w:rsidP="00CD7572">
      <w:pPr>
        <w:tabs>
          <w:tab w:val="left" w:pos="709"/>
          <w:tab w:val="left" w:pos="1134"/>
        </w:tabs>
        <w:autoSpaceDE/>
        <w:autoSpaceDN/>
        <w:adjustRightInd/>
        <w:spacing w:after="0"/>
        <w:ind w:left="567"/>
        <w:contextualSpacing/>
        <w:jc w:val="left"/>
      </w:pPr>
      <w:r w:rsidRPr="00CD7572">
        <w:rPr>
          <w:b/>
        </w:rPr>
        <w:t>3.3.7 Freehold and leasehold properties</w:t>
      </w:r>
    </w:p>
    <w:p w:rsidR="00CD7572" w:rsidRPr="00CD7572" w:rsidRDefault="0062660D" w:rsidP="00CD7572">
      <w:pPr>
        <w:tabs>
          <w:tab w:val="left" w:pos="1134"/>
        </w:tabs>
        <w:ind w:left="567"/>
        <w:contextualSpacing/>
        <w:jc w:val="left"/>
      </w:pPr>
      <w:r w:rsidRPr="00CD7572">
        <w:t xml:space="preserve">The properties were valued at open market value at 31 </w:t>
      </w:r>
      <w:r w:rsidRPr="00CD7572">
        <w:t xml:space="preserve">March 2016 by Simon Smith MRICS of independent </w:t>
      </w:r>
      <w:proofErr w:type="spellStart"/>
      <w:r w:rsidRPr="00CD7572">
        <w:t>valuers</w:t>
      </w:r>
      <w:proofErr w:type="spellEnd"/>
      <w:r w:rsidRPr="00CD7572">
        <w:t xml:space="preserve"> Cushman and Wakefield LLP in accordance with the Royal Institute of Chartered Surveyors' Valuation Standards (9</w:t>
      </w:r>
      <w:r w:rsidRPr="00CD7572">
        <w:rPr>
          <w:vertAlign w:val="superscript"/>
        </w:rPr>
        <w:t>th</w:t>
      </w:r>
      <w:r w:rsidRPr="00CD7572">
        <w:t xml:space="preserve"> Edition).  The </w:t>
      </w:r>
      <w:proofErr w:type="spellStart"/>
      <w:r w:rsidRPr="00CD7572">
        <w:t>valuer's</w:t>
      </w:r>
      <w:proofErr w:type="spellEnd"/>
      <w:r w:rsidRPr="00CD7572">
        <w:t xml:space="preserve"> opinion of market value and existing use value was primarily de</w:t>
      </w:r>
      <w:r w:rsidRPr="00CD7572">
        <w:t>rived using comparable recent market transactions on arms-length terms.</w:t>
      </w:r>
    </w:p>
    <w:p w:rsidR="00CD7572" w:rsidRPr="00CD7572" w:rsidRDefault="0062660D" w:rsidP="00CD7572">
      <w:pPr>
        <w:tabs>
          <w:tab w:val="left" w:pos="1134"/>
        </w:tabs>
        <w:ind w:left="567"/>
        <w:contextualSpacing/>
        <w:jc w:val="left"/>
      </w:pPr>
    </w:p>
    <w:p w:rsidR="00CD7572" w:rsidRPr="00CD7572" w:rsidRDefault="0062660D" w:rsidP="00CD7572">
      <w:pPr>
        <w:tabs>
          <w:tab w:val="left" w:pos="567"/>
        </w:tabs>
        <w:spacing w:after="0"/>
        <w:ind w:left="567"/>
        <w:jc w:val="left"/>
        <w:rPr>
          <w:b/>
        </w:rPr>
      </w:pPr>
      <w:r w:rsidRPr="00CD7572">
        <w:rPr>
          <w:b/>
        </w:rPr>
        <w:t>3.3.8 Acquisition costs of investments</w:t>
      </w:r>
    </w:p>
    <w:p w:rsidR="00CD7572" w:rsidRPr="00CD7572" w:rsidRDefault="0062660D" w:rsidP="00CD7572">
      <w:pPr>
        <w:tabs>
          <w:tab w:val="left" w:pos="567"/>
        </w:tabs>
        <w:ind w:left="567"/>
        <w:jc w:val="left"/>
      </w:pPr>
      <w:r w:rsidRPr="00CD7572">
        <w:t>The acquisition costs of investments are included within the purchase price.</w:t>
      </w:r>
    </w:p>
    <w:p w:rsidR="00CD7572" w:rsidRPr="00CD7572" w:rsidRDefault="0062660D" w:rsidP="00CD7572">
      <w:pPr>
        <w:tabs>
          <w:tab w:val="left" w:pos="567"/>
        </w:tabs>
        <w:ind w:left="567"/>
        <w:jc w:val="left"/>
      </w:pPr>
    </w:p>
    <w:p w:rsidR="00CD7572" w:rsidRPr="00CD7572" w:rsidRDefault="0062660D" w:rsidP="00CD7572">
      <w:pPr>
        <w:tabs>
          <w:tab w:val="left" w:pos="567"/>
        </w:tabs>
        <w:spacing w:after="0"/>
        <w:ind w:left="567"/>
        <w:jc w:val="left"/>
        <w:rPr>
          <w:b/>
        </w:rPr>
      </w:pPr>
      <w:r w:rsidRPr="00CD7572">
        <w:rPr>
          <w:b/>
        </w:rPr>
        <w:t>3.3.9 Valuation of investments</w:t>
      </w:r>
    </w:p>
    <w:p w:rsidR="00CD7572" w:rsidRPr="00CD7572" w:rsidRDefault="0062660D" w:rsidP="00CD7572">
      <w:pPr>
        <w:tabs>
          <w:tab w:val="left" w:pos="567"/>
        </w:tabs>
        <w:spacing w:after="0"/>
        <w:ind w:left="567"/>
        <w:jc w:val="left"/>
      </w:pPr>
      <w:r w:rsidRPr="00CD7572">
        <w:t>Investments are shown at their fair</w:t>
      </w:r>
      <w:r w:rsidRPr="00CD7572">
        <w:t xml:space="preserve"> value as at 31 March 2016.  The fair value is the current bid price for quoted securities and unitised securities.</w:t>
      </w:r>
    </w:p>
    <w:p w:rsidR="00CD7572" w:rsidRPr="00CD7572" w:rsidRDefault="0062660D" w:rsidP="00CD7572">
      <w:pPr>
        <w:tabs>
          <w:tab w:val="left" w:pos="567"/>
        </w:tabs>
        <w:spacing w:after="0"/>
        <w:ind w:left="567"/>
        <w:jc w:val="left"/>
      </w:pPr>
    </w:p>
    <w:p w:rsidR="00CD7572" w:rsidRPr="00CD7572" w:rsidRDefault="0062660D" w:rsidP="00CD7572">
      <w:pPr>
        <w:tabs>
          <w:tab w:val="left" w:pos="567"/>
        </w:tabs>
        <w:spacing w:after="0"/>
        <w:ind w:left="567"/>
        <w:jc w:val="left"/>
      </w:pPr>
    </w:p>
    <w:p w:rsidR="00CD7572" w:rsidRPr="00CD7572" w:rsidRDefault="0062660D" w:rsidP="00CD7572">
      <w:pPr>
        <w:tabs>
          <w:tab w:val="left" w:pos="567"/>
        </w:tabs>
        <w:spacing w:after="0"/>
        <w:ind w:left="567"/>
        <w:jc w:val="left"/>
        <w:rPr>
          <w:b/>
        </w:rPr>
      </w:pPr>
      <w:r w:rsidRPr="00CD7572">
        <w:rPr>
          <w:b/>
        </w:rPr>
        <w:t xml:space="preserve">3.3.10 </w:t>
      </w:r>
      <w:proofErr w:type="gramStart"/>
      <w:r w:rsidRPr="00CD7572">
        <w:rPr>
          <w:b/>
        </w:rPr>
        <w:t>Foreign</w:t>
      </w:r>
      <w:proofErr w:type="gramEnd"/>
      <w:r w:rsidRPr="00CD7572">
        <w:rPr>
          <w:b/>
        </w:rPr>
        <w:t xml:space="preserve"> currency transactions</w:t>
      </w:r>
    </w:p>
    <w:p w:rsidR="00CD7572" w:rsidRPr="00CD7572" w:rsidRDefault="0062660D" w:rsidP="00CD7572">
      <w:pPr>
        <w:tabs>
          <w:tab w:val="left" w:pos="567"/>
        </w:tabs>
        <w:spacing w:after="0"/>
        <w:ind w:left="567"/>
        <w:jc w:val="left"/>
      </w:pPr>
      <w:r w:rsidRPr="00CD7572">
        <w:t xml:space="preserve">Dividends, interest and purchases and sales of investments in foreign currencies have been accounted </w:t>
      </w:r>
      <w:r w:rsidRPr="00CD7572">
        <w:t>for at the spot market rates at the date of transaction.  End-of-year spot market exchange rates are used to value cash balances held in foreign currency bank accounts, market values of overseas investments and purchases and sales outstanding at the end of</w:t>
      </w:r>
      <w:r w:rsidRPr="00CD7572">
        <w:t xml:space="preserve"> the reporting period.  Any gains or losses are treated as part of a change in market value of investments.</w:t>
      </w:r>
    </w:p>
    <w:p w:rsidR="00CD7572" w:rsidRPr="00CD7572" w:rsidRDefault="0062660D" w:rsidP="00CD7572">
      <w:pPr>
        <w:tabs>
          <w:tab w:val="left" w:pos="567"/>
        </w:tabs>
        <w:ind w:left="567"/>
        <w:jc w:val="left"/>
      </w:pPr>
    </w:p>
    <w:p w:rsidR="00CD7572" w:rsidRPr="00CD7572" w:rsidRDefault="0062660D" w:rsidP="00CD7572">
      <w:pPr>
        <w:spacing w:after="0"/>
        <w:ind w:left="567"/>
        <w:jc w:val="left"/>
        <w:rPr>
          <w:b/>
        </w:rPr>
      </w:pPr>
      <w:r w:rsidRPr="00CD7572">
        <w:rPr>
          <w:b/>
        </w:rPr>
        <w:t>3.3.11 Derivatives</w:t>
      </w:r>
    </w:p>
    <w:p w:rsidR="00CD7572" w:rsidRPr="00CD7572" w:rsidRDefault="0062660D" w:rsidP="00CD7572">
      <w:pPr>
        <w:tabs>
          <w:tab w:val="left" w:pos="851"/>
        </w:tabs>
        <w:spacing w:after="0"/>
        <w:ind w:left="567"/>
        <w:jc w:val="left"/>
      </w:pPr>
      <w:r w:rsidRPr="00CD7572">
        <w:t xml:space="preserve">The Fund uses derivative financial instruments to manage its exposure to specific risks arising from its investment activities.  The Fund does not hold derivatives for speculative purposes. </w:t>
      </w:r>
    </w:p>
    <w:p w:rsidR="00CD7572" w:rsidRPr="00CD7572" w:rsidRDefault="0062660D" w:rsidP="00CD7572">
      <w:pPr>
        <w:tabs>
          <w:tab w:val="left" w:pos="851"/>
        </w:tabs>
        <w:spacing w:after="0"/>
        <w:ind w:left="567"/>
        <w:jc w:val="left"/>
      </w:pPr>
    </w:p>
    <w:p w:rsidR="00CD7572" w:rsidRPr="00CD7572" w:rsidRDefault="0062660D" w:rsidP="00CD7572">
      <w:pPr>
        <w:tabs>
          <w:tab w:val="left" w:pos="851"/>
        </w:tabs>
        <w:ind w:left="567"/>
        <w:jc w:val="left"/>
      </w:pPr>
      <w:r w:rsidRPr="00CD7572">
        <w:t>Derivative contract assets are fair valued at bid prices and lia</w:t>
      </w:r>
      <w:r w:rsidRPr="00CD7572">
        <w:t>bilities are fair valued at offer prices.  Changes in fair value of derivative contracts are included in change in market value.</w:t>
      </w:r>
    </w:p>
    <w:p w:rsidR="00CD7572" w:rsidRPr="00CD7572" w:rsidRDefault="0062660D" w:rsidP="00CD7572">
      <w:pPr>
        <w:tabs>
          <w:tab w:val="left" w:pos="567"/>
        </w:tabs>
        <w:ind w:left="567"/>
        <w:jc w:val="left"/>
      </w:pPr>
      <w:r w:rsidRPr="00CD7572">
        <w:t>The future value of forward currency contracts is based on market forward exchange rates at the year-end date and determined as</w:t>
      </w:r>
      <w:r w:rsidRPr="00CD7572">
        <w:t xml:space="preserve"> the gain or loss that would arise if the outstanding contract were matched at the year-end with an equal and opposite contract.</w:t>
      </w:r>
    </w:p>
    <w:p w:rsidR="00CD7572" w:rsidRPr="00CD7572" w:rsidRDefault="0062660D" w:rsidP="00CD7572">
      <w:pPr>
        <w:tabs>
          <w:tab w:val="left" w:pos="567"/>
        </w:tabs>
        <w:spacing w:after="0"/>
        <w:ind w:left="567"/>
        <w:jc w:val="left"/>
        <w:rPr>
          <w:b/>
        </w:rPr>
      </w:pPr>
    </w:p>
    <w:p w:rsidR="00CD7572" w:rsidRPr="00CD7572" w:rsidRDefault="0062660D" w:rsidP="00CD7572">
      <w:pPr>
        <w:tabs>
          <w:tab w:val="left" w:pos="567"/>
        </w:tabs>
        <w:spacing w:after="0"/>
        <w:ind w:left="567"/>
        <w:jc w:val="left"/>
        <w:rPr>
          <w:b/>
        </w:rPr>
      </w:pPr>
      <w:r w:rsidRPr="00CD7572">
        <w:rPr>
          <w:b/>
        </w:rPr>
        <w:t>3.3.12 Loans and receivables</w:t>
      </w:r>
    </w:p>
    <w:p w:rsidR="00CD7572" w:rsidRPr="00CD7572" w:rsidRDefault="0062660D" w:rsidP="00CD7572">
      <w:pPr>
        <w:tabs>
          <w:tab w:val="left" w:pos="567"/>
        </w:tabs>
        <w:spacing w:after="0"/>
        <w:ind w:left="567"/>
        <w:jc w:val="left"/>
      </w:pPr>
      <w:r w:rsidRPr="00CD7572">
        <w:t>Loans and receivables are non-derivative financial assets with fixed or determinable payments tha</w:t>
      </w:r>
      <w:r w:rsidRPr="00CD7572">
        <w:t>t are not quoted in an active market.</w:t>
      </w:r>
    </w:p>
    <w:p w:rsidR="00CD7572" w:rsidRPr="00CD7572" w:rsidRDefault="0062660D" w:rsidP="00CD7572">
      <w:pPr>
        <w:tabs>
          <w:tab w:val="left" w:pos="567"/>
        </w:tabs>
        <w:spacing w:after="0"/>
        <w:ind w:left="567"/>
        <w:jc w:val="left"/>
      </w:pPr>
    </w:p>
    <w:p w:rsidR="00CD7572" w:rsidRPr="00CD7572" w:rsidRDefault="0062660D" w:rsidP="00CD7572">
      <w:pPr>
        <w:tabs>
          <w:tab w:val="left" w:pos="567"/>
        </w:tabs>
        <w:spacing w:after="0"/>
        <w:ind w:left="567"/>
        <w:jc w:val="left"/>
      </w:pPr>
      <w:r w:rsidRPr="00CD7572">
        <w:t>The Fund's loans and receivables comprise of trade and other receivables and cash deposits.</w:t>
      </w:r>
    </w:p>
    <w:p w:rsidR="00CD7572" w:rsidRPr="00CD7572" w:rsidRDefault="0062660D" w:rsidP="00CD7572">
      <w:pPr>
        <w:tabs>
          <w:tab w:val="left" w:pos="567"/>
        </w:tabs>
        <w:spacing w:after="0"/>
        <w:ind w:left="567"/>
        <w:jc w:val="left"/>
      </w:pPr>
    </w:p>
    <w:p w:rsidR="00CD7572" w:rsidRPr="00CD7572" w:rsidRDefault="0062660D" w:rsidP="00CD7572">
      <w:pPr>
        <w:tabs>
          <w:tab w:val="left" w:pos="567"/>
        </w:tabs>
        <w:spacing w:after="0"/>
        <w:ind w:left="567"/>
        <w:jc w:val="left"/>
        <w:rPr>
          <w:b/>
        </w:rPr>
      </w:pPr>
      <w:r w:rsidRPr="00CD7572">
        <w:rPr>
          <w:b/>
        </w:rPr>
        <w:t>3.3.13 Cash and cash equivalents</w:t>
      </w:r>
    </w:p>
    <w:p w:rsidR="00CD7572" w:rsidRPr="00CD7572" w:rsidRDefault="0062660D" w:rsidP="00CD7572">
      <w:pPr>
        <w:tabs>
          <w:tab w:val="left" w:pos="567"/>
        </w:tabs>
        <w:spacing w:after="0"/>
        <w:ind w:left="567"/>
        <w:jc w:val="left"/>
      </w:pPr>
      <w:r w:rsidRPr="00CD7572">
        <w:t>Cash comprises of cash in hand and on demand deposits and includes amounts held by the Fund</w:t>
      </w:r>
      <w:r w:rsidRPr="00CD7572">
        <w:t>'s external managers.</w:t>
      </w:r>
    </w:p>
    <w:p w:rsidR="00CD7572" w:rsidRPr="00CD7572" w:rsidRDefault="0062660D" w:rsidP="00CD7572">
      <w:pPr>
        <w:tabs>
          <w:tab w:val="left" w:pos="567"/>
        </w:tabs>
        <w:spacing w:after="0"/>
        <w:ind w:left="567"/>
        <w:jc w:val="left"/>
      </w:pPr>
    </w:p>
    <w:p w:rsidR="00CD7572" w:rsidRPr="00CD7572" w:rsidRDefault="0062660D" w:rsidP="00CD7572">
      <w:pPr>
        <w:tabs>
          <w:tab w:val="left" w:pos="567"/>
        </w:tabs>
        <w:ind w:left="567"/>
        <w:jc w:val="left"/>
      </w:pPr>
      <w:r w:rsidRPr="00CD7572">
        <w:t>Cash equivalents are short-term, highly liquid investments that are readily convertible to known amounts of cash and that are subject to minimal risk of changes in value.</w:t>
      </w:r>
    </w:p>
    <w:p w:rsidR="00CD7572" w:rsidRPr="00CD7572" w:rsidRDefault="0062660D" w:rsidP="00CD7572">
      <w:pPr>
        <w:tabs>
          <w:tab w:val="left" w:pos="567"/>
        </w:tabs>
        <w:ind w:left="567"/>
        <w:jc w:val="left"/>
      </w:pPr>
    </w:p>
    <w:p w:rsidR="00CD7572" w:rsidRPr="00CD7572" w:rsidRDefault="0062660D" w:rsidP="00CD7572">
      <w:pPr>
        <w:tabs>
          <w:tab w:val="left" w:pos="567"/>
        </w:tabs>
        <w:spacing w:after="0"/>
        <w:ind w:left="567"/>
        <w:jc w:val="left"/>
        <w:rPr>
          <w:b/>
        </w:rPr>
      </w:pPr>
      <w:r w:rsidRPr="00CD7572">
        <w:rPr>
          <w:b/>
        </w:rPr>
        <w:t xml:space="preserve">3.3.14 </w:t>
      </w:r>
      <w:proofErr w:type="gramStart"/>
      <w:r w:rsidRPr="00CD7572">
        <w:rPr>
          <w:b/>
        </w:rPr>
        <w:t>Financial</w:t>
      </w:r>
      <w:proofErr w:type="gramEnd"/>
      <w:r w:rsidRPr="00CD7572">
        <w:rPr>
          <w:b/>
        </w:rPr>
        <w:t xml:space="preserve"> liabilities</w:t>
      </w:r>
    </w:p>
    <w:p w:rsidR="00CD7572" w:rsidRPr="00CD7572" w:rsidRDefault="0062660D" w:rsidP="00CD7572">
      <w:pPr>
        <w:tabs>
          <w:tab w:val="left" w:pos="567"/>
        </w:tabs>
        <w:spacing w:after="0"/>
        <w:ind w:left="567"/>
        <w:jc w:val="left"/>
      </w:pPr>
      <w:r w:rsidRPr="00CD7572">
        <w:t xml:space="preserve">The Fund recognises financial </w:t>
      </w:r>
      <w:r w:rsidRPr="00CD7572">
        <w:t xml:space="preserve">liabilities at fair value at the reporting date. A financial liability is recognised in the net assets statement on the date the Fund becomes party to a liability.  From this date any gains or losses arising from changes in the fair value of the liability </w:t>
      </w:r>
      <w:r w:rsidRPr="00CD7572">
        <w:t>are recognised by the Fund.</w:t>
      </w:r>
    </w:p>
    <w:p w:rsidR="00CD7572" w:rsidRPr="00CD7572" w:rsidRDefault="0062660D" w:rsidP="00CD7572">
      <w:pPr>
        <w:tabs>
          <w:tab w:val="left" w:pos="567"/>
        </w:tabs>
        <w:ind w:left="567"/>
        <w:jc w:val="left"/>
      </w:pPr>
    </w:p>
    <w:p w:rsidR="00CD7572" w:rsidRPr="00CD7572" w:rsidRDefault="0062660D" w:rsidP="00CD7572">
      <w:pPr>
        <w:tabs>
          <w:tab w:val="left" w:pos="567"/>
        </w:tabs>
        <w:spacing w:after="0"/>
        <w:ind w:left="567"/>
        <w:jc w:val="left"/>
        <w:rPr>
          <w:b/>
        </w:rPr>
      </w:pPr>
      <w:r w:rsidRPr="00CD7572">
        <w:rPr>
          <w:b/>
        </w:rPr>
        <w:t xml:space="preserve">3.3.15 </w:t>
      </w:r>
      <w:proofErr w:type="gramStart"/>
      <w:r w:rsidRPr="00CD7572">
        <w:rPr>
          <w:b/>
        </w:rPr>
        <w:t>Financial</w:t>
      </w:r>
      <w:proofErr w:type="gramEnd"/>
      <w:r w:rsidRPr="00CD7572">
        <w:rPr>
          <w:b/>
        </w:rPr>
        <w:t xml:space="preserve"> liabilities at amortised cost</w:t>
      </w:r>
    </w:p>
    <w:p w:rsidR="00CD7572" w:rsidRPr="00CD7572" w:rsidRDefault="0062660D" w:rsidP="00CD7572">
      <w:pPr>
        <w:tabs>
          <w:tab w:val="left" w:pos="567"/>
        </w:tabs>
        <w:spacing w:after="0"/>
        <w:ind w:left="567"/>
        <w:jc w:val="left"/>
      </w:pPr>
      <w:r w:rsidRPr="00CD7572">
        <w:t xml:space="preserve">Financial liabilities at amortised cost are the default category for financial instruments that do not meet the definition of financial liabilities at fair value through profit or </w:t>
      </w:r>
      <w:r w:rsidRPr="00CD7572">
        <w:t>loss.</w:t>
      </w:r>
    </w:p>
    <w:p w:rsidR="00CD7572" w:rsidRPr="00CD7572" w:rsidRDefault="0062660D" w:rsidP="00CD7572">
      <w:pPr>
        <w:tabs>
          <w:tab w:val="left" w:pos="567"/>
        </w:tabs>
        <w:spacing w:after="0"/>
        <w:ind w:left="567"/>
        <w:jc w:val="left"/>
      </w:pPr>
    </w:p>
    <w:p w:rsidR="00CD7572" w:rsidRPr="00CD7572" w:rsidRDefault="0062660D" w:rsidP="00CD7572">
      <w:pPr>
        <w:tabs>
          <w:tab w:val="left" w:pos="567"/>
        </w:tabs>
        <w:spacing w:after="0"/>
        <w:ind w:left="567"/>
        <w:jc w:val="left"/>
      </w:pPr>
    </w:p>
    <w:p w:rsidR="00CD7572" w:rsidRPr="00CD7572" w:rsidRDefault="0062660D" w:rsidP="00CD7572">
      <w:pPr>
        <w:tabs>
          <w:tab w:val="left" w:pos="567"/>
        </w:tabs>
        <w:spacing w:after="0"/>
        <w:ind w:left="567"/>
        <w:jc w:val="left"/>
        <w:rPr>
          <w:b/>
        </w:rPr>
      </w:pPr>
      <w:r w:rsidRPr="00CD7572">
        <w:rPr>
          <w:b/>
        </w:rPr>
        <w:t>3.3.16 Actuarial present value of promised retirement benefits</w:t>
      </w:r>
    </w:p>
    <w:p w:rsidR="00CD7572" w:rsidRPr="00CD7572" w:rsidRDefault="0062660D" w:rsidP="00CD7572">
      <w:pPr>
        <w:tabs>
          <w:tab w:val="left" w:pos="567"/>
        </w:tabs>
        <w:spacing w:after="0"/>
        <w:ind w:left="567"/>
        <w:jc w:val="left"/>
      </w:pPr>
      <w:r w:rsidRPr="00CD7572">
        <w:t xml:space="preserve">The actuarial present value of promised retirement benefits is assessed on a triennial basis by the scheme actuary in accordance with the requirements of IAS19 and relevant actuarial </w:t>
      </w:r>
      <w:r w:rsidRPr="00CD7572">
        <w:t>standards.</w:t>
      </w:r>
    </w:p>
    <w:p w:rsidR="00CD7572" w:rsidRPr="00CD7572" w:rsidRDefault="0062660D" w:rsidP="00CD7572">
      <w:pPr>
        <w:tabs>
          <w:tab w:val="left" w:pos="567"/>
        </w:tabs>
        <w:spacing w:after="0"/>
        <w:ind w:left="567"/>
        <w:jc w:val="left"/>
      </w:pPr>
    </w:p>
    <w:p w:rsidR="00CD7572" w:rsidRPr="00CD7572" w:rsidRDefault="0062660D" w:rsidP="00CD7572">
      <w:pPr>
        <w:tabs>
          <w:tab w:val="left" w:pos="567"/>
        </w:tabs>
        <w:ind w:left="567"/>
        <w:jc w:val="left"/>
      </w:pPr>
      <w:r w:rsidRPr="00CD7572">
        <w:t>As permitted under IAS 26 the Fund has opted to disclose the actuarial present value of promised retirement benefits by way of a note to the net assets statement (note 25).</w:t>
      </w:r>
    </w:p>
    <w:p w:rsidR="00CD7572" w:rsidRPr="00CD7572" w:rsidRDefault="0062660D" w:rsidP="00CD7572">
      <w:pPr>
        <w:tabs>
          <w:tab w:val="left" w:pos="567"/>
        </w:tabs>
        <w:ind w:left="567"/>
        <w:jc w:val="left"/>
      </w:pPr>
    </w:p>
    <w:p w:rsidR="00CD7572" w:rsidRPr="00CD7572" w:rsidRDefault="0062660D" w:rsidP="00CD7572">
      <w:pPr>
        <w:tabs>
          <w:tab w:val="left" w:pos="567"/>
        </w:tabs>
        <w:spacing w:after="0"/>
        <w:ind w:left="567"/>
        <w:jc w:val="left"/>
        <w:rPr>
          <w:b/>
        </w:rPr>
      </w:pPr>
      <w:r w:rsidRPr="00CD7572">
        <w:rPr>
          <w:b/>
        </w:rPr>
        <w:t>3.3.17 Additional voluntary contributions</w:t>
      </w:r>
    </w:p>
    <w:p w:rsidR="00CD7572" w:rsidRPr="00CD7572" w:rsidRDefault="0062660D" w:rsidP="00CD7572">
      <w:pPr>
        <w:tabs>
          <w:tab w:val="left" w:pos="567"/>
        </w:tabs>
        <w:spacing w:after="0"/>
        <w:ind w:left="567"/>
        <w:jc w:val="left"/>
      </w:pPr>
      <w:r w:rsidRPr="00CD7572">
        <w:t>Lancashire County Pension Fu</w:t>
      </w:r>
      <w:r w:rsidRPr="00CD7572">
        <w:t xml:space="preserve">nd provides an additional voluntary contributions (AVC) scheme for its members, the assets of which are invested separately from those of the Pension Fund.  The AVC providers to the Pension Fund are Equitable Life and Prudential.  AVCs are paid to the AVC </w:t>
      </w:r>
      <w:r w:rsidRPr="00CD7572">
        <w:t>provider by employers and are specifically for providing additional benefits for individual contributors.  Each AVC contributor receives an annual statement showing the amount held in their account and the movements in the year.</w:t>
      </w:r>
    </w:p>
    <w:p w:rsidR="00CD7572" w:rsidRPr="00CD7572" w:rsidRDefault="0062660D" w:rsidP="00CD7572">
      <w:pPr>
        <w:tabs>
          <w:tab w:val="left" w:pos="567"/>
        </w:tabs>
        <w:ind w:left="567"/>
        <w:jc w:val="left"/>
      </w:pPr>
    </w:p>
    <w:p w:rsidR="00CD7572" w:rsidRPr="00CD7572" w:rsidRDefault="0062660D" w:rsidP="00CD7572">
      <w:pPr>
        <w:tabs>
          <w:tab w:val="left" w:pos="567"/>
        </w:tabs>
        <w:ind w:left="567"/>
        <w:jc w:val="left"/>
      </w:pPr>
      <w:r w:rsidRPr="00CD7572">
        <w:t>AVCs are not included in t</w:t>
      </w:r>
      <w:r w:rsidRPr="00CD7572">
        <w:t>he Pension Fund accounts in accordance with section 4(2) (b) of the Local Government Pension Scheme (Management and Investment of Funds) Regulations 2009 (SI 2009/3093) but are disclosed as a note only (note 19).</w:t>
      </w:r>
    </w:p>
    <w:p w:rsidR="00CD7572" w:rsidRPr="00CD7572" w:rsidRDefault="0062660D" w:rsidP="00CD7572">
      <w:pPr>
        <w:tabs>
          <w:tab w:val="left" w:pos="567"/>
        </w:tabs>
        <w:ind w:left="567"/>
        <w:jc w:val="left"/>
      </w:pPr>
    </w:p>
    <w:p w:rsidR="00CD7572" w:rsidRPr="00CD7572" w:rsidRDefault="0062660D" w:rsidP="00CD7572">
      <w:pPr>
        <w:tabs>
          <w:tab w:val="left" w:pos="567"/>
        </w:tabs>
        <w:ind w:left="567"/>
        <w:contextualSpacing/>
        <w:jc w:val="left"/>
        <w:rPr>
          <w:b/>
        </w:rPr>
      </w:pPr>
      <w:r w:rsidRPr="00CD7572">
        <w:rPr>
          <w:b/>
        </w:rPr>
        <w:t>3.3.18 Securities lending</w:t>
      </w:r>
    </w:p>
    <w:p w:rsidR="00CD7572" w:rsidRPr="00CD7572" w:rsidRDefault="0062660D" w:rsidP="00CD7572">
      <w:pPr>
        <w:tabs>
          <w:tab w:val="left" w:pos="567"/>
        </w:tabs>
        <w:ind w:left="567"/>
        <w:jc w:val="left"/>
      </w:pPr>
      <w:r w:rsidRPr="00CD7572">
        <w:t>Investments lent</w:t>
      </w:r>
      <w:r w:rsidRPr="00CD7572">
        <w:t xml:space="preserve"> under securities lending arrangements continue to be recognised in the net assets statement to reflect the scheme's continuing economic interest in the securities and are measured in accordance with the accounting policy for assets 'at fair value through </w:t>
      </w:r>
      <w:r w:rsidRPr="00CD7572">
        <w:t>profit and loss' or 'available for sale' as appropriate.</w:t>
      </w:r>
    </w:p>
    <w:p w:rsidR="00CD7572" w:rsidRPr="00CD7572" w:rsidRDefault="0062660D" w:rsidP="00CD7572">
      <w:pPr>
        <w:tabs>
          <w:tab w:val="left" w:pos="567"/>
        </w:tabs>
        <w:ind w:left="567"/>
        <w:jc w:val="left"/>
      </w:pPr>
      <w:r w:rsidRPr="00CD7572">
        <w:t>Collateral is marked to market, and adjusted daily.  As the Fund has an obligation to return the collateral to the borrowers, collateral is excluded from the fund valuation.</w:t>
      </w:r>
    </w:p>
    <w:p w:rsidR="00CD7572" w:rsidRPr="00CD7572" w:rsidRDefault="0062660D" w:rsidP="00CD7572">
      <w:pPr>
        <w:tabs>
          <w:tab w:val="left" w:pos="567"/>
        </w:tabs>
        <w:ind w:left="567"/>
        <w:jc w:val="left"/>
      </w:pPr>
    </w:p>
    <w:p w:rsidR="00CD7572" w:rsidRPr="00CD7572" w:rsidRDefault="0062660D" w:rsidP="00CD7572">
      <w:pPr>
        <w:tabs>
          <w:tab w:val="left" w:pos="567"/>
        </w:tabs>
        <w:ind w:left="567"/>
        <w:jc w:val="left"/>
      </w:pPr>
    </w:p>
    <w:p w:rsidR="00CD7572" w:rsidRPr="00CD7572" w:rsidRDefault="0062660D" w:rsidP="00CD7572">
      <w:pPr>
        <w:tabs>
          <w:tab w:val="left" w:pos="567"/>
        </w:tabs>
        <w:ind w:left="567"/>
        <w:jc w:val="left"/>
      </w:pPr>
    </w:p>
    <w:p w:rsidR="00CD7572" w:rsidRPr="00CD7572" w:rsidRDefault="0062660D" w:rsidP="00CD7572">
      <w:pPr>
        <w:tabs>
          <w:tab w:val="left" w:pos="567"/>
        </w:tabs>
        <w:ind w:left="567"/>
        <w:jc w:val="left"/>
        <w:rPr>
          <w:rFonts w:eastAsiaTheme="minorHAnsi" w:cstheme="minorBidi"/>
          <w:szCs w:val="22"/>
        </w:rPr>
      </w:pPr>
    </w:p>
    <w:p w:rsidR="00CD7572" w:rsidRPr="00CD7572" w:rsidRDefault="0062660D" w:rsidP="00CD7572">
      <w:pPr>
        <w:numPr>
          <w:ilvl w:val="0"/>
          <w:numId w:val="7"/>
        </w:numPr>
        <w:tabs>
          <w:tab w:val="left" w:pos="567"/>
        </w:tabs>
        <w:autoSpaceDE/>
        <w:autoSpaceDN/>
        <w:adjustRightInd/>
        <w:spacing w:after="0"/>
        <w:ind w:left="0" w:firstLine="0"/>
        <w:jc w:val="left"/>
        <w:rPr>
          <w:rFonts w:eastAsiaTheme="minorHAnsi" w:cstheme="minorBidi"/>
          <w:sz w:val="32"/>
          <w:szCs w:val="32"/>
        </w:rPr>
      </w:pPr>
      <w:r w:rsidRPr="00CD7572">
        <w:rPr>
          <w:rFonts w:eastAsiaTheme="minorHAnsi" w:cstheme="minorBidi"/>
          <w:b/>
          <w:sz w:val="32"/>
          <w:szCs w:val="32"/>
        </w:rPr>
        <w:t>Critical judgements i</w:t>
      </w:r>
      <w:r w:rsidRPr="00CD7572">
        <w:rPr>
          <w:rFonts w:eastAsiaTheme="minorHAnsi" w:cstheme="minorBidi"/>
          <w:b/>
          <w:sz w:val="32"/>
          <w:szCs w:val="32"/>
        </w:rPr>
        <w:t>n applying accounting policies</w:t>
      </w:r>
    </w:p>
    <w:p w:rsidR="00CD7572" w:rsidRPr="00CD7572" w:rsidRDefault="0062660D" w:rsidP="00CD7572">
      <w:pPr>
        <w:jc w:val="left"/>
        <w:rPr>
          <w:sz w:val="32"/>
          <w:szCs w:val="32"/>
          <w:lang w:eastAsia="en-GB"/>
        </w:rPr>
      </w:pPr>
    </w:p>
    <w:p w:rsidR="00CD7572" w:rsidRPr="00CD7572" w:rsidRDefault="0062660D" w:rsidP="00CD7572">
      <w:pPr>
        <w:tabs>
          <w:tab w:val="left" w:pos="567"/>
        </w:tabs>
        <w:spacing w:after="0"/>
        <w:ind w:left="567"/>
        <w:jc w:val="left"/>
        <w:rPr>
          <w:rFonts w:eastAsiaTheme="minorHAnsi" w:cstheme="minorBidi"/>
          <w:szCs w:val="22"/>
        </w:rPr>
      </w:pPr>
      <w:r w:rsidRPr="00CD7572">
        <w:rPr>
          <w:rFonts w:eastAsiaTheme="minorHAnsi" w:cstheme="minorBidi"/>
          <w:b/>
          <w:szCs w:val="22"/>
        </w:rPr>
        <w:t>4.1 Unquoted private equity and infrastructure investments</w:t>
      </w:r>
    </w:p>
    <w:p w:rsidR="00CD7572" w:rsidRPr="00CD7572" w:rsidRDefault="0062660D" w:rsidP="00CD7572">
      <w:pPr>
        <w:tabs>
          <w:tab w:val="left" w:pos="567"/>
        </w:tabs>
        <w:ind w:left="567"/>
        <w:jc w:val="left"/>
        <w:rPr>
          <w:rFonts w:eastAsiaTheme="minorHAnsi" w:cstheme="minorBidi"/>
          <w:szCs w:val="22"/>
        </w:rPr>
      </w:pPr>
      <w:r w:rsidRPr="00CD7572">
        <w:rPr>
          <w:rFonts w:eastAsiaTheme="minorHAnsi" w:cstheme="minorBidi"/>
          <w:szCs w:val="22"/>
        </w:rPr>
        <w:t xml:space="preserve">It is important to recognise the highly subjective nature of determining the fair value of private equity and infrastructure investments.  They are inherently based </w:t>
      </w:r>
      <w:r w:rsidRPr="00CD7572">
        <w:rPr>
          <w:rFonts w:eastAsiaTheme="minorHAnsi" w:cstheme="minorBidi"/>
          <w:szCs w:val="22"/>
        </w:rPr>
        <w:t>on forward looking estimates and judgements involving many factors.  Unquoted private equities and infrastructure investments are valued by the investment managers using the International Private Equity and Venture Capital Valuation Guidelines 2012.</w:t>
      </w:r>
    </w:p>
    <w:p w:rsidR="00CD7572" w:rsidRPr="00CD7572" w:rsidRDefault="0062660D" w:rsidP="00CD7572">
      <w:pPr>
        <w:tabs>
          <w:tab w:val="left" w:pos="567"/>
        </w:tabs>
        <w:spacing w:after="0"/>
        <w:ind w:left="567"/>
        <w:jc w:val="left"/>
        <w:rPr>
          <w:rFonts w:eastAsiaTheme="minorHAnsi" w:cstheme="minorBidi"/>
          <w:szCs w:val="22"/>
        </w:rPr>
      </w:pPr>
    </w:p>
    <w:p w:rsidR="00CD7572" w:rsidRPr="00CD7572" w:rsidRDefault="0062660D" w:rsidP="00CD7572">
      <w:pPr>
        <w:tabs>
          <w:tab w:val="left" w:pos="567"/>
        </w:tabs>
        <w:spacing w:after="0"/>
        <w:ind w:left="567"/>
        <w:jc w:val="left"/>
        <w:rPr>
          <w:rFonts w:eastAsiaTheme="minorHAnsi" w:cstheme="minorBidi"/>
          <w:szCs w:val="22"/>
        </w:rPr>
      </w:pPr>
      <w:r w:rsidRPr="00CD7572">
        <w:rPr>
          <w:rFonts w:eastAsiaTheme="minorHAnsi" w:cstheme="minorBidi"/>
          <w:b/>
          <w:szCs w:val="22"/>
        </w:rPr>
        <w:t xml:space="preserve">4.2  </w:t>
      </w:r>
      <w:r w:rsidRPr="00CD7572">
        <w:rPr>
          <w:rFonts w:eastAsiaTheme="minorHAnsi" w:cstheme="minorBidi"/>
          <w:szCs w:val="22"/>
        </w:rPr>
        <w:t xml:space="preserve"> </w:t>
      </w:r>
      <w:r w:rsidRPr="00CD7572">
        <w:rPr>
          <w:rFonts w:eastAsiaTheme="minorHAnsi" w:cstheme="minorBidi"/>
          <w:b/>
          <w:szCs w:val="22"/>
        </w:rPr>
        <w:t>Pension Fund liability</w:t>
      </w:r>
    </w:p>
    <w:p w:rsidR="00CD7572" w:rsidRPr="00CD7572" w:rsidRDefault="0062660D" w:rsidP="00CD7572">
      <w:pPr>
        <w:tabs>
          <w:tab w:val="left" w:pos="567"/>
        </w:tabs>
        <w:ind w:left="567"/>
        <w:jc w:val="left"/>
        <w:rPr>
          <w:rFonts w:eastAsiaTheme="minorHAnsi" w:cstheme="minorBidi"/>
          <w:szCs w:val="22"/>
        </w:rPr>
      </w:pPr>
      <w:r w:rsidRPr="00CD7572">
        <w:rPr>
          <w:rFonts w:eastAsiaTheme="minorHAnsi" w:cstheme="minorBidi"/>
          <w:szCs w:val="22"/>
        </w:rPr>
        <w:t xml:space="preserve">The Pension Fund liability is calculated every three years by the appointed actuary, with annual updates in the intervening years.  The methodology used is in line with accepted guidelines and in accordance with IAS19.  Assumptions </w:t>
      </w:r>
      <w:r w:rsidRPr="00CD7572">
        <w:rPr>
          <w:rFonts w:eastAsiaTheme="minorHAnsi" w:cstheme="minorBidi"/>
          <w:szCs w:val="22"/>
        </w:rPr>
        <w:t>underpinning the valuations are agreed with the actuary and are summarised in note 24.  This estimate is subject to significant variances based on changes to the underlying assumptions.</w:t>
      </w:r>
    </w:p>
    <w:p w:rsidR="00CD7572" w:rsidRPr="00CD7572" w:rsidRDefault="0062660D" w:rsidP="00CD7572">
      <w:pPr>
        <w:jc w:val="left"/>
        <w:rPr>
          <w:lang w:eastAsia="en-GB"/>
        </w:rPr>
      </w:pPr>
    </w:p>
    <w:p w:rsidR="00CD7572" w:rsidRPr="00CD7572" w:rsidRDefault="0062660D" w:rsidP="00CD7572">
      <w:pPr>
        <w:jc w:val="left"/>
        <w:rPr>
          <w:lang w:eastAsia="en-GB"/>
        </w:rPr>
      </w:pPr>
    </w:p>
    <w:p w:rsidR="00CD7572" w:rsidRPr="00CD7572" w:rsidRDefault="0062660D" w:rsidP="00CD7572">
      <w:pPr>
        <w:numPr>
          <w:ilvl w:val="0"/>
          <w:numId w:val="8"/>
        </w:numPr>
        <w:tabs>
          <w:tab w:val="num" w:pos="567"/>
        </w:tabs>
        <w:autoSpaceDE/>
        <w:autoSpaceDN/>
        <w:adjustRightInd/>
        <w:spacing w:after="0"/>
        <w:ind w:left="567" w:hanging="567"/>
        <w:jc w:val="left"/>
        <w:rPr>
          <w:b/>
          <w:sz w:val="32"/>
          <w:szCs w:val="32"/>
        </w:rPr>
      </w:pPr>
      <w:r w:rsidRPr="00CD7572">
        <w:rPr>
          <w:b/>
          <w:sz w:val="32"/>
          <w:szCs w:val="32"/>
        </w:rPr>
        <w:t>Assumptions made about the future and other major sources of estimat</w:t>
      </w:r>
      <w:r w:rsidRPr="00CD7572">
        <w:rPr>
          <w:b/>
          <w:sz w:val="32"/>
          <w:szCs w:val="32"/>
        </w:rPr>
        <w:t>ion uncertainty</w:t>
      </w:r>
    </w:p>
    <w:p w:rsidR="00CD7572" w:rsidRPr="00CD7572" w:rsidRDefault="0062660D" w:rsidP="00CD7572">
      <w:pPr>
        <w:tabs>
          <w:tab w:val="left" w:pos="709"/>
        </w:tabs>
        <w:ind w:left="567"/>
        <w:jc w:val="left"/>
      </w:pPr>
    </w:p>
    <w:p w:rsidR="00CD7572" w:rsidRPr="00CD7572" w:rsidRDefault="0062660D" w:rsidP="00CD7572">
      <w:pPr>
        <w:tabs>
          <w:tab w:val="left" w:pos="709"/>
        </w:tabs>
        <w:ind w:left="567"/>
        <w:jc w:val="left"/>
      </w:pPr>
      <w:r w:rsidRPr="00CD7572">
        <w:t xml:space="preserve">The preparation of financial statements requires management to make judgements, estimates and assumptions that affect the amounts reported for assets and liabilities at the net assets statement date and the amounts reported for the </w:t>
      </w:r>
      <w:r w:rsidRPr="00CD7572">
        <w:t>revenues and expenses during the year. Estimates and assumptions are made taking into account historical experience, current trends and other relevant factors.  However, the nature of estimation means that actual outcomes could be materially different from</w:t>
      </w:r>
      <w:r w:rsidRPr="00CD7572">
        <w:t xml:space="preserve"> the assumptions and estimates.</w:t>
      </w:r>
    </w:p>
    <w:p w:rsidR="00CD7572" w:rsidRPr="00CD7572" w:rsidRDefault="0062660D" w:rsidP="00CD7572">
      <w:pPr>
        <w:tabs>
          <w:tab w:val="left" w:pos="851"/>
        </w:tabs>
        <w:ind w:left="567"/>
        <w:jc w:val="left"/>
      </w:pPr>
      <w:r w:rsidRPr="00CD7572">
        <w:t>The items in the Pension Fund's net assets statement at 31 March 2016 for which there is a significant risk of material adjustment in the forthcoming year are as follows:</w:t>
      </w:r>
    </w:p>
    <w:p w:rsidR="00CD7572" w:rsidRPr="00CD7572" w:rsidRDefault="0062660D" w:rsidP="00CD7572">
      <w:pPr>
        <w:tabs>
          <w:tab w:val="left" w:pos="851"/>
        </w:tabs>
        <w:ind w:left="567"/>
        <w:jc w:val="left"/>
      </w:pPr>
    </w:p>
    <w:tbl>
      <w:tblPr>
        <w:tblW w:w="978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4078"/>
        <w:gridCol w:w="4041"/>
      </w:tblGrid>
      <w:tr w:rsidR="006A2C17" w:rsidTr="00E245D6">
        <w:tc>
          <w:tcPr>
            <w:tcW w:w="1662" w:type="dxa"/>
            <w:shd w:val="clear" w:color="auto" w:fill="C5E0B3" w:themeFill="accent6" w:themeFillTint="66"/>
          </w:tcPr>
          <w:p w:rsidR="00CD7572" w:rsidRPr="00CD7572" w:rsidRDefault="0062660D" w:rsidP="00CD7572">
            <w:pPr>
              <w:jc w:val="left"/>
              <w:rPr>
                <w:b/>
              </w:rPr>
            </w:pPr>
            <w:r w:rsidRPr="00CD7572">
              <w:rPr>
                <w:b/>
              </w:rPr>
              <w:t>Item</w:t>
            </w:r>
          </w:p>
        </w:tc>
        <w:tc>
          <w:tcPr>
            <w:tcW w:w="0" w:type="auto"/>
            <w:shd w:val="clear" w:color="auto" w:fill="C5E0B3" w:themeFill="accent6" w:themeFillTint="66"/>
          </w:tcPr>
          <w:p w:rsidR="00CD7572" w:rsidRPr="00CD7572" w:rsidRDefault="0062660D" w:rsidP="00CD7572">
            <w:pPr>
              <w:jc w:val="left"/>
              <w:rPr>
                <w:b/>
              </w:rPr>
            </w:pPr>
            <w:r w:rsidRPr="00CD7572">
              <w:rPr>
                <w:b/>
              </w:rPr>
              <w:t>Uncertainties</w:t>
            </w:r>
          </w:p>
        </w:tc>
        <w:tc>
          <w:tcPr>
            <w:tcW w:w="0" w:type="auto"/>
            <w:shd w:val="clear" w:color="auto" w:fill="C5E0B3" w:themeFill="accent6" w:themeFillTint="66"/>
          </w:tcPr>
          <w:p w:rsidR="00CD7572" w:rsidRPr="00CD7572" w:rsidRDefault="0062660D" w:rsidP="00CD7572">
            <w:pPr>
              <w:jc w:val="left"/>
              <w:rPr>
                <w:b/>
              </w:rPr>
            </w:pPr>
            <w:r w:rsidRPr="00CD7572">
              <w:rPr>
                <w:b/>
              </w:rPr>
              <w:t xml:space="preserve">Impact if actual results differ </w:t>
            </w:r>
            <w:r w:rsidRPr="00CD7572">
              <w:rPr>
                <w:b/>
              </w:rPr>
              <w:t>from assumptions</w:t>
            </w:r>
          </w:p>
        </w:tc>
      </w:tr>
      <w:tr w:rsidR="006A2C17" w:rsidTr="00E245D6">
        <w:trPr>
          <w:trHeight w:val="2088"/>
        </w:trPr>
        <w:tc>
          <w:tcPr>
            <w:tcW w:w="1662" w:type="dxa"/>
            <w:shd w:val="clear" w:color="auto" w:fill="E2EFD9" w:themeFill="accent6" w:themeFillTint="33"/>
          </w:tcPr>
          <w:p w:rsidR="00CD7572" w:rsidRPr="00CD7572" w:rsidRDefault="0062660D" w:rsidP="00CD7572">
            <w:pPr>
              <w:jc w:val="left"/>
              <w:rPr>
                <w:sz w:val="22"/>
                <w:szCs w:val="22"/>
              </w:rPr>
            </w:pPr>
            <w:r w:rsidRPr="00CD7572">
              <w:rPr>
                <w:sz w:val="22"/>
                <w:szCs w:val="22"/>
              </w:rPr>
              <w:t xml:space="preserve">Private equity and infrastructure investments. </w:t>
            </w:r>
          </w:p>
          <w:p w:rsidR="00CD7572" w:rsidRPr="00CD7572" w:rsidRDefault="0062660D" w:rsidP="00CD7572">
            <w:pPr>
              <w:jc w:val="left"/>
              <w:rPr>
                <w:sz w:val="22"/>
                <w:szCs w:val="22"/>
              </w:rPr>
            </w:pPr>
          </w:p>
        </w:tc>
        <w:tc>
          <w:tcPr>
            <w:tcW w:w="0" w:type="auto"/>
            <w:shd w:val="clear" w:color="auto" w:fill="E2EFD9" w:themeFill="accent6" w:themeFillTint="33"/>
          </w:tcPr>
          <w:p w:rsidR="00CD7572" w:rsidRPr="00CD7572" w:rsidRDefault="0062660D" w:rsidP="00CD7572">
            <w:pPr>
              <w:jc w:val="left"/>
              <w:rPr>
                <w:sz w:val="22"/>
                <w:szCs w:val="22"/>
              </w:rPr>
            </w:pPr>
            <w:r w:rsidRPr="00CD7572">
              <w:rPr>
                <w:sz w:val="22"/>
                <w:szCs w:val="22"/>
              </w:rPr>
              <w:t>Private equity and infrastructure investments are valued at fair value in accordance with the International Private Equity and Venture Capital Valuation Guidelines 2012 or equivalent. These</w:t>
            </w:r>
            <w:r w:rsidRPr="00CD7572">
              <w:rPr>
                <w:sz w:val="22"/>
                <w:szCs w:val="22"/>
              </w:rPr>
              <w:t xml:space="preserve"> investments are not publicly listed and as such there is a degree of estimation involved in the valuation.</w:t>
            </w:r>
          </w:p>
        </w:tc>
        <w:tc>
          <w:tcPr>
            <w:tcW w:w="0" w:type="auto"/>
            <w:shd w:val="clear" w:color="auto" w:fill="E2EFD9" w:themeFill="accent6" w:themeFillTint="33"/>
          </w:tcPr>
          <w:p w:rsidR="00CD7572" w:rsidRPr="00CD7572" w:rsidRDefault="0062660D" w:rsidP="00CD7572">
            <w:pPr>
              <w:jc w:val="left"/>
              <w:rPr>
                <w:sz w:val="22"/>
                <w:szCs w:val="22"/>
              </w:rPr>
            </w:pPr>
            <w:r w:rsidRPr="00CD7572">
              <w:rPr>
                <w:sz w:val="22"/>
                <w:szCs w:val="22"/>
              </w:rPr>
              <w:t>The market value of private equity and infrastructure investments in the financial statements totals £917.7 m.</w:t>
            </w:r>
          </w:p>
          <w:p w:rsidR="00CD7572" w:rsidRPr="00CD7572" w:rsidRDefault="0062660D" w:rsidP="00CD7572">
            <w:pPr>
              <w:jc w:val="left"/>
              <w:rPr>
                <w:sz w:val="22"/>
                <w:szCs w:val="22"/>
              </w:rPr>
            </w:pPr>
            <w:r w:rsidRPr="00CD7572">
              <w:rPr>
                <w:sz w:val="22"/>
                <w:szCs w:val="22"/>
              </w:rPr>
              <w:t>There is a risk that these investment</w:t>
            </w:r>
            <w:r w:rsidRPr="00CD7572">
              <w:rPr>
                <w:sz w:val="22"/>
                <w:szCs w:val="22"/>
              </w:rPr>
              <w:t>s might be under or overstated in the accounts.</w:t>
            </w:r>
          </w:p>
        </w:tc>
      </w:tr>
      <w:tr w:rsidR="006A2C17" w:rsidTr="00E245D6">
        <w:trPr>
          <w:trHeight w:val="1431"/>
        </w:trPr>
        <w:tc>
          <w:tcPr>
            <w:tcW w:w="1662" w:type="dxa"/>
            <w:shd w:val="clear" w:color="auto" w:fill="E2EFD9" w:themeFill="accent6" w:themeFillTint="33"/>
          </w:tcPr>
          <w:p w:rsidR="00CD7572" w:rsidRPr="00CD7572" w:rsidRDefault="0062660D" w:rsidP="00CD7572">
            <w:pPr>
              <w:jc w:val="left"/>
              <w:rPr>
                <w:sz w:val="22"/>
                <w:szCs w:val="22"/>
              </w:rPr>
            </w:pPr>
            <w:r w:rsidRPr="00CD7572">
              <w:rPr>
                <w:sz w:val="22"/>
                <w:szCs w:val="22"/>
              </w:rPr>
              <w:t>Long-term credit investments</w:t>
            </w:r>
          </w:p>
        </w:tc>
        <w:tc>
          <w:tcPr>
            <w:tcW w:w="0" w:type="auto"/>
            <w:shd w:val="clear" w:color="auto" w:fill="E2EFD9" w:themeFill="accent6" w:themeFillTint="33"/>
          </w:tcPr>
          <w:p w:rsidR="00CD7572" w:rsidRPr="00CD7572" w:rsidRDefault="0062660D" w:rsidP="00CD7572">
            <w:pPr>
              <w:jc w:val="left"/>
              <w:rPr>
                <w:sz w:val="22"/>
                <w:szCs w:val="22"/>
              </w:rPr>
            </w:pPr>
            <w:r w:rsidRPr="00CD7572">
              <w:rPr>
                <w:sz w:val="22"/>
                <w:szCs w:val="22"/>
              </w:rPr>
              <w:t xml:space="preserve">Long-term credit investments are valued as the Fund's percentage share of the independently audited Net Asset Value of each individual strategy as provided by the relevant </w:t>
            </w:r>
            <w:r w:rsidRPr="00CD7572">
              <w:rPr>
                <w:sz w:val="22"/>
                <w:szCs w:val="22"/>
              </w:rPr>
              <w:t>manager.  In some cases the underlying investments will comprise level three assets whose valuations involve a degree of management judgement.</w:t>
            </w:r>
          </w:p>
        </w:tc>
        <w:tc>
          <w:tcPr>
            <w:tcW w:w="0" w:type="auto"/>
            <w:shd w:val="clear" w:color="auto" w:fill="E2EFD9" w:themeFill="accent6" w:themeFillTint="33"/>
          </w:tcPr>
          <w:p w:rsidR="00CD7572" w:rsidRPr="00CD7572" w:rsidRDefault="0062660D" w:rsidP="00CD7572">
            <w:pPr>
              <w:jc w:val="left"/>
              <w:rPr>
                <w:sz w:val="22"/>
                <w:szCs w:val="22"/>
              </w:rPr>
            </w:pPr>
            <w:r w:rsidRPr="00CD7572">
              <w:rPr>
                <w:sz w:val="22"/>
                <w:szCs w:val="22"/>
              </w:rPr>
              <w:t xml:space="preserve">The market value of long-term credit investments in the financial statements totals £1,454.2m.  </w:t>
            </w:r>
          </w:p>
          <w:p w:rsidR="00CD7572" w:rsidRPr="00CD7572" w:rsidRDefault="0062660D" w:rsidP="00CD7572">
            <w:pPr>
              <w:jc w:val="left"/>
              <w:rPr>
                <w:sz w:val="22"/>
                <w:szCs w:val="22"/>
              </w:rPr>
            </w:pPr>
            <w:r w:rsidRPr="00CD7572">
              <w:rPr>
                <w:sz w:val="22"/>
                <w:szCs w:val="22"/>
              </w:rPr>
              <w:t xml:space="preserve">There is a risk </w:t>
            </w:r>
            <w:r w:rsidRPr="00CD7572">
              <w:rPr>
                <w:sz w:val="22"/>
                <w:szCs w:val="22"/>
              </w:rPr>
              <w:t>that these investments might be under or overstated in the accounts.</w:t>
            </w:r>
          </w:p>
        </w:tc>
      </w:tr>
      <w:tr w:rsidR="006A2C17" w:rsidTr="00E245D6">
        <w:trPr>
          <w:trHeight w:val="1431"/>
        </w:trPr>
        <w:tc>
          <w:tcPr>
            <w:tcW w:w="1662" w:type="dxa"/>
            <w:shd w:val="clear" w:color="auto" w:fill="E2EFD9" w:themeFill="accent6" w:themeFillTint="33"/>
          </w:tcPr>
          <w:p w:rsidR="00CD7572" w:rsidRPr="00CD7572" w:rsidRDefault="0062660D" w:rsidP="00CD7572">
            <w:pPr>
              <w:jc w:val="left"/>
              <w:rPr>
                <w:sz w:val="22"/>
                <w:szCs w:val="22"/>
              </w:rPr>
            </w:pPr>
            <w:r w:rsidRPr="00CD7572">
              <w:rPr>
                <w:sz w:val="22"/>
                <w:szCs w:val="22"/>
              </w:rPr>
              <w:t>Bonds secured on affordable housing assets.</w:t>
            </w:r>
          </w:p>
          <w:p w:rsidR="00CD7572" w:rsidRPr="00CD7572" w:rsidRDefault="0062660D" w:rsidP="00CD7572">
            <w:pPr>
              <w:jc w:val="left"/>
              <w:rPr>
                <w:sz w:val="22"/>
                <w:szCs w:val="22"/>
              </w:rPr>
            </w:pPr>
            <w:r w:rsidRPr="00CD7572">
              <w:rPr>
                <w:sz w:val="22"/>
                <w:szCs w:val="22"/>
              </w:rPr>
              <w:t xml:space="preserve"> </w:t>
            </w:r>
          </w:p>
        </w:tc>
        <w:tc>
          <w:tcPr>
            <w:tcW w:w="0" w:type="auto"/>
            <w:shd w:val="clear" w:color="auto" w:fill="E2EFD9" w:themeFill="accent6" w:themeFillTint="33"/>
          </w:tcPr>
          <w:p w:rsidR="00CD7572" w:rsidRPr="00CD7572" w:rsidRDefault="0062660D" w:rsidP="00CD7572">
            <w:pPr>
              <w:jc w:val="left"/>
              <w:rPr>
                <w:sz w:val="22"/>
                <w:szCs w:val="22"/>
              </w:rPr>
            </w:pPr>
            <w:r w:rsidRPr="00CD7572">
              <w:rPr>
                <w:sz w:val="22"/>
                <w:szCs w:val="22"/>
              </w:rPr>
              <w:t>The bonds are held at the best estimate of market value.  The value is based on long term expectations of interest rates, inflation and credit spreads in the housing association sector. Exact market benchmarks for these estimates may not be easily observab</w:t>
            </w:r>
            <w:r w:rsidRPr="00CD7572">
              <w:rPr>
                <w:sz w:val="22"/>
                <w:szCs w:val="22"/>
              </w:rPr>
              <w:t xml:space="preserve">le.  </w:t>
            </w:r>
          </w:p>
        </w:tc>
        <w:tc>
          <w:tcPr>
            <w:tcW w:w="0" w:type="auto"/>
            <w:shd w:val="clear" w:color="auto" w:fill="E2EFD9" w:themeFill="accent6" w:themeFillTint="33"/>
          </w:tcPr>
          <w:p w:rsidR="00CD7572" w:rsidRPr="00CD7572" w:rsidRDefault="0062660D" w:rsidP="00CD7572">
            <w:pPr>
              <w:jc w:val="left"/>
              <w:rPr>
                <w:sz w:val="22"/>
                <w:szCs w:val="22"/>
              </w:rPr>
            </w:pPr>
            <w:r w:rsidRPr="00CD7572">
              <w:rPr>
                <w:sz w:val="22"/>
                <w:szCs w:val="22"/>
              </w:rPr>
              <w:t>The market value of housing authority bonds totals £83.6m in the financial statements.</w:t>
            </w:r>
          </w:p>
          <w:p w:rsidR="00CD7572" w:rsidRPr="00CD7572" w:rsidRDefault="0062660D" w:rsidP="00CD7572">
            <w:pPr>
              <w:jc w:val="left"/>
              <w:rPr>
                <w:sz w:val="22"/>
                <w:szCs w:val="22"/>
              </w:rPr>
            </w:pPr>
            <w:r w:rsidRPr="00CD7572">
              <w:rPr>
                <w:sz w:val="22"/>
                <w:szCs w:val="22"/>
              </w:rPr>
              <w:t>There is a risk that this may be under or overstated.</w:t>
            </w:r>
          </w:p>
          <w:p w:rsidR="00CD7572" w:rsidRPr="00CD7572" w:rsidRDefault="0062660D" w:rsidP="00CD7572">
            <w:pPr>
              <w:jc w:val="left"/>
              <w:rPr>
                <w:sz w:val="22"/>
                <w:szCs w:val="22"/>
                <w:highlight w:val="yellow"/>
              </w:rPr>
            </w:pPr>
          </w:p>
        </w:tc>
      </w:tr>
      <w:tr w:rsidR="006A2C17" w:rsidTr="00E245D6">
        <w:trPr>
          <w:trHeight w:val="2088"/>
        </w:trPr>
        <w:tc>
          <w:tcPr>
            <w:tcW w:w="1662" w:type="dxa"/>
            <w:shd w:val="clear" w:color="auto" w:fill="E2EFD9" w:themeFill="accent6" w:themeFillTint="33"/>
          </w:tcPr>
          <w:p w:rsidR="00CD7572" w:rsidRPr="00CD7572" w:rsidRDefault="0062660D" w:rsidP="00CD7572">
            <w:pPr>
              <w:jc w:val="left"/>
              <w:rPr>
                <w:sz w:val="22"/>
                <w:szCs w:val="22"/>
                <w:highlight w:val="yellow"/>
              </w:rPr>
            </w:pPr>
            <w:r w:rsidRPr="00CD7572">
              <w:rPr>
                <w:sz w:val="22"/>
                <w:szCs w:val="22"/>
              </w:rPr>
              <w:t>Indirect property valuations.</w:t>
            </w:r>
          </w:p>
        </w:tc>
        <w:tc>
          <w:tcPr>
            <w:tcW w:w="0" w:type="auto"/>
            <w:shd w:val="clear" w:color="auto" w:fill="E2EFD9" w:themeFill="accent6" w:themeFillTint="33"/>
          </w:tcPr>
          <w:p w:rsidR="00CD7572" w:rsidRPr="00CD7572" w:rsidRDefault="0062660D" w:rsidP="00CD7572">
            <w:pPr>
              <w:jc w:val="left"/>
              <w:rPr>
                <w:sz w:val="22"/>
                <w:szCs w:val="22"/>
                <w:highlight w:val="yellow"/>
              </w:rPr>
            </w:pPr>
            <w:r w:rsidRPr="00CD7572">
              <w:rPr>
                <w:sz w:val="22"/>
                <w:szCs w:val="22"/>
              </w:rPr>
              <w:t>Indirect properties are valued at the current open market value as defined by</w:t>
            </w:r>
            <w:r w:rsidRPr="00CD7572">
              <w:rPr>
                <w:sz w:val="22"/>
                <w:szCs w:val="22"/>
              </w:rPr>
              <w:t xml:space="preserve"> the RICS Appraisal and Valuation Standards. These investments are not publicly listed and as such there is a degree of estimation involved in the valuation.</w:t>
            </w:r>
          </w:p>
        </w:tc>
        <w:tc>
          <w:tcPr>
            <w:tcW w:w="0" w:type="auto"/>
            <w:shd w:val="clear" w:color="auto" w:fill="E2EFD9" w:themeFill="accent6" w:themeFillTint="33"/>
          </w:tcPr>
          <w:p w:rsidR="00CD7572" w:rsidRPr="00CD7572" w:rsidRDefault="0062660D" w:rsidP="00CD7572">
            <w:pPr>
              <w:jc w:val="left"/>
              <w:rPr>
                <w:sz w:val="22"/>
                <w:szCs w:val="22"/>
              </w:rPr>
            </w:pPr>
            <w:r w:rsidRPr="00CD7572">
              <w:rPr>
                <w:sz w:val="22"/>
                <w:szCs w:val="22"/>
              </w:rPr>
              <w:t xml:space="preserve">Indirect property investments in the financial statements total £80.5m.  </w:t>
            </w:r>
          </w:p>
          <w:p w:rsidR="00CD7572" w:rsidRPr="00CD7572" w:rsidRDefault="0062660D" w:rsidP="00CD7572">
            <w:pPr>
              <w:jc w:val="left"/>
              <w:rPr>
                <w:sz w:val="22"/>
                <w:szCs w:val="22"/>
              </w:rPr>
            </w:pPr>
            <w:r w:rsidRPr="00CD7572">
              <w:rPr>
                <w:sz w:val="22"/>
                <w:szCs w:val="22"/>
              </w:rPr>
              <w:t>There is a risk that the</w:t>
            </w:r>
            <w:r w:rsidRPr="00CD7572">
              <w:rPr>
                <w:sz w:val="22"/>
                <w:szCs w:val="22"/>
              </w:rPr>
              <w:t>se investments may be under or overstated in the accounts.</w:t>
            </w:r>
          </w:p>
        </w:tc>
      </w:tr>
      <w:tr w:rsidR="006A2C17" w:rsidTr="00E245D6">
        <w:trPr>
          <w:trHeight w:val="3074"/>
        </w:trPr>
        <w:tc>
          <w:tcPr>
            <w:tcW w:w="1662" w:type="dxa"/>
            <w:shd w:val="clear" w:color="auto" w:fill="E2EFD9" w:themeFill="accent6" w:themeFillTint="33"/>
          </w:tcPr>
          <w:p w:rsidR="00CD7572" w:rsidRPr="00CD7572" w:rsidRDefault="0062660D" w:rsidP="00CD7572">
            <w:pPr>
              <w:jc w:val="left"/>
              <w:rPr>
                <w:rFonts w:cs="Arial"/>
                <w:sz w:val="22"/>
                <w:szCs w:val="22"/>
              </w:rPr>
            </w:pPr>
            <w:r w:rsidRPr="00CD7572">
              <w:rPr>
                <w:rFonts w:cs="Arial"/>
                <w:sz w:val="22"/>
                <w:szCs w:val="22"/>
              </w:rPr>
              <w:t>Actuarial present value of retirement benefits</w:t>
            </w:r>
          </w:p>
        </w:tc>
        <w:tc>
          <w:tcPr>
            <w:tcW w:w="0" w:type="auto"/>
            <w:shd w:val="clear" w:color="auto" w:fill="E2EFD9" w:themeFill="accent6" w:themeFillTint="33"/>
          </w:tcPr>
          <w:tbl>
            <w:tblPr>
              <w:tblW w:w="0" w:type="auto"/>
              <w:tblBorders>
                <w:top w:val="nil"/>
                <w:left w:val="nil"/>
                <w:bottom w:val="nil"/>
                <w:right w:val="nil"/>
              </w:tblBorders>
              <w:tblLook w:val="0000" w:firstRow="0" w:lastRow="0" w:firstColumn="0" w:lastColumn="0" w:noHBand="0" w:noVBand="0"/>
            </w:tblPr>
            <w:tblGrid>
              <w:gridCol w:w="3862"/>
            </w:tblGrid>
            <w:tr w:rsidR="006A2C17" w:rsidTr="00E245D6">
              <w:trPr>
                <w:trHeight w:val="3077"/>
              </w:trPr>
              <w:tc>
                <w:tcPr>
                  <w:tcW w:w="0" w:type="auto"/>
                </w:tcPr>
                <w:p w:rsidR="00CD7572" w:rsidRPr="00CD7572" w:rsidRDefault="0062660D" w:rsidP="00CD7572">
                  <w:pPr>
                    <w:ind w:left="-35"/>
                    <w:jc w:val="left"/>
                    <w:rPr>
                      <w:rFonts w:cs="Arial"/>
                      <w:sz w:val="22"/>
                      <w:szCs w:val="22"/>
                    </w:rPr>
                  </w:pPr>
                  <w:r w:rsidRPr="00CD7572">
                    <w:rPr>
                      <w:rFonts w:cs="Arial"/>
                      <w:sz w:val="22"/>
                      <w:szCs w:val="22"/>
                    </w:rPr>
                    <w:t xml:space="preserve">Estimation of the net liability to pay pensions depends on a number of complex judgements relating to the discount rate used, the rate at which </w:t>
                  </w:r>
                  <w:r w:rsidRPr="00CD7572">
                    <w:rPr>
                      <w:rFonts w:cs="Arial"/>
                      <w:sz w:val="22"/>
                      <w:szCs w:val="22"/>
                    </w:rPr>
                    <w:t>salaries are projected to increase, changes in retirement ages, mortality rates and expected returns on pension fund assets. A firm of consulting actuaries (Mercers) is engaged to provide the authority with expert advice about the assumptions to be applied</w:t>
                  </w:r>
                  <w:r w:rsidRPr="00CD7572">
                    <w:rPr>
                      <w:rFonts w:cs="Arial"/>
                      <w:sz w:val="22"/>
                      <w:szCs w:val="22"/>
                    </w:rPr>
                    <w:t>.</w:t>
                  </w:r>
                </w:p>
              </w:tc>
            </w:tr>
          </w:tbl>
          <w:p w:rsidR="00CD7572" w:rsidRPr="00CD7572" w:rsidRDefault="0062660D" w:rsidP="00CD7572">
            <w:pPr>
              <w:jc w:val="left"/>
              <w:rPr>
                <w:sz w:val="22"/>
                <w:szCs w:val="22"/>
              </w:rPr>
            </w:pPr>
          </w:p>
        </w:tc>
        <w:tc>
          <w:tcPr>
            <w:tcW w:w="0" w:type="auto"/>
            <w:shd w:val="clear" w:color="auto" w:fill="E2EFD9" w:themeFill="accent6" w:themeFillTint="33"/>
          </w:tcPr>
          <w:p w:rsidR="00CD7572" w:rsidRPr="00CD7572" w:rsidRDefault="0062660D" w:rsidP="00CD7572">
            <w:pPr>
              <w:jc w:val="left"/>
              <w:rPr>
                <w:rFonts w:cs="Arial"/>
                <w:sz w:val="22"/>
                <w:szCs w:val="22"/>
              </w:rPr>
            </w:pPr>
            <w:r w:rsidRPr="00CD7572">
              <w:rPr>
                <w:rFonts w:cs="Arial"/>
                <w:sz w:val="22"/>
                <w:szCs w:val="22"/>
              </w:rPr>
              <w:t>The effects on the net pension liability of changes in individual assumptions can be measured. For instance, a 0.25% reduction in the discount rate assumption would increase the value of the liabilities by approximately £380m.  A 0.5% increase in assum</w:t>
            </w:r>
            <w:r w:rsidRPr="00CD7572">
              <w:rPr>
                <w:rFonts w:cs="Arial"/>
                <w:sz w:val="22"/>
                <w:szCs w:val="22"/>
              </w:rPr>
              <w:t>ed earnings inflation would increase the value of the liabilities by approximately £200m and a 1 year increase in assumed life expectancy would increase the liabilities by approximately £165m.</w:t>
            </w:r>
          </w:p>
        </w:tc>
      </w:tr>
    </w:tbl>
    <w:p w:rsidR="00CD7572" w:rsidRPr="00CD7572" w:rsidRDefault="0062660D" w:rsidP="00CD7572">
      <w:pPr>
        <w:jc w:val="left"/>
        <w:rPr>
          <w:lang w:eastAsia="en-GB"/>
        </w:rPr>
      </w:pPr>
    </w:p>
    <w:p w:rsidR="00CD7572" w:rsidRPr="00CD7572" w:rsidRDefault="0062660D" w:rsidP="00CD7572">
      <w:pPr>
        <w:jc w:val="left"/>
        <w:rPr>
          <w:lang w:eastAsia="en-GB"/>
        </w:rPr>
      </w:pPr>
    </w:p>
    <w:p w:rsidR="00CD7572" w:rsidRPr="00CD7572" w:rsidRDefault="0062660D" w:rsidP="00CD7572">
      <w:pPr>
        <w:jc w:val="left"/>
        <w:rPr>
          <w:lang w:eastAsia="en-GB"/>
        </w:rPr>
      </w:pPr>
    </w:p>
    <w:p w:rsidR="00CD7572" w:rsidRPr="00CD7572" w:rsidRDefault="0062660D" w:rsidP="00CD7572">
      <w:pPr>
        <w:numPr>
          <w:ilvl w:val="0"/>
          <w:numId w:val="8"/>
        </w:numPr>
        <w:tabs>
          <w:tab w:val="num" w:pos="567"/>
        </w:tabs>
        <w:autoSpaceDE/>
        <w:autoSpaceDN/>
        <w:adjustRightInd/>
        <w:spacing w:after="0"/>
        <w:ind w:left="567" w:hanging="567"/>
        <w:jc w:val="left"/>
        <w:rPr>
          <w:b/>
          <w:sz w:val="32"/>
          <w:szCs w:val="32"/>
        </w:rPr>
      </w:pPr>
      <w:r w:rsidRPr="00CD7572">
        <w:rPr>
          <w:b/>
          <w:sz w:val="32"/>
          <w:szCs w:val="32"/>
        </w:rPr>
        <w:t>Contributions receivable</w:t>
      </w:r>
    </w:p>
    <w:p w:rsidR="00CD7572" w:rsidRPr="00CD7572" w:rsidRDefault="0062660D" w:rsidP="00CD7572">
      <w:pPr>
        <w:ind w:left="567"/>
        <w:jc w:val="left"/>
        <w:rPr>
          <w:rFonts w:cs="Arial"/>
          <w:b/>
        </w:rPr>
      </w:pPr>
    </w:p>
    <w:tbl>
      <w:tblPr>
        <w:tblStyle w:val="TableGrid1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6A2C17" w:rsidTr="00E245D6">
        <w:tc>
          <w:tcPr>
            <w:tcW w:w="5058" w:type="dxa"/>
          </w:tcPr>
          <w:p w:rsidR="00CD7572" w:rsidRPr="00CD7572" w:rsidRDefault="0062660D" w:rsidP="00CD7572">
            <w:pPr>
              <w:spacing w:after="0"/>
              <w:ind w:left="-119"/>
              <w:jc w:val="left"/>
              <w:rPr>
                <w:rFonts w:ascii="Arial" w:hAnsi="Arial" w:cs="Arial"/>
                <w:b/>
              </w:rPr>
            </w:pPr>
            <w:r w:rsidRPr="00CD7572">
              <w:rPr>
                <w:rFonts w:ascii="Arial" w:hAnsi="Arial" w:cs="Arial"/>
                <w:b/>
              </w:rPr>
              <w:t>By category</w:t>
            </w:r>
          </w:p>
        </w:tc>
        <w:tc>
          <w:tcPr>
            <w:tcW w:w="1559" w:type="dxa"/>
          </w:tcPr>
          <w:p w:rsidR="00CD7572" w:rsidRPr="00CD7572" w:rsidRDefault="0062660D" w:rsidP="00CD7572">
            <w:pPr>
              <w:spacing w:after="0"/>
              <w:jc w:val="right"/>
              <w:rPr>
                <w:rFonts w:ascii="Arial" w:hAnsi="Arial" w:cs="Arial"/>
                <w:b/>
              </w:rPr>
            </w:pPr>
            <w:r w:rsidRPr="00CD7572">
              <w:rPr>
                <w:rFonts w:ascii="Arial" w:hAnsi="Arial" w:cs="Arial"/>
                <w:b/>
              </w:rPr>
              <w:t>2015/16</w:t>
            </w:r>
          </w:p>
          <w:p w:rsidR="00CD7572" w:rsidRPr="00CD7572" w:rsidRDefault="0062660D" w:rsidP="00CD7572">
            <w:pPr>
              <w:spacing w:after="0"/>
              <w:jc w:val="right"/>
              <w:rPr>
                <w:rFonts w:ascii="Arial" w:hAnsi="Arial" w:cs="Arial"/>
                <w:b/>
              </w:rPr>
            </w:pPr>
            <w:r w:rsidRPr="00CD7572">
              <w:rPr>
                <w:rFonts w:ascii="Arial" w:hAnsi="Arial" w:cs="Arial"/>
                <w:b/>
              </w:rPr>
              <w:t>£m</w:t>
            </w:r>
          </w:p>
        </w:tc>
        <w:tc>
          <w:tcPr>
            <w:tcW w:w="430" w:type="dxa"/>
            <w:tcBorders>
              <w:right w:val="single" w:sz="4" w:space="0" w:color="FFFFFF" w:themeColor="background1"/>
            </w:tcBorders>
          </w:tcPr>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p>
        </w:tc>
        <w:tc>
          <w:tcPr>
            <w:tcW w:w="1696" w:type="dxa"/>
            <w:tcBorders>
              <w:left w:val="single" w:sz="4" w:space="0" w:color="FFFFFF" w:themeColor="background1"/>
            </w:tcBorders>
          </w:tcPr>
          <w:p w:rsidR="00CD7572" w:rsidRPr="00CD7572" w:rsidRDefault="0062660D" w:rsidP="00CD7572">
            <w:pPr>
              <w:spacing w:after="0"/>
              <w:jc w:val="right"/>
              <w:rPr>
                <w:rFonts w:ascii="Arial" w:hAnsi="Arial" w:cs="Arial"/>
                <w:b/>
              </w:rPr>
            </w:pPr>
            <w:r w:rsidRPr="00CD7572">
              <w:rPr>
                <w:rFonts w:ascii="Arial" w:hAnsi="Arial" w:cs="Arial"/>
                <w:b/>
              </w:rPr>
              <w:t>2014/15</w:t>
            </w:r>
          </w:p>
          <w:p w:rsidR="00CD7572" w:rsidRPr="00CD7572" w:rsidRDefault="0062660D" w:rsidP="00CD7572">
            <w:pPr>
              <w:spacing w:after="0"/>
              <w:jc w:val="right"/>
              <w:rPr>
                <w:rFonts w:ascii="Arial" w:hAnsi="Arial" w:cs="Arial"/>
                <w:b/>
              </w:rPr>
            </w:pPr>
            <w:r w:rsidRPr="00CD7572">
              <w:rPr>
                <w:rFonts w:ascii="Arial" w:hAnsi="Arial" w:cs="Arial"/>
                <w:b/>
              </w:rPr>
              <w:t>£m</w:t>
            </w:r>
          </w:p>
        </w:tc>
      </w:tr>
      <w:tr w:rsidR="006A2C17" w:rsidTr="00E245D6">
        <w:tc>
          <w:tcPr>
            <w:tcW w:w="5058" w:type="dxa"/>
          </w:tcPr>
          <w:p w:rsidR="00CD7572" w:rsidRPr="00CD7572" w:rsidRDefault="0062660D" w:rsidP="00CD7572">
            <w:pPr>
              <w:ind w:left="-119"/>
              <w:jc w:val="left"/>
              <w:rPr>
                <w:rFonts w:ascii="Arial" w:hAnsi="Arial" w:cs="Arial"/>
              </w:rPr>
            </w:pPr>
            <w:r w:rsidRPr="00CD7572">
              <w:rPr>
                <w:rFonts w:ascii="Arial" w:hAnsi="Arial" w:cs="Arial"/>
              </w:rPr>
              <w:t xml:space="preserve">Employers </w:t>
            </w:r>
          </w:p>
        </w:tc>
        <w:tc>
          <w:tcPr>
            <w:tcW w:w="1559" w:type="dxa"/>
          </w:tcPr>
          <w:p w:rsidR="00CD7572" w:rsidRPr="00CD7572" w:rsidRDefault="0062660D" w:rsidP="00CD7572">
            <w:pPr>
              <w:jc w:val="right"/>
              <w:rPr>
                <w:rFonts w:ascii="Arial" w:hAnsi="Arial" w:cs="Arial"/>
              </w:rPr>
            </w:pPr>
            <w:r w:rsidRPr="00CD7572">
              <w:rPr>
                <w:rFonts w:ascii="Arial" w:hAnsi="Arial" w:cs="Arial"/>
              </w:rPr>
              <w:t>183.7</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tcBorders>
          </w:tcPr>
          <w:p w:rsidR="00CD7572" w:rsidRPr="00CD7572" w:rsidRDefault="0062660D" w:rsidP="00CD7572">
            <w:pPr>
              <w:jc w:val="right"/>
              <w:rPr>
                <w:rFonts w:ascii="Arial" w:hAnsi="Arial" w:cs="Arial"/>
              </w:rPr>
            </w:pPr>
            <w:r w:rsidRPr="00CD7572">
              <w:rPr>
                <w:rFonts w:ascii="Arial" w:hAnsi="Arial" w:cs="Arial"/>
              </w:rPr>
              <w:t>183.2</w:t>
            </w:r>
          </w:p>
        </w:tc>
      </w:tr>
      <w:tr w:rsidR="006A2C17" w:rsidTr="00E245D6">
        <w:tc>
          <w:tcPr>
            <w:tcW w:w="5058" w:type="dxa"/>
          </w:tcPr>
          <w:p w:rsidR="00CD7572" w:rsidRPr="00CD7572" w:rsidRDefault="0062660D" w:rsidP="00CD7572">
            <w:pPr>
              <w:ind w:left="-119"/>
              <w:jc w:val="left"/>
              <w:rPr>
                <w:rFonts w:ascii="Arial" w:hAnsi="Arial" w:cs="Arial"/>
              </w:rPr>
            </w:pPr>
            <w:r w:rsidRPr="00CD7572">
              <w:rPr>
                <w:rFonts w:ascii="Arial" w:hAnsi="Arial" w:cs="Arial"/>
              </w:rPr>
              <w:t>Members</w:t>
            </w:r>
          </w:p>
        </w:tc>
        <w:tc>
          <w:tcPr>
            <w:tcW w:w="1559" w:type="dxa"/>
            <w:tcBorders>
              <w:bottom w:val="single" w:sz="12" w:space="0" w:color="auto"/>
            </w:tcBorders>
          </w:tcPr>
          <w:p w:rsidR="00CD7572" w:rsidRPr="00CD7572" w:rsidRDefault="0062660D" w:rsidP="00CD7572">
            <w:pPr>
              <w:jc w:val="right"/>
              <w:rPr>
                <w:rFonts w:ascii="Arial" w:hAnsi="Arial" w:cs="Arial"/>
              </w:rPr>
            </w:pPr>
            <w:r w:rsidRPr="00CD7572">
              <w:rPr>
                <w:rFonts w:ascii="Arial" w:hAnsi="Arial" w:cs="Arial"/>
              </w:rPr>
              <w:t>54.9</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bottom w:val="single" w:sz="12" w:space="0" w:color="auto"/>
            </w:tcBorders>
          </w:tcPr>
          <w:p w:rsidR="00CD7572" w:rsidRPr="00CD7572" w:rsidRDefault="0062660D" w:rsidP="00CD7572">
            <w:pPr>
              <w:jc w:val="right"/>
              <w:rPr>
                <w:rFonts w:ascii="Arial" w:hAnsi="Arial" w:cs="Arial"/>
              </w:rPr>
            </w:pPr>
            <w:r w:rsidRPr="00CD7572">
              <w:rPr>
                <w:rFonts w:ascii="Arial" w:hAnsi="Arial" w:cs="Arial"/>
              </w:rPr>
              <w:t>54.8</w:t>
            </w:r>
          </w:p>
        </w:tc>
      </w:tr>
      <w:tr w:rsidR="006A2C17" w:rsidTr="00E245D6">
        <w:tc>
          <w:tcPr>
            <w:tcW w:w="5058" w:type="dxa"/>
          </w:tcPr>
          <w:p w:rsidR="00CD7572" w:rsidRPr="00CD7572" w:rsidRDefault="0062660D" w:rsidP="00CD7572">
            <w:pPr>
              <w:ind w:left="-119"/>
              <w:jc w:val="left"/>
              <w:rPr>
                <w:rFonts w:ascii="Arial" w:hAnsi="Arial" w:cs="Arial"/>
              </w:rPr>
            </w:pPr>
          </w:p>
        </w:tc>
        <w:tc>
          <w:tcPr>
            <w:tcW w:w="1559" w:type="dxa"/>
            <w:tcBorders>
              <w:top w:val="single" w:sz="12" w:space="0" w:color="auto"/>
              <w:bottom w:val="single" w:sz="12" w:space="0" w:color="auto"/>
            </w:tcBorders>
          </w:tcPr>
          <w:p w:rsidR="00CD7572" w:rsidRPr="00CD7572" w:rsidRDefault="0062660D" w:rsidP="00CD7572">
            <w:pPr>
              <w:jc w:val="right"/>
              <w:rPr>
                <w:rFonts w:ascii="Arial" w:hAnsi="Arial" w:cs="Arial"/>
              </w:rPr>
            </w:pPr>
            <w:r w:rsidRPr="00CD7572">
              <w:rPr>
                <w:rFonts w:ascii="Arial" w:hAnsi="Arial" w:cs="Arial"/>
              </w:rPr>
              <w:t>238.6</w:t>
            </w:r>
          </w:p>
        </w:tc>
        <w:tc>
          <w:tcPr>
            <w:tcW w:w="430" w:type="dxa"/>
          </w:tcPr>
          <w:p w:rsidR="00CD7572" w:rsidRPr="00CD7572" w:rsidRDefault="0062660D" w:rsidP="00CD7572">
            <w:pPr>
              <w:jc w:val="right"/>
              <w:rPr>
                <w:rFonts w:ascii="Arial" w:hAnsi="Arial" w:cs="Arial"/>
              </w:rPr>
            </w:pPr>
          </w:p>
        </w:tc>
        <w:tc>
          <w:tcPr>
            <w:tcW w:w="1696" w:type="dxa"/>
            <w:tcBorders>
              <w:top w:val="single" w:sz="12" w:space="0" w:color="auto"/>
              <w:bottom w:val="single" w:sz="12" w:space="0" w:color="auto"/>
            </w:tcBorders>
          </w:tcPr>
          <w:p w:rsidR="00CD7572" w:rsidRPr="00CD7572" w:rsidRDefault="0062660D" w:rsidP="00CD7572">
            <w:pPr>
              <w:jc w:val="right"/>
              <w:rPr>
                <w:rFonts w:ascii="Arial" w:hAnsi="Arial" w:cs="Arial"/>
              </w:rPr>
            </w:pPr>
            <w:r w:rsidRPr="00CD7572">
              <w:rPr>
                <w:rFonts w:ascii="Arial" w:hAnsi="Arial" w:cs="Arial"/>
              </w:rPr>
              <w:t>238.0</w:t>
            </w:r>
          </w:p>
        </w:tc>
      </w:tr>
      <w:tr w:rsidR="006A2C17" w:rsidTr="00E245D6">
        <w:tc>
          <w:tcPr>
            <w:tcW w:w="5058" w:type="dxa"/>
          </w:tcPr>
          <w:p w:rsidR="00CD7572" w:rsidRPr="00CD7572" w:rsidRDefault="0062660D" w:rsidP="00CD7572">
            <w:pPr>
              <w:ind w:left="-119"/>
              <w:jc w:val="left"/>
              <w:rPr>
                <w:rFonts w:ascii="Arial" w:hAnsi="Arial" w:cs="Arial"/>
                <w:b/>
              </w:rPr>
            </w:pPr>
          </w:p>
          <w:p w:rsidR="00CD7572" w:rsidRPr="00CD7572" w:rsidRDefault="0062660D" w:rsidP="00CD7572">
            <w:pPr>
              <w:ind w:left="-119"/>
              <w:jc w:val="left"/>
              <w:rPr>
                <w:rFonts w:ascii="Arial" w:hAnsi="Arial" w:cs="Arial"/>
                <w:b/>
              </w:rPr>
            </w:pPr>
          </w:p>
          <w:p w:rsidR="00CD7572" w:rsidRPr="00CD7572" w:rsidRDefault="0062660D" w:rsidP="00CD7572">
            <w:pPr>
              <w:ind w:left="-119"/>
              <w:jc w:val="left"/>
              <w:rPr>
                <w:rFonts w:ascii="Arial" w:hAnsi="Arial" w:cs="Arial"/>
                <w:b/>
              </w:rPr>
            </w:pPr>
          </w:p>
        </w:tc>
        <w:tc>
          <w:tcPr>
            <w:tcW w:w="1559" w:type="dxa"/>
          </w:tcPr>
          <w:p w:rsidR="00CD7572" w:rsidRPr="00CD7572" w:rsidRDefault="0062660D" w:rsidP="00CD7572">
            <w:pPr>
              <w:jc w:val="right"/>
              <w:rPr>
                <w:rFonts w:ascii="Arial" w:hAnsi="Arial" w:cs="Arial"/>
                <w:b/>
              </w:rPr>
            </w:pPr>
          </w:p>
        </w:tc>
        <w:tc>
          <w:tcPr>
            <w:tcW w:w="430" w:type="dxa"/>
          </w:tcPr>
          <w:p w:rsidR="00CD7572" w:rsidRPr="00CD7572" w:rsidRDefault="0062660D" w:rsidP="00CD7572">
            <w:pPr>
              <w:jc w:val="right"/>
              <w:rPr>
                <w:rFonts w:ascii="Arial" w:hAnsi="Arial" w:cs="Arial"/>
                <w:b/>
              </w:rPr>
            </w:pPr>
          </w:p>
        </w:tc>
        <w:tc>
          <w:tcPr>
            <w:tcW w:w="1696" w:type="dxa"/>
          </w:tcPr>
          <w:p w:rsidR="00CD7572" w:rsidRPr="00CD7572" w:rsidRDefault="0062660D" w:rsidP="00CD7572">
            <w:pPr>
              <w:jc w:val="right"/>
              <w:rPr>
                <w:rFonts w:ascii="Arial" w:hAnsi="Arial" w:cs="Arial"/>
                <w:b/>
              </w:rPr>
            </w:pPr>
          </w:p>
        </w:tc>
      </w:tr>
      <w:tr w:rsidR="006A2C17" w:rsidTr="00E245D6">
        <w:tc>
          <w:tcPr>
            <w:tcW w:w="5058" w:type="dxa"/>
          </w:tcPr>
          <w:p w:rsidR="00CD7572" w:rsidRPr="00CD7572" w:rsidRDefault="0062660D" w:rsidP="00CD7572">
            <w:pPr>
              <w:spacing w:after="0"/>
              <w:ind w:left="-119"/>
              <w:jc w:val="left"/>
              <w:rPr>
                <w:rFonts w:ascii="Arial" w:hAnsi="Arial" w:cs="Arial"/>
                <w:b/>
              </w:rPr>
            </w:pPr>
          </w:p>
          <w:p w:rsidR="00CD7572" w:rsidRPr="00CD7572" w:rsidRDefault="0062660D" w:rsidP="00CD7572">
            <w:pPr>
              <w:spacing w:after="0"/>
              <w:ind w:left="-119"/>
              <w:jc w:val="left"/>
              <w:rPr>
                <w:rFonts w:ascii="Arial" w:hAnsi="Arial" w:cs="Arial"/>
                <w:b/>
              </w:rPr>
            </w:pPr>
            <w:r w:rsidRPr="00CD7572">
              <w:rPr>
                <w:rFonts w:ascii="Arial" w:hAnsi="Arial" w:cs="Arial"/>
                <w:b/>
              </w:rPr>
              <w:t>By authority</w:t>
            </w:r>
          </w:p>
        </w:tc>
        <w:tc>
          <w:tcPr>
            <w:tcW w:w="1559" w:type="dxa"/>
          </w:tcPr>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r w:rsidRPr="00CD7572">
              <w:rPr>
                <w:rFonts w:ascii="Arial" w:hAnsi="Arial" w:cs="Arial"/>
                <w:b/>
              </w:rPr>
              <w:t>2015/16</w:t>
            </w:r>
          </w:p>
          <w:p w:rsidR="00CD7572" w:rsidRPr="00CD7572" w:rsidRDefault="0062660D" w:rsidP="00CD7572">
            <w:pPr>
              <w:spacing w:after="0"/>
              <w:jc w:val="right"/>
              <w:rPr>
                <w:rFonts w:ascii="Arial" w:hAnsi="Arial" w:cs="Arial"/>
                <w:b/>
              </w:rPr>
            </w:pPr>
            <w:r w:rsidRPr="00CD7572">
              <w:rPr>
                <w:rFonts w:ascii="Arial" w:hAnsi="Arial" w:cs="Arial"/>
                <w:b/>
              </w:rPr>
              <w:t>£m</w:t>
            </w:r>
          </w:p>
        </w:tc>
        <w:tc>
          <w:tcPr>
            <w:tcW w:w="430" w:type="dxa"/>
          </w:tcPr>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p>
        </w:tc>
        <w:tc>
          <w:tcPr>
            <w:tcW w:w="1696" w:type="dxa"/>
          </w:tcPr>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r w:rsidRPr="00CD7572">
              <w:rPr>
                <w:rFonts w:ascii="Arial" w:hAnsi="Arial" w:cs="Arial"/>
                <w:b/>
              </w:rPr>
              <w:t>2014/15</w:t>
            </w:r>
          </w:p>
          <w:p w:rsidR="00CD7572" w:rsidRPr="00CD7572" w:rsidRDefault="0062660D" w:rsidP="00CD7572">
            <w:pPr>
              <w:spacing w:after="0"/>
              <w:jc w:val="right"/>
              <w:rPr>
                <w:rFonts w:ascii="Arial" w:hAnsi="Arial" w:cs="Arial"/>
                <w:b/>
              </w:rPr>
            </w:pPr>
            <w:r w:rsidRPr="00CD7572">
              <w:rPr>
                <w:rFonts w:ascii="Arial" w:hAnsi="Arial" w:cs="Arial"/>
                <w:b/>
              </w:rPr>
              <w:t>£m</w:t>
            </w:r>
          </w:p>
        </w:tc>
      </w:tr>
      <w:tr w:rsidR="006A2C17" w:rsidTr="00E245D6">
        <w:tc>
          <w:tcPr>
            <w:tcW w:w="5058" w:type="dxa"/>
          </w:tcPr>
          <w:p w:rsidR="00CD7572" w:rsidRPr="00CD7572" w:rsidRDefault="0062660D" w:rsidP="00CD7572">
            <w:pPr>
              <w:ind w:left="-119"/>
              <w:jc w:val="left"/>
              <w:rPr>
                <w:rFonts w:ascii="Arial" w:hAnsi="Arial" w:cs="Arial"/>
              </w:rPr>
            </w:pPr>
            <w:r w:rsidRPr="00CD7572">
              <w:rPr>
                <w:rFonts w:ascii="Arial" w:hAnsi="Arial" w:cs="Arial"/>
              </w:rPr>
              <w:t>County council</w:t>
            </w:r>
          </w:p>
        </w:tc>
        <w:tc>
          <w:tcPr>
            <w:tcW w:w="1559" w:type="dxa"/>
          </w:tcPr>
          <w:p w:rsidR="00CD7572" w:rsidRPr="00CD7572" w:rsidRDefault="0062660D" w:rsidP="00CD7572">
            <w:pPr>
              <w:jc w:val="right"/>
              <w:rPr>
                <w:rFonts w:ascii="Arial" w:hAnsi="Arial" w:cs="Arial"/>
              </w:rPr>
            </w:pPr>
            <w:r w:rsidRPr="00CD7572">
              <w:rPr>
                <w:rFonts w:ascii="Arial" w:hAnsi="Arial" w:cs="Arial"/>
              </w:rPr>
              <w:t>104.2</w:t>
            </w:r>
          </w:p>
        </w:tc>
        <w:tc>
          <w:tcPr>
            <w:tcW w:w="430" w:type="dxa"/>
          </w:tcPr>
          <w:p w:rsidR="00CD7572" w:rsidRPr="00CD7572" w:rsidRDefault="0062660D" w:rsidP="00CD7572">
            <w:pPr>
              <w:jc w:val="right"/>
              <w:rPr>
                <w:rFonts w:ascii="Arial" w:hAnsi="Arial" w:cs="Arial"/>
              </w:rPr>
            </w:pPr>
          </w:p>
        </w:tc>
        <w:tc>
          <w:tcPr>
            <w:tcW w:w="1696" w:type="dxa"/>
          </w:tcPr>
          <w:p w:rsidR="00CD7572" w:rsidRPr="00CD7572" w:rsidRDefault="0062660D" w:rsidP="00CD7572">
            <w:pPr>
              <w:jc w:val="right"/>
              <w:rPr>
                <w:rFonts w:ascii="Arial" w:hAnsi="Arial" w:cs="Arial"/>
              </w:rPr>
            </w:pPr>
            <w:r w:rsidRPr="00CD7572">
              <w:rPr>
                <w:rFonts w:ascii="Arial" w:hAnsi="Arial" w:cs="Arial"/>
              </w:rPr>
              <w:t>102.1</w:t>
            </w:r>
          </w:p>
        </w:tc>
      </w:tr>
      <w:tr w:rsidR="006A2C17" w:rsidTr="00E245D6">
        <w:tc>
          <w:tcPr>
            <w:tcW w:w="5058" w:type="dxa"/>
          </w:tcPr>
          <w:p w:rsidR="00CD7572" w:rsidRPr="00CD7572" w:rsidRDefault="0062660D" w:rsidP="00CD7572">
            <w:pPr>
              <w:ind w:left="-119"/>
              <w:jc w:val="left"/>
              <w:rPr>
                <w:rFonts w:ascii="Arial" w:hAnsi="Arial" w:cs="Arial"/>
              </w:rPr>
            </w:pPr>
            <w:r w:rsidRPr="00CD7572">
              <w:rPr>
                <w:rFonts w:ascii="Arial" w:hAnsi="Arial" w:cs="Arial"/>
              </w:rPr>
              <w:t>Scheduled bodies</w:t>
            </w:r>
          </w:p>
        </w:tc>
        <w:tc>
          <w:tcPr>
            <w:tcW w:w="1559" w:type="dxa"/>
          </w:tcPr>
          <w:p w:rsidR="00CD7572" w:rsidRPr="00CD7572" w:rsidRDefault="0062660D" w:rsidP="00CD7572">
            <w:pPr>
              <w:jc w:val="right"/>
              <w:rPr>
                <w:rFonts w:ascii="Arial" w:hAnsi="Arial" w:cs="Arial"/>
              </w:rPr>
            </w:pPr>
            <w:r w:rsidRPr="00CD7572">
              <w:rPr>
                <w:rFonts w:ascii="Arial" w:hAnsi="Arial" w:cs="Arial"/>
              </w:rPr>
              <w:t>113.2</w:t>
            </w:r>
          </w:p>
        </w:tc>
        <w:tc>
          <w:tcPr>
            <w:tcW w:w="430" w:type="dxa"/>
          </w:tcPr>
          <w:p w:rsidR="00CD7572" w:rsidRPr="00CD7572" w:rsidRDefault="0062660D" w:rsidP="00CD7572">
            <w:pPr>
              <w:jc w:val="right"/>
              <w:rPr>
                <w:rFonts w:ascii="Arial" w:hAnsi="Arial" w:cs="Arial"/>
              </w:rPr>
            </w:pPr>
          </w:p>
        </w:tc>
        <w:tc>
          <w:tcPr>
            <w:tcW w:w="1696" w:type="dxa"/>
          </w:tcPr>
          <w:p w:rsidR="00CD7572" w:rsidRPr="00CD7572" w:rsidRDefault="0062660D" w:rsidP="00CD7572">
            <w:pPr>
              <w:jc w:val="right"/>
              <w:rPr>
                <w:rFonts w:ascii="Arial" w:hAnsi="Arial" w:cs="Arial"/>
              </w:rPr>
            </w:pPr>
            <w:r w:rsidRPr="00CD7572">
              <w:rPr>
                <w:rFonts w:ascii="Arial" w:hAnsi="Arial" w:cs="Arial"/>
              </w:rPr>
              <w:t>115.4</w:t>
            </w:r>
          </w:p>
        </w:tc>
      </w:tr>
      <w:tr w:rsidR="006A2C17" w:rsidTr="00E245D6">
        <w:tc>
          <w:tcPr>
            <w:tcW w:w="5058" w:type="dxa"/>
          </w:tcPr>
          <w:p w:rsidR="00CD7572" w:rsidRPr="00CD7572" w:rsidRDefault="0062660D" w:rsidP="00CD7572">
            <w:pPr>
              <w:ind w:left="-119"/>
              <w:jc w:val="left"/>
              <w:rPr>
                <w:rFonts w:ascii="Arial" w:hAnsi="Arial" w:cs="Arial"/>
              </w:rPr>
            </w:pPr>
            <w:r w:rsidRPr="00CD7572">
              <w:rPr>
                <w:rFonts w:ascii="Arial" w:hAnsi="Arial" w:cs="Arial"/>
              </w:rPr>
              <w:t>Admitted bodies</w:t>
            </w:r>
          </w:p>
        </w:tc>
        <w:tc>
          <w:tcPr>
            <w:tcW w:w="1559" w:type="dxa"/>
            <w:tcBorders>
              <w:bottom w:val="single" w:sz="12" w:space="0" w:color="auto"/>
            </w:tcBorders>
          </w:tcPr>
          <w:p w:rsidR="00CD7572" w:rsidRPr="00CD7572" w:rsidRDefault="0062660D" w:rsidP="00CD7572">
            <w:pPr>
              <w:jc w:val="right"/>
              <w:rPr>
                <w:rFonts w:ascii="Arial" w:hAnsi="Arial" w:cs="Arial"/>
              </w:rPr>
            </w:pPr>
            <w:r w:rsidRPr="00CD7572">
              <w:rPr>
                <w:rFonts w:ascii="Arial" w:hAnsi="Arial" w:cs="Arial"/>
              </w:rPr>
              <w:t>21.2</w:t>
            </w:r>
          </w:p>
        </w:tc>
        <w:tc>
          <w:tcPr>
            <w:tcW w:w="430" w:type="dxa"/>
          </w:tcPr>
          <w:p w:rsidR="00CD7572" w:rsidRPr="00CD7572" w:rsidRDefault="0062660D" w:rsidP="00CD7572">
            <w:pPr>
              <w:jc w:val="right"/>
              <w:rPr>
                <w:rFonts w:ascii="Arial" w:hAnsi="Arial" w:cs="Arial"/>
              </w:rPr>
            </w:pPr>
          </w:p>
        </w:tc>
        <w:tc>
          <w:tcPr>
            <w:tcW w:w="1696" w:type="dxa"/>
            <w:tcBorders>
              <w:bottom w:val="single" w:sz="12" w:space="0" w:color="auto"/>
            </w:tcBorders>
          </w:tcPr>
          <w:p w:rsidR="00CD7572" w:rsidRPr="00CD7572" w:rsidRDefault="0062660D" w:rsidP="00CD7572">
            <w:pPr>
              <w:jc w:val="right"/>
              <w:rPr>
                <w:rFonts w:ascii="Arial" w:hAnsi="Arial" w:cs="Arial"/>
              </w:rPr>
            </w:pPr>
            <w:r w:rsidRPr="00CD7572">
              <w:rPr>
                <w:rFonts w:ascii="Arial" w:hAnsi="Arial" w:cs="Arial"/>
              </w:rPr>
              <w:t>20.5</w:t>
            </w:r>
          </w:p>
        </w:tc>
      </w:tr>
      <w:tr w:rsidR="006A2C17" w:rsidTr="00E245D6">
        <w:tc>
          <w:tcPr>
            <w:tcW w:w="5058" w:type="dxa"/>
          </w:tcPr>
          <w:p w:rsidR="00CD7572" w:rsidRPr="00CD7572" w:rsidRDefault="0062660D" w:rsidP="00CD7572">
            <w:pPr>
              <w:ind w:left="-119"/>
              <w:jc w:val="left"/>
              <w:rPr>
                <w:rFonts w:ascii="Arial" w:hAnsi="Arial" w:cs="Arial"/>
              </w:rPr>
            </w:pPr>
          </w:p>
        </w:tc>
        <w:tc>
          <w:tcPr>
            <w:tcW w:w="1559" w:type="dxa"/>
            <w:tcBorders>
              <w:bottom w:val="single" w:sz="12" w:space="0" w:color="auto"/>
            </w:tcBorders>
          </w:tcPr>
          <w:p w:rsidR="00CD7572" w:rsidRPr="00CD7572" w:rsidRDefault="0062660D" w:rsidP="00CD7572">
            <w:pPr>
              <w:jc w:val="right"/>
              <w:rPr>
                <w:rFonts w:ascii="Arial" w:hAnsi="Arial" w:cs="Arial"/>
              </w:rPr>
            </w:pPr>
            <w:r w:rsidRPr="00CD7572">
              <w:rPr>
                <w:rFonts w:ascii="Arial" w:hAnsi="Arial" w:cs="Arial"/>
              </w:rPr>
              <w:t>238.6</w:t>
            </w:r>
          </w:p>
        </w:tc>
        <w:tc>
          <w:tcPr>
            <w:tcW w:w="430" w:type="dxa"/>
          </w:tcPr>
          <w:p w:rsidR="00CD7572" w:rsidRPr="00CD7572" w:rsidRDefault="0062660D" w:rsidP="00CD7572">
            <w:pPr>
              <w:jc w:val="right"/>
              <w:rPr>
                <w:rFonts w:ascii="Arial" w:hAnsi="Arial" w:cs="Arial"/>
              </w:rPr>
            </w:pPr>
          </w:p>
        </w:tc>
        <w:tc>
          <w:tcPr>
            <w:tcW w:w="1696" w:type="dxa"/>
            <w:tcBorders>
              <w:bottom w:val="single" w:sz="12" w:space="0" w:color="auto"/>
            </w:tcBorders>
          </w:tcPr>
          <w:p w:rsidR="00CD7572" w:rsidRPr="00CD7572" w:rsidRDefault="0062660D" w:rsidP="00CD7572">
            <w:pPr>
              <w:jc w:val="right"/>
              <w:rPr>
                <w:rFonts w:ascii="Arial" w:hAnsi="Arial" w:cs="Arial"/>
              </w:rPr>
            </w:pPr>
            <w:r w:rsidRPr="00CD7572">
              <w:rPr>
                <w:rFonts w:ascii="Arial" w:hAnsi="Arial" w:cs="Arial"/>
              </w:rPr>
              <w:t>238.0</w:t>
            </w:r>
          </w:p>
        </w:tc>
      </w:tr>
      <w:tr w:rsidR="006A2C17" w:rsidTr="00E245D6">
        <w:tc>
          <w:tcPr>
            <w:tcW w:w="5058" w:type="dxa"/>
          </w:tcPr>
          <w:p w:rsidR="00CD7572" w:rsidRPr="00CD7572" w:rsidRDefault="0062660D" w:rsidP="00CD7572">
            <w:pPr>
              <w:ind w:left="-119"/>
              <w:jc w:val="left"/>
              <w:rPr>
                <w:rFonts w:ascii="Arial" w:hAnsi="Arial" w:cs="Arial"/>
                <w:b/>
              </w:rPr>
            </w:pPr>
          </w:p>
        </w:tc>
        <w:tc>
          <w:tcPr>
            <w:tcW w:w="1559" w:type="dxa"/>
          </w:tcPr>
          <w:p w:rsidR="00CD7572" w:rsidRPr="00CD7572" w:rsidRDefault="0062660D" w:rsidP="00CD7572">
            <w:pPr>
              <w:jc w:val="left"/>
              <w:rPr>
                <w:rFonts w:ascii="Arial" w:hAnsi="Arial" w:cs="Arial"/>
                <w:b/>
              </w:rPr>
            </w:pPr>
          </w:p>
        </w:tc>
        <w:tc>
          <w:tcPr>
            <w:tcW w:w="430" w:type="dxa"/>
          </w:tcPr>
          <w:p w:rsidR="00CD7572" w:rsidRPr="00CD7572" w:rsidRDefault="0062660D" w:rsidP="00CD7572">
            <w:pPr>
              <w:jc w:val="left"/>
              <w:rPr>
                <w:rFonts w:ascii="Arial" w:hAnsi="Arial" w:cs="Arial"/>
                <w:b/>
              </w:rPr>
            </w:pPr>
          </w:p>
        </w:tc>
        <w:tc>
          <w:tcPr>
            <w:tcW w:w="1696" w:type="dxa"/>
          </w:tcPr>
          <w:p w:rsidR="00CD7572" w:rsidRPr="00CD7572" w:rsidRDefault="0062660D" w:rsidP="00CD7572">
            <w:pPr>
              <w:jc w:val="left"/>
              <w:rPr>
                <w:rFonts w:ascii="Arial" w:hAnsi="Arial" w:cs="Arial"/>
                <w:b/>
              </w:rPr>
            </w:pPr>
          </w:p>
        </w:tc>
      </w:tr>
      <w:tr w:rsidR="006A2C17" w:rsidTr="00E245D6">
        <w:tc>
          <w:tcPr>
            <w:tcW w:w="5058" w:type="dxa"/>
          </w:tcPr>
          <w:p w:rsidR="00CD7572" w:rsidRPr="00CD7572" w:rsidRDefault="0062660D" w:rsidP="00CD7572">
            <w:pPr>
              <w:ind w:left="-119"/>
              <w:jc w:val="left"/>
              <w:rPr>
                <w:rFonts w:cs="Arial"/>
                <w:b/>
              </w:rPr>
            </w:pPr>
          </w:p>
        </w:tc>
        <w:tc>
          <w:tcPr>
            <w:tcW w:w="1559" w:type="dxa"/>
          </w:tcPr>
          <w:p w:rsidR="00CD7572" w:rsidRPr="00CD7572" w:rsidRDefault="0062660D" w:rsidP="00CD7572">
            <w:pPr>
              <w:jc w:val="left"/>
              <w:rPr>
                <w:rFonts w:cs="Arial"/>
                <w:b/>
              </w:rPr>
            </w:pPr>
          </w:p>
        </w:tc>
        <w:tc>
          <w:tcPr>
            <w:tcW w:w="430" w:type="dxa"/>
          </w:tcPr>
          <w:p w:rsidR="00CD7572" w:rsidRPr="00CD7572" w:rsidRDefault="0062660D" w:rsidP="00CD7572">
            <w:pPr>
              <w:jc w:val="left"/>
              <w:rPr>
                <w:rFonts w:cs="Arial"/>
                <w:b/>
              </w:rPr>
            </w:pPr>
          </w:p>
        </w:tc>
        <w:tc>
          <w:tcPr>
            <w:tcW w:w="1696" w:type="dxa"/>
          </w:tcPr>
          <w:p w:rsidR="00CD7572" w:rsidRPr="00CD7572" w:rsidRDefault="0062660D" w:rsidP="00CD7572">
            <w:pPr>
              <w:jc w:val="left"/>
              <w:rPr>
                <w:rFonts w:cs="Arial"/>
                <w:b/>
              </w:rPr>
            </w:pPr>
          </w:p>
        </w:tc>
      </w:tr>
      <w:tr w:rsidR="006A2C17" w:rsidTr="00E245D6">
        <w:tc>
          <w:tcPr>
            <w:tcW w:w="5058" w:type="dxa"/>
          </w:tcPr>
          <w:p w:rsidR="00CD7572" w:rsidRPr="00CD7572" w:rsidRDefault="0062660D" w:rsidP="00CD7572">
            <w:pPr>
              <w:spacing w:after="0"/>
              <w:ind w:left="-119"/>
              <w:jc w:val="left"/>
              <w:rPr>
                <w:rFonts w:ascii="Arial" w:hAnsi="Arial" w:cs="Arial"/>
                <w:b/>
              </w:rPr>
            </w:pPr>
            <w:r w:rsidRPr="00CD7572">
              <w:rPr>
                <w:rFonts w:ascii="Arial" w:hAnsi="Arial" w:cs="Arial"/>
                <w:b/>
              </w:rPr>
              <w:t>By type</w:t>
            </w:r>
          </w:p>
        </w:tc>
        <w:tc>
          <w:tcPr>
            <w:tcW w:w="1559" w:type="dxa"/>
          </w:tcPr>
          <w:p w:rsidR="00CD7572" w:rsidRPr="00CD7572" w:rsidRDefault="0062660D" w:rsidP="00CD7572">
            <w:pPr>
              <w:spacing w:after="0"/>
              <w:jc w:val="right"/>
              <w:rPr>
                <w:rFonts w:ascii="Arial" w:hAnsi="Arial" w:cs="Arial"/>
                <w:b/>
              </w:rPr>
            </w:pPr>
            <w:r w:rsidRPr="00CD7572">
              <w:rPr>
                <w:rFonts w:ascii="Arial" w:hAnsi="Arial" w:cs="Arial"/>
                <w:b/>
              </w:rPr>
              <w:t>2015/16</w:t>
            </w:r>
          </w:p>
        </w:tc>
        <w:tc>
          <w:tcPr>
            <w:tcW w:w="430" w:type="dxa"/>
          </w:tcPr>
          <w:p w:rsidR="00CD7572" w:rsidRPr="00CD7572" w:rsidRDefault="0062660D" w:rsidP="00CD7572">
            <w:pPr>
              <w:spacing w:after="0"/>
              <w:jc w:val="right"/>
              <w:rPr>
                <w:rFonts w:ascii="Arial" w:hAnsi="Arial" w:cs="Arial"/>
                <w:b/>
              </w:rPr>
            </w:pPr>
          </w:p>
        </w:tc>
        <w:tc>
          <w:tcPr>
            <w:tcW w:w="1696" w:type="dxa"/>
          </w:tcPr>
          <w:p w:rsidR="00CD7572" w:rsidRPr="00CD7572" w:rsidRDefault="0062660D" w:rsidP="00CD7572">
            <w:pPr>
              <w:spacing w:after="0"/>
              <w:jc w:val="right"/>
              <w:rPr>
                <w:rFonts w:ascii="Arial" w:hAnsi="Arial" w:cs="Arial"/>
                <w:b/>
              </w:rPr>
            </w:pPr>
            <w:r w:rsidRPr="00CD7572">
              <w:rPr>
                <w:rFonts w:ascii="Arial" w:hAnsi="Arial" w:cs="Arial"/>
                <w:b/>
              </w:rPr>
              <w:t>2014/15</w:t>
            </w:r>
          </w:p>
        </w:tc>
      </w:tr>
      <w:tr w:rsidR="006A2C17" w:rsidTr="00E245D6">
        <w:tc>
          <w:tcPr>
            <w:tcW w:w="5058" w:type="dxa"/>
          </w:tcPr>
          <w:p w:rsidR="00CD7572" w:rsidRPr="00CD7572" w:rsidRDefault="0062660D" w:rsidP="00CD7572">
            <w:pPr>
              <w:spacing w:after="0"/>
              <w:ind w:left="-119"/>
              <w:jc w:val="left"/>
              <w:rPr>
                <w:rFonts w:ascii="Arial" w:hAnsi="Arial" w:cs="Arial"/>
                <w:b/>
              </w:rPr>
            </w:pPr>
          </w:p>
        </w:tc>
        <w:tc>
          <w:tcPr>
            <w:tcW w:w="1559" w:type="dxa"/>
          </w:tcPr>
          <w:p w:rsidR="00CD7572" w:rsidRPr="00CD7572" w:rsidRDefault="0062660D" w:rsidP="00CD7572">
            <w:pPr>
              <w:spacing w:after="0"/>
              <w:jc w:val="right"/>
              <w:rPr>
                <w:rFonts w:ascii="Arial" w:hAnsi="Arial" w:cs="Arial"/>
                <w:b/>
              </w:rPr>
            </w:pPr>
            <w:r w:rsidRPr="00CD7572">
              <w:rPr>
                <w:rFonts w:ascii="Arial" w:hAnsi="Arial" w:cs="Arial"/>
                <w:b/>
              </w:rPr>
              <w:t>£m</w:t>
            </w:r>
          </w:p>
        </w:tc>
        <w:tc>
          <w:tcPr>
            <w:tcW w:w="430" w:type="dxa"/>
          </w:tcPr>
          <w:p w:rsidR="00CD7572" w:rsidRPr="00CD7572" w:rsidRDefault="0062660D" w:rsidP="00CD7572">
            <w:pPr>
              <w:spacing w:after="0"/>
              <w:jc w:val="right"/>
              <w:rPr>
                <w:rFonts w:ascii="Arial" w:hAnsi="Arial" w:cs="Arial"/>
                <w:b/>
              </w:rPr>
            </w:pPr>
          </w:p>
        </w:tc>
        <w:tc>
          <w:tcPr>
            <w:tcW w:w="1696" w:type="dxa"/>
          </w:tcPr>
          <w:p w:rsidR="00CD7572" w:rsidRPr="00CD7572" w:rsidRDefault="0062660D" w:rsidP="00CD7572">
            <w:pPr>
              <w:spacing w:after="0"/>
              <w:jc w:val="right"/>
              <w:rPr>
                <w:rFonts w:ascii="Arial" w:hAnsi="Arial" w:cs="Arial"/>
                <w:b/>
              </w:rPr>
            </w:pPr>
            <w:r w:rsidRPr="00CD7572">
              <w:rPr>
                <w:rFonts w:ascii="Arial" w:hAnsi="Arial" w:cs="Arial"/>
                <w:b/>
              </w:rPr>
              <w:t>£m</w:t>
            </w:r>
          </w:p>
        </w:tc>
      </w:tr>
      <w:tr w:rsidR="006A2C17" w:rsidTr="00E245D6">
        <w:tc>
          <w:tcPr>
            <w:tcW w:w="5058" w:type="dxa"/>
          </w:tcPr>
          <w:p w:rsidR="00CD7572" w:rsidRPr="00CD7572" w:rsidRDefault="0062660D" w:rsidP="00CD7572">
            <w:pPr>
              <w:ind w:left="-119"/>
              <w:jc w:val="left"/>
              <w:rPr>
                <w:rFonts w:ascii="Arial" w:hAnsi="Arial" w:cs="Arial"/>
              </w:rPr>
            </w:pPr>
            <w:r w:rsidRPr="00CD7572">
              <w:rPr>
                <w:rFonts w:ascii="Arial" w:hAnsi="Arial" w:cs="Arial"/>
              </w:rPr>
              <w:t>Employee's normal contributions</w:t>
            </w:r>
          </w:p>
        </w:tc>
        <w:tc>
          <w:tcPr>
            <w:tcW w:w="1559" w:type="dxa"/>
          </w:tcPr>
          <w:p w:rsidR="00CD7572" w:rsidRPr="00CD7572" w:rsidRDefault="0062660D" w:rsidP="00CD7572">
            <w:pPr>
              <w:jc w:val="right"/>
              <w:rPr>
                <w:rFonts w:ascii="Arial" w:hAnsi="Arial" w:cs="Arial"/>
              </w:rPr>
            </w:pPr>
            <w:r w:rsidRPr="00CD7572">
              <w:rPr>
                <w:rFonts w:ascii="Arial" w:hAnsi="Arial" w:cs="Arial"/>
              </w:rPr>
              <w:t>54.8</w:t>
            </w:r>
          </w:p>
        </w:tc>
        <w:tc>
          <w:tcPr>
            <w:tcW w:w="430" w:type="dxa"/>
          </w:tcPr>
          <w:p w:rsidR="00CD7572" w:rsidRPr="00CD7572" w:rsidRDefault="0062660D" w:rsidP="00CD7572">
            <w:pPr>
              <w:jc w:val="right"/>
              <w:rPr>
                <w:rFonts w:ascii="Arial" w:hAnsi="Arial" w:cs="Arial"/>
              </w:rPr>
            </w:pPr>
          </w:p>
        </w:tc>
        <w:tc>
          <w:tcPr>
            <w:tcW w:w="1696" w:type="dxa"/>
          </w:tcPr>
          <w:p w:rsidR="00CD7572" w:rsidRPr="00CD7572" w:rsidRDefault="0062660D" w:rsidP="00CD7572">
            <w:pPr>
              <w:jc w:val="right"/>
              <w:rPr>
                <w:rFonts w:ascii="Arial" w:hAnsi="Arial" w:cs="Arial"/>
              </w:rPr>
            </w:pPr>
            <w:r w:rsidRPr="00CD7572">
              <w:rPr>
                <w:rFonts w:ascii="Arial" w:hAnsi="Arial" w:cs="Arial"/>
              </w:rPr>
              <w:t>54.8</w:t>
            </w:r>
          </w:p>
        </w:tc>
      </w:tr>
      <w:tr w:rsidR="006A2C17" w:rsidTr="00E245D6">
        <w:tc>
          <w:tcPr>
            <w:tcW w:w="5058" w:type="dxa"/>
          </w:tcPr>
          <w:p w:rsidR="00CD7572" w:rsidRPr="00CD7572" w:rsidRDefault="0062660D" w:rsidP="00CD7572">
            <w:pPr>
              <w:ind w:left="-119"/>
              <w:jc w:val="left"/>
              <w:rPr>
                <w:rFonts w:ascii="Arial" w:hAnsi="Arial" w:cs="Arial"/>
              </w:rPr>
            </w:pPr>
            <w:r w:rsidRPr="00CD7572">
              <w:rPr>
                <w:rFonts w:ascii="Arial" w:hAnsi="Arial" w:cs="Arial"/>
              </w:rPr>
              <w:t>Employer's normal contributions</w:t>
            </w:r>
          </w:p>
        </w:tc>
        <w:tc>
          <w:tcPr>
            <w:tcW w:w="1559" w:type="dxa"/>
          </w:tcPr>
          <w:p w:rsidR="00CD7572" w:rsidRPr="00CD7572" w:rsidRDefault="0062660D" w:rsidP="00CD7572">
            <w:pPr>
              <w:jc w:val="right"/>
              <w:rPr>
                <w:rFonts w:ascii="Arial" w:hAnsi="Arial" w:cs="Arial"/>
              </w:rPr>
            </w:pPr>
            <w:r w:rsidRPr="00CD7572">
              <w:rPr>
                <w:rFonts w:ascii="Arial" w:hAnsi="Arial" w:cs="Arial"/>
              </w:rPr>
              <w:t>122.5</w:t>
            </w:r>
          </w:p>
        </w:tc>
        <w:tc>
          <w:tcPr>
            <w:tcW w:w="430" w:type="dxa"/>
          </w:tcPr>
          <w:p w:rsidR="00CD7572" w:rsidRPr="00CD7572" w:rsidRDefault="0062660D" w:rsidP="00CD7572">
            <w:pPr>
              <w:jc w:val="right"/>
              <w:rPr>
                <w:rFonts w:ascii="Arial" w:hAnsi="Arial" w:cs="Arial"/>
              </w:rPr>
            </w:pPr>
          </w:p>
        </w:tc>
        <w:tc>
          <w:tcPr>
            <w:tcW w:w="1696" w:type="dxa"/>
          </w:tcPr>
          <w:p w:rsidR="00CD7572" w:rsidRPr="00CD7572" w:rsidRDefault="0062660D" w:rsidP="00CD7572">
            <w:pPr>
              <w:jc w:val="right"/>
              <w:rPr>
                <w:rFonts w:ascii="Arial" w:hAnsi="Arial" w:cs="Arial"/>
              </w:rPr>
            </w:pPr>
            <w:r w:rsidRPr="00CD7572">
              <w:rPr>
                <w:rFonts w:ascii="Arial" w:hAnsi="Arial" w:cs="Arial"/>
              </w:rPr>
              <w:t>124.4</w:t>
            </w:r>
          </w:p>
        </w:tc>
      </w:tr>
      <w:tr w:rsidR="006A2C17" w:rsidTr="00E245D6">
        <w:tc>
          <w:tcPr>
            <w:tcW w:w="5058" w:type="dxa"/>
          </w:tcPr>
          <w:p w:rsidR="00CD7572" w:rsidRPr="00CD7572" w:rsidRDefault="0062660D" w:rsidP="00CD7572">
            <w:pPr>
              <w:ind w:left="-119"/>
              <w:jc w:val="left"/>
              <w:rPr>
                <w:rFonts w:ascii="Arial" w:hAnsi="Arial" w:cs="Arial"/>
              </w:rPr>
            </w:pPr>
            <w:r w:rsidRPr="00CD7572">
              <w:rPr>
                <w:rFonts w:ascii="Arial" w:hAnsi="Arial" w:cs="Arial"/>
              </w:rPr>
              <w:t>Employer's deficit recovery contributions</w:t>
            </w:r>
          </w:p>
        </w:tc>
        <w:tc>
          <w:tcPr>
            <w:tcW w:w="1559" w:type="dxa"/>
          </w:tcPr>
          <w:p w:rsidR="00CD7572" w:rsidRPr="00CD7572" w:rsidRDefault="0062660D" w:rsidP="00CD7572">
            <w:pPr>
              <w:jc w:val="right"/>
              <w:rPr>
                <w:rFonts w:ascii="Arial" w:hAnsi="Arial" w:cs="Arial"/>
              </w:rPr>
            </w:pPr>
            <w:r w:rsidRPr="00CD7572">
              <w:rPr>
                <w:rFonts w:ascii="Arial" w:hAnsi="Arial" w:cs="Arial"/>
              </w:rPr>
              <w:t>49.0</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tcBorders>
          </w:tcPr>
          <w:p w:rsidR="00CD7572" w:rsidRPr="00CD7572" w:rsidRDefault="0062660D" w:rsidP="00CD7572">
            <w:pPr>
              <w:jc w:val="right"/>
              <w:rPr>
                <w:rFonts w:ascii="Arial" w:hAnsi="Arial" w:cs="Arial"/>
              </w:rPr>
            </w:pPr>
            <w:r w:rsidRPr="00CD7572">
              <w:rPr>
                <w:rFonts w:ascii="Arial" w:hAnsi="Arial" w:cs="Arial"/>
              </w:rPr>
              <w:t>47.3</w:t>
            </w:r>
          </w:p>
        </w:tc>
      </w:tr>
      <w:tr w:rsidR="006A2C17" w:rsidTr="00E245D6">
        <w:tc>
          <w:tcPr>
            <w:tcW w:w="5058" w:type="dxa"/>
          </w:tcPr>
          <w:p w:rsidR="00CD7572" w:rsidRPr="00CD7572" w:rsidRDefault="0062660D" w:rsidP="00CD7572">
            <w:pPr>
              <w:ind w:left="-119"/>
              <w:jc w:val="left"/>
              <w:rPr>
                <w:rFonts w:ascii="Arial" w:hAnsi="Arial" w:cs="Arial"/>
                <w:vertAlign w:val="superscript"/>
              </w:rPr>
            </w:pPr>
            <w:r w:rsidRPr="00CD7572">
              <w:rPr>
                <w:rFonts w:ascii="Arial" w:hAnsi="Arial" w:cs="Arial"/>
              </w:rPr>
              <w:t>Employer's augmentation contributions</w:t>
            </w:r>
          </w:p>
        </w:tc>
        <w:tc>
          <w:tcPr>
            <w:tcW w:w="1559" w:type="dxa"/>
          </w:tcPr>
          <w:p w:rsidR="00CD7572" w:rsidRPr="00CD7572" w:rsidRDefault="0062660D" w:rsidP="00CD7572">
            <w:pPr>
              <w:jc w:val="right"/>
              <w:rPr>
                <w:rFonts w:ascii="Arial" w:hAnsi="Arial" w:cs="Arial"/>
              </w:rPr>
            </w:pPr>
            <w:r w:rsidRPr="00CD7572">
              <w:rPr>
                <w:rFonts w:ascii="Arial" w:hAnsi="Arial" w:cs="Arial"/>
              </w:rPr>
              <w:t>12.3</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tcBorders>
          </w:tcPr>
          <w:p w:rsidR="00CD7572" w:rsidRPr="00CD7572" w:rsidRDefault="0062660D" w:rsidP="00CD7572">
            <w:pPr>
              <w:jc w:val="right"/>
              <w:rPr>
                <w:rFonts w:ascii="Arial" w:hAnsi="Arial" w:cs="Arial"/>
              </w:rPr>
            </w:pPr>
            <w:r w:rsidRPr="00CD7572">
              <w:rPr>
                <w:rFonts w:ascii="Arial" w:hAnsi="Arial" w:cs="Arial"/>
              </w:rPr>
              <w:t>11.5</w:t>
            </w:r>
          </w:p>
        </w:tc>
      </w:tr>
      <w:tr w:rsidR="006A2C17" w:rsidTr="00E245D6">
        <w:tc>
          <w:tcPr>
            <w:tcW w:w="5058" w:type="dxa"/>
          </w:tcPr>
          <w:p w:rsidR="00CD7572" w:rsidRPr="00CD7572" w:rsidRDefault="0062660D" w:rsidP="00CD7572">
            <w:pPr>
              <w:ind w:left="-119"/>
              <w:jc w:val="left"/>
              <w:rPr>
                <w:rFonts w:ascii="Arial" w:hAnsi="Arial" w:cs="Arial"/>
              </w:rPr>
            </w:pPr>
          </w:p>
        </w:tc>
        <w:tc>
          <w:tcPr>
            <w:tcW w:w="1559" w:type="dxa"/>
            <w:tcBorders>
              <w:top w:val="single" w:sz="12"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238.6</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top w:val="single" w:sz="12" w:space="0" w:color="auto"/>
              <w:left w:val="single" w:sz="4" w:space="0" w:color="FFFFFF" w:themeColor="background1"/>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238.0</w:t>
            </w:r>
          </w:p>
        </w:tc>
      </w:tr>
    </w:tbl>
    <w:p w:rsidR="00CD7572" w:rsidRPr="00CD7572" w:rsidRDefault="0062660D" w:rsidP="00CD7572">
      <w:pPr>
        <w:ind w:left="720"/>
        <w:jc w:val="left"/>
        <w:rPr>
          <w:rFonts w:cs="Arial"/>
        </w:rPr>
      </w:pPr>
    </w:p>
    <w:p w:rsidR="00CD7572" w:rsidRPr="00CD7572" w:rsidRDefault="0062660D" w:rsidP="00CD7572">
      <w:pPr>
        <w:ind w:left="720"/>
        <w:jc w:val="left"/>
        <w:rPr>
          <w:rFonts w:cs="Arial"/>
        </w:rPr>
      </w:pPr>
      <w:r w:rsidRPr="00CD7572">
        <w:rPr>
          <w:rFonts w:cs="Arial"/>
        </w:rPr>
        <w:t xml:space="preserve">Augmentation contributions comprise </w:t>
      </w:r>
      <w:r w:rsidRPr="00CD7572">
        <w:rPr>
          <w:rFonts w:cs="Arial"/>
        </w:rPr>
        <w:t>additional pension benefits awarded to scheme members in line with the general conditions of employment.</w:t>
      </w:r>
    </w:p>
    <w:p w:rsidR="00CD7572" w:rsidRPr="00CD7572" w:rsidRDefault="0062660D" w:rsidP="00CD7572">
      <w:pPr>
        <w:ind w:left="720"/>
        <w:jc w:val="left"/>
        <w:rPr>
          <w:rFonts w:cs="Arial"/>
        </w:rPr>
      </w:pPr>
      <w:r w:rsidRPr="00CD7572">
        <w:rPr>
          <w:rFonts w:cs="Arial"/>
        </w:rPr>
        <w:t xml:space="preserve">Within the employee contributions figure for 2015/16, £0.4m is voluntary and additional regular contributions </w:t>
      </w:r>
      <w:r w:rsidRPr="00CD7572">
        <w:t>(2014/15: £0.4m).</w:t>
      </w:r>
    </w:p>
    <w:p w:rsidR="00CD7572" w:rsidRPr="00CD7572" w:rsidRDefault="0062660D" w:rsidP="00CD7572">
      <w:pPr>
        <w:ind w:left="720"/>
        <w:jc w:val="left"/>
        <w:rPr>
          <w:rFonts w:cs="Arial"/>
        </w:rPr>
      </w:pPr>
    </w:p>
    <w:p w:rsidR="00CD7572" w:rsidRPr="00CD7572" w:rsidRDefault="0062660D" w:rsidP="00CD7572">
      <w:pPr>
        <w:ind w:left="720"/>
        <w:jc w:val="left"/>
      </w:pPr>
    </w:p>
    <w:p w:rsidR="00CD7572" w:rsidRPr="00CD7572" w:rsidRDefault="0062660D" w:rsidP="00CD7572">
      <w:pPr>
        <w:numPr>
          <w:ilvl w:val="0"/>
          <w:numId w:val="8"/>
        </w:numPr>
        <w:autoSpaceDE/>
        <w:autoSpaceDN/>
        <w:adjustRightInd/>
        <w:spacing w:after="0"/>
        <w:ind w:left="862"/>
        <w:contextualSpacing/>
        <w:jc w:val="left"/>
        <w:rPr>
          <w:b/>
          <w:sz w:val="32"/>
          <w:szCs w:val="32"/>
        </w:rPr>
      </w:pPr>
      <w:r w:rsidRPr="00CD7572">
        <w:rPr>
          <w:b/>
          <w:sz w:val="32"/>
          <w:szCs w:val="32"/>
        </w:rPr>
        <w:t xml:space="preserve">Transfers in from </w:t>
      </w:r>
      <w:r w:rsidRPr="00CD7572">
        <w:rPr>
          <w:b/>
          <w:sz w:val="32"/>
          <w:szCs w:val="32"/>
        </w:rPr>
        <w:t>other Pension  Funds</w:t>
      </w:r>
    </w:p>
    <w:p w:rsidR="00CD7572" w:rsidRPr="00CD7572" w:rsidRDefault="0062660D" w:rsidP="00CD7572">
      <w:pPr>
        <w:autoSpaceDE/>
        <w:autoSpaceDN/>
        <w:adjustRightInd/>
        <w:spacing w:after="0"/>
        <w:ind w:left="862"/>
        <w:contextualSpacing/>
        <w:jc w:val="left"/>
        <w:rPr>
          <w:b/>
          <w:sz w:val="32"/>
          <w:szCs w:val="32"/>
        </w:rPr>
      </w:pPr>
    </w:p>
    <w:tbl>
      <w:tblPr>
        <w:tblStyle w:val="TableGrid1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6A2C17" w:rsidTr="00E245D6">
        <w:tc>
          <w:tcPr>
            <w:tcW w:w="5058" w:type="dxa"/>
          </w:tcPr>
          <w:p w:rsidR="00CD7572" w:rsidRPr="00CD7572" w:rsidRDefault="0062660D" w:rsidP="00CD7572">
            <w:pPr>
              <w:spacing w:after="0"/>
              <w:jc w:val="left"/>
              <w:rPr>
                <w:rFonts w:ascii="Arial" w:hAnsi="Arial" w:cs="Arial"/>
                <w:b/>
              </w:rPr>
            </w:pPr>
          </w:p>
        </w:tc>
        <w:tc>
          <w:tcPr>
            <w:tcW w:w="1559" w:type="dxa"/>
          </w:tcPr>
          <w:p w:rsidR="00CD7572" w:rsidRPr="00CD7572" w:rsidRDefault="0062660D" w:rsidP="00CD7572">
            <w:pPr>
              <w:spacing w:after="0"/>
              <w:jc w:val="right"/>
              <w:rPr>
                <w:rFonts w:ascii="Arial" w:hAnsi="Arial" w:cs="Arial"/>
                <w:b/>
              </w:rPr>
            </w:pPr>
            <w:r w:rsidRPr="00CD7572">
              <w:rPr>
                <w:rFonts w:ascii="Arial" w:hAnsi="Arial" w:cs="Arial"/>
                <w:b/>
              </w:rPr>
              <w:t>2015/16</w:t>
            </w:r>
          </w:p>
          <w:p w:rsidR="00CD7572" w:rsidRPr="00CD7572" w:rsidRDefault="0062660D" w:rsidP="00CD7572">
            <w:pPr>
              <w:spacing w:after="0"/>
              <w:jc w:val="right"/>
              <w:rPr>
                <w:rFonts w:ascii="Arial" w:hAnsi="Arial" w:cs="Arial"/>
                <w:b/>
              </w:rPr>
            </w:pPr>
            <w:r w:rsidRPr="00CD7572">
              <w:rPr>
                <w:rFonts w:ascii="Arial" w:hAnsi="Arial" w:cs="Arial"/>
                <w:b/>
              </w:rPr>
              <w:t>£m</w:t>
            </w:r>
          </w:p>
        </w:tc>
        <w:tc>
          <w:tcPr>
            <w:tcW w:w="430" w:type="dxa"/>
            <w:tcBorders>
              <w:right w:val="single" w:sz="4" w:space="0" w:color="FFFFFF" w:themeColor="background1"/>
            </w:tcBorders>
          </w:tcPr>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p>
        </w:tc>
        <w:tc>
          <w:tcPr>
            <w:tcW w:w="1696" w:type="dxa"/>
            <w:tcBorders>
              <w:left w:val="single" w:sz="4" w:space="0" w:color="FFFFFF" w:themeColor="background1"/>
            </w:tcBorders>
          </w:tcPr>
          <w:p w:rsidR="00CD7572" w:rsidRPr="00CD7572" w:rsidRDefault="0062660D" w:rsidP="00CD7572">
            <w:pPr>
              <w:spacing w:after="0"/>
              <w:jc w:val="right"/>
              <w:rPr>
                <w:rFonts w:ascii="Arial" w:hAnsi="Arial" w:cs="Arial"/>
                <w:b/>
              </w:rPr>
            </w:pPr>
            <w:r w:rsidRPr="00CD7572">
              <w:rPr>
                <w:rFonts w:ascii="Arial" w:hAnsi="Arial" w:cs="Arial"/>
                <w:b/>
              </w:rPr>
              <w:t>2014/15</w:t>
            </w:r>
          </w:p>
          <w:p w:rsidR="00CD7572" w:rsidRPr="00CD7572" w:rsidRDefault="0062660D" w:rsidP="00CD7572">
            <w:pPr>
              <w:spacing w:after="0"/>
              <w:jc w:val="right"/>
              <w:rPr>
                <w:rFonts w:ascii="Arial" w:hAnsi="Arial" w:cs="Arial"/>
                <w:b/>
              </w:rPr>
            </w:pPr>
            <w:r w:rsidRPr="00CD7572">
              <w:rPr>
                <w:rFonts w:ascii="Arial" w:hAnsi="Arial" w:cs="Arial"/>
                <w:b/>
              </w:rPr>
              <w:t>£m</w:t>
            </w:r>
          </w:p>
        </w:tc>
      </w:tr>
      <w:tr w:rsidR="006A2C17" w:rsidTr="00E245D6">
        <w:tc>
          <w:tcPr>
            <w:tcW w:w="5058" w:type="dxa"/>
          </w:tcPr>
          <w:p w:rsidR="00CD7572" w:rsidRPr="00CD7572" w:rsidRDefault="0062660D" w:rsidP="00CD7572">
            <w:pPr>
              <w:jc w:val="left"/>
              <w:rPr>
                <w:rFonts w:ascii="Arial" w:hAnsi="Arial" w:cs="Arial"/>
              </w:rPr>
            </w:pPr>
            <w:r w:rsidRPr="00CD7572">
              <w:rPr>
                <w:rFonts w:ascii="Arial" w:hAnsi="Arial" w:cs="Arial"/>
              </w:rPr>
              <w:t>Individual transfers in from other schemes</w:t>
            </w:r>
          </w:p>
        </w:tc>
        <w:tc>
          <w:tcPr>
            <w:tcW w:w="1559" w:type="dxa"/>
          </w:tcPr>
          <w:p w:rsidR="00CD7572" w:rsidRPr="00CD7572" w:rsidRDefault="0062660D" w:rsidP="00CD7572">
            <w:pPr>
              <w:jc w:val="right"/>
              <w:rPr>
                <w:rFonts w:ascii="Arial" w:hAnsi="Arial" w:cs="Arial"/>
              </w:rPr>
            </w:pPr>
            <w:r w:rsidRPr="00CD7572">
              <w:rPr>
                <w:rFonts w:ascii="Arial" w:hAnsi="Arial" w:cs="Arial"/>
              </w:rPr>
              <w:t>5.5</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tcBorders>
          </w:tcPr>
          <w:p w:rsidR="00CD7572" w:rsidRPr="00CD7572" w:rsidRDefault="0062660D" w:rsidP="00CD7572">
            <w:pPr>
              <w:jc w:val="right"/>
              <w:rPr>
                <w:rFonts w:ascii="Arial" w:hAnsi="Arial" w:cs="Arial"/>
              </w:rPr>
            </w:pPr>
            <w:r w:rsidRPr="00CD7572">
              <w:rPr>
                <w:rFonts w:ascii="Arial" w:hAnsi="Arial" w:cs="Arial"/>
              </w:rPr>
              <w:t>4.8</w:t>
            </w:r>
          </w:p>
        </w:tc>
      </w:tr>
      <w:tr w:rsidR="006A2C17" w:rsidTr="00E245D6">
        <w:tc>
          <w:tcPr>
            <w:tcW w:w="5058" w:type="dxa"/>
          </w:tcPr>
          <w:p w:rsidR="00CD7572" w:rsidRPr="00CD7572" w:rsidRDefault="0062660D" w:rsidP="00CD7572">
            <w:pPr>
              <w:jc w:val="left"/>
              <w:rPr>
                <w:rFonts w:ascii="Arial" w:hAnsi="Arial" w:cs="Arial"/>
              </w:rPr>
            </w:pPr>
          </w:p>
        </w:tc>
        <w:tc>
          <w:tcPr>
            <w:tcW w:w="1559"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5.5</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top w:val="single" w:sz="18" w:space="0" w:color="auto"/>
              <w:left w:val="single" w:sz="4" w:space="0" w:color="FFFFFF" w:themeColor="background1"/>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4.8</w:t>
            </w:r>
          </w:p>
        </w:tc>
      </w:tr>
    </w:tbl>
    <w:p w:rsidR="00CD7572" w:rsidRPr="00CD7572" w:rsidRDefault="0062660D" w:rsidP="00CD7572">
      <w:pPr>
        <w:tabs>
          <w:tab w:val="left" w:pos="709"/>
        </w:tabs>
        <w:ind w:left="709"/>
        <w:jc w:val="left"/>
        <w:rPr>
          <w:rFonts w:cs="Arial"/>
        </w:rPr>
      </w:pPr>
      <w:r w:rsidRPr="00CD7572">
        <w:rPr>
          <w:rFonts w:cs="Arial"/>
        </w:rPr>
        <w:t xml:space="preserve"> </w:t>
      </w:r>
    </w:p>
    <w:p w:rsidR="00CD7572" w:rsidRPr="00CD7572" w:rsidRDefault="0062660D" w:rsidP="00CD7572">
      <w:pPr>
        <w:tabs>
          <w:tab w:val="left" w:pos="709"/>
        </w:tabs>
        <w:ind w:left="709"/>
        <w:jc w:val="left"/>
        <w:rPr>
          <w:rFonts w:cs="Arial"/>
        </w:rPr>
      </w:pPr>
    </w:p>
    <w:p w:rsidR="00CD7572" w:rsidRPr="00CD7572" w:rsidRDefault="0062660D" w:rsidP="00CD7572">
      <w:pPr>
        <w:numPr>
          <w:ilvl w:val="0"/>
          <w:numId w:val="8"/>
        </w:numPr>
        <w:autoSpaceDE/>
        <w:autoSpaceDN/>
        <w:adjustRightInd/>
        <w:spacing w:after="0"/>
        <w:ind w:left="862"/>
        <w:jc w:val="left"/>
        <w:rPr>
          <w:rFonts w:cs="Arial"/>
          <w:sz w:val="32"/>
          <w:szCs w:val="32"/>
        </w:rPr>
      </w:pPr>
      <w:r w:rsidRPr="00CD7572">
        <w:rPr>
          <w:rFonts w:cs="Arial"/>
          <w:b/>
          <w:sz w:val="32"/>
          <w:szCs w:val="32"/>
        </w:rPr>
        <w:t>Benefits payable</w:t>
      </w:r>
    </w:p>
    <w:tbl>
      <w:tblPr>
        <w:tblStyle w:val="TableGrid1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1685"/>
        <w:gridCol w:w="1565"/>
        <w:gridCol w:w="423"/>
        <w:gridCol w:w="1674"/>
        <w:gridCol w:w="1152"/>
      </w:tblGrid>
      <w:tr w:rsidR="006A2C17" w:rsidTr="00E245D6">
        <w:trPr>
          <w:gridAfter w:val="1"/>
          <w:wAfter w:w="1195" w:type="dxa"/>
        </w:trPr>
        <w:tc>
          <w:tcPr>
            <w:tcW w:w="5058" w:type="dxa"/>
            <w:gridSpan w:val="2"/>
          </w:tcPr>
          <w:p w:rsidR="00CD7572" w:rsidRPr="00CD7572" w:rsidRDefault="0062660D" w:rsidP="00CD7572">
            <w:pPr>
              <w:spacing w:after="0"/>
              <w:jc w:val="left"/>
              <w:rPr>
                <w:rFonts w:ascii="Arial" w:hAnsi="Arial" w:cs="Arial"/>
                <w:b/>
              </w:rPr>
            </w:pPr>
          </w:p>
        </w:tc>
        <w:tc>
          <w:tcPr>
            <w:tcW w:w="1583" w:type="dxa"/>
          </w:tcPr>
          <w:p w:rsidR="00CD7572" w:rsidRPr="00CD7572" w:rsidRDefault="0062660D" w:rsidP="00CD7572">
            <w:pPr>
              <w:jc w:val="left"/>
              <w:rPr>
                <w:rFonts w:ascii="Arial" w:hAnsi="Arial" w:cs="Arial"/>
                <w:b/>
              </w:rPr>
            </w:pPr>
          </w:p>
        </w:tc>
        <w:tc>
          <w:tcPr>
            <w:tcW w:w="430" w:type="dxa"/>
            <w:tcBorders>
              <w:right w:val="single" w:sz="4" w:space="0" w:color="FFFFFF" w:themeColor="background1"/>
            </w:tcBorders>
          </w:tcPr>
          <w:p w:rsidR="00CD7572" w:rsidRPr="00CD7572" w:rsidRDefault="0062660D" w:rsidP="00CD7572">
            <w:pPr>
              <w:jc w:val="left"/>
              <w:rPr>
                <w:rFonts w:ascii="Arial" w:hAnsi="Arial" w:cs="Arial"/>
                <w:b/>
              </w:rPr>
            </w:pPr>
          </w:p>
        </w:tc>
        <w:tc>
          <w:tcPr>
            <w:tcW w:w="1696" w:type="dxa"/>
            <w:tcBorders>
              <w:left w:val="single" w:sz="4" w:space="0" w:color="FFFFFF" w:themeColor="background1"/>
            </w:tcBorders>
          </w:tcPr>
          <w:p w:rsidR="00CD7572" w:rsidRPr="00CD7572" w:rsidRDefault="0062660D" w:rsidP="00CD7572">
            <w:pPr>
              <w:jc w:val="left"/>
              <w:rPr>
                <w:rFonts w:ascii="Arial" w:hAnsi="Arial" w:cs="Arial"/>
                <w:b/>
              </w:rPr>
            </w:pPr>
          </w:p>
        </w:tc>
      </w:tr>
      <w:tr w:rsidR="006A2C17" w:rsidTr="00E245D6">
        <w:trPr>
          <w:gridAfter w:val="1"/>
          <w:wAfter w:w="1195" w:type="dxa"/>
        </w:trPr>
        <w:tc>
          <w:tcPr>
            <w:tcW w:w="5058" w:type="dxa"/>
            <w:gridSpan w:val="2"/>
          </w:tcPr>
          <w:p w:rsidR="00CD7572" w:rsidRPr="00CD7572" w:rsidRDefault="0062660D" w:rsidP="00CD7572">
            <w:pPr>
              <w:spacing w:after="0"/>
              <w:jc w:val="left"/>
              <w:rPr>
                <w:rFonts w:ascii="Arial" w:hAnsi="Arial" w:cs="Arial"/>
                <w:b/>
              </w:rPr>
            </w:pPr>
            <w:r w:rsidRPr="00CD7572">
              <w:rPr>
                <w:rFonts w:ascii="Arial" w:hAnsi="Arial" w:cs="Arial"/>
                <w:b/>
              </w:rPr>
              <w:t>By category</w:t>
            </w:r>
          </w:p>
        </w:tc>
        <w:tc>
          <w:tcPr>
            <w:tcW w:w="1583" w:type="dxa"/>
          </w:tcPr>
          <w:p w:rsidR="00CD7572" w:rsidRPr="00CD7572" w:rsidRDefault="0062660D" w:rsidP="00CD7572">
            <w:pPr>
              <w:spacing w:after="0"/>
              <w:jc w:val="right"/>
              <w:rPr>
                <w:rFonts w:ascii="Arial" w:hAnsi="Arial" w:cs="Arial"/>
                <w:b/>
              </w:rPr>
            </w:pPr>
            <w:r w:rsidRPr="00CD7572">
              <w:rPr>
                <w:rFonts w:ascii="Arial" w:hAnsi="Arial" w:cs="Arial"/>
                <w:b/>
              </w:rPr>
              <w:t>2015/16</w:t>
            </w:r>
          </w:p>
          <w:p w:rsidR="00CD7572" w:rsidRPr="00CD7572" w:rsidRDefault="0062660D" w:rsidP="00CD7572">
            <w:pPr>
              <w:spacing w:after="0"/>
              <w:jc w:val="right"/>
              <w:rPr>
                <w:rFonts w:ascii="Arial" w:hAnsi="Arial" w:cs="Arial"/>
                <w:b/>
              </w:rPr>
            </w:pPr>
            <w:r w:rsidRPr="00CD7572">
              <w:rPr>
                <w:rFonts w:ascii="Arial" w:hAnsi="Arial" w:cs="Arial"/>
                <w:b/>
              </w:rPr>
              <w:t>£m</w:t>
            </w:r>
          </w:p>
        </w:tc>
        <w:tc>
          <w:tcPr>
            <w:tcW w:w="430" w:type="dxa"/>
            <w:tcBorders>
              <w:right w:val="single" w:sz="4" w:space="0" w:color="FFFFFF" w:themeColor="background1"/>
            </w:tcBorders>
          </w:tcPr>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p>
        </w:tc>
        <w:tc>
          <w:tcPr>
            <w:tcW w:w="1696" w:type="dxa"/>
            <w:tcBorders>
              <w:left w:val="single" w:sz="4" w:space="0" w:color="FFFFFF" w:themeColor="background1"/>
            </w:tcBorders>
          </w:tcPr>
          <w:p w:rsidR="00CD7572" w:rsidRPr="00CD7572" w:rsidRDefault="0062660D" w:rsidP="00CD7572">
            <w:pPr>
              <w:spacing w:after="0"/>
              <w:jc w:val="right"/>
              <w:rPr>
                <w:rFonts w:ascii="Arial" w:hAnsi="Arial" w:cs="Arial"/>
                <w:b/>
              </w:rPr>
            </w:pPr>
            <w:r w:rsidRPr="00CD7572">
              <w:rPr>
                <w:rFonts w:ascii="Arial" w:hAnsi="Arial" w:cs="Arial"/>
                <w:b/>
              </w:rPr>
              <w:t>2014/15</w:t>
            </w:r>
          </w:p>
          <w:p w:rsidR="00CD7572" w:rsidRPr="00CD7572" w:rsidRDefault="0062660D" w:rsidP="00CD7572">
            <w:pPr>
              <w:spacing w:after="0"/>
              <w:jc w:val="right"/>
              <w:rPr>
                <w:rFonts w:ascii="Arial" w:hAnsi="Arial" w:cs="Arial"/>
                <w:b/>
              </w:rPr>
            </w:pPr>
            <w:r w:rsidRPr="00CD7572">
              <w:rPr>
                <w:rFonts w:ascii="Arial" w:hAnsi="Arial" w:cs="Arial"/>
                <w:b/>
              </w:rPr>
              <w:t>£m</w:t>
            </w:r>
          </w:p>
        </w:tc>
      </w:tr>
      <w:tr w:rsidR="006A2C17" w:rsidTr="00E245D6">
        <w:trPr>
          <w:gridAfter w:val="1"/>
          <w:wAfter w:w="1195" w:type="dxa"/>
        </w:trPr>
        <w:tc>
          <w:tcPr>
            <w:tcW w:w="5058" w:type="dxa"/>
            <w:gridSpan w:val="2"/>
          </w:tcPr>
          <w:p w:rsidR="00CD7572" w:rsidRPr="00CD7572" w:rsidRDefault="0062660D" w:rsidP="00CD7572">
            <w:pPr>
              <w:jc w:val="left"/>
              <w:rPr>
                <w:rFonts w:ascii="Arial" w:hAnsi="Arial" w:cs="Arial"/>
              </w:rPr>
            </w:pPr>
            <w:r w:rsidRPr="00CD7572">
              <w:rPr>
                <w:rFonts w:ascii="Arial" w:hAnsi="Arial" w:cs="Arial"/>
              </w:rPr>
              <w:t>Pensions</w:t>
            </w:r>
          </w:p>
        </w:tc>
        <w:tc>
          <w:tcPr>
            <w:tcW w:w="1583" w:type="dxa"/>
          </w:tcPr>
          <w:p w:rsidR="00CD7572" w:rsidRPr="00CD7572" w:rsidRDefault="0062660D" w:rsidP="00CD7572">
            <w:pPr>
              <w:jc w:val="right"/>
              <w:rPr>
                <w:rFonts w:ascii="Arial" w:hAnsi="Arial" w:cs="Arial"/>
              </w:rPr>
            </w:pPr>
            <w:r w:rsidRPr="00CD7572">
              <w:rPr>
                <w:rFonts w:ascii="Arial" w:hAnsi="Arial" w:cs="Arial"/>
              </w:rPr>
              <w:t>200.2</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tcBorders>
          </w:tcPr>
          <w:p w:rsidR="00CD7572" w:rsidRPr="00CD7572" w:rsidRDefault="0062660D" w:rsidP="00CD7572">
            <w:pPr>
              <w:jc w:val="right"/>
              <w:rPr>
                <w:rFonts w:ascii="Arial" w:hAnsi="Arial" w:cs="Arial"/>
              </w:rPr>
            </w:pPr>
            <w:r w:rsidRPr="00CD7572">
              <w:rPr>
                <w:rFonts w:ascii="Arial" w:hAnsi="Arial" w:cs="Arial"/>
              </w:rPr>
              <w:t>192.0</w:t>
            </w:r>
          </w:p>
        </w:tc>
      </w:tr>
      <w:tr w:rsidR="006A2C17" w:rsidTr="00E245D6">
        <w:trPr>
          <w:gridAfter w:val="1"/>
          <w:wAfter w:w="1195" w:type="dxa"/>
        </w:trPr>
        <w:tc>
          <w:tcPr>
            <w:tcW w:w="5058" w:type="dxa"/>
            <w:gridSpan w:val="2"/>
          </w:tcPr>
          <w:p w:rsidR="00CD7572" w:rsidRPr="00CD7572" w:rsidRDefault="0062660D" w:rsidP="00CD7572">
            <w:pPr>
              <w:rPr>
                <w:rFonts w:ascii="Arial" w:hAnsi="Arial" w:cs="Arial"/>
              </w:rPr>
            </w:pPr>
            <w:r w:rsidRPr="00CD7572">
              <w:rPr>
                <w:rFonts w:ascii="Arial" w:hAnsi="Arial" w:cs="Arial"/>
              </w:rPr>
              <w:t>Lump sum retirement benefits</w:t>
            </w:r>
          </w:p>
        </w:tc>
        <w:tc>
          <w:tcPr>
            <w:tcW w:w="1583" w:type="dxa"/>
          </w:tcPr>
          <w:p w:rsidR="00CD7572" w:rsidRPr="00CD7572" w:rsidRDefault="0062660D" w:rsidP="00CD7572">
            <w:pPr>
              <w:jc w:val="right"/>
              <w:rPr>
                <w:rFonts w:ascii="Arial" w:hAnsi="Arial" w:cs="Arial"/>
              </w:rPr>
            </w:pPr>
            <w:r w:rsidRPr="00CD7572">
              <w:rPr>
                <w:rFonts w:ascii="Arial" w:hAnsi="Arial" w:cs="Arial"/>
              </w:rPr>
              <w:t>40.5</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tcBorders>
          </w:tcPr>
          <w:p w:rsidR="00CD7572" w:rsidRPr="00CD7572" w:rsidRDefault="0062660D" w:rsidP="00CD7572">
            <w:pPr>
              <w:jc w:val="right"/>
              <w:rPr>
                <w:rFonts w:ascii="Arial" w:hAnsi="Arial" w:cs="Arial"/>
              </w:rPr>
            </w:pPr>
            <w:r w:rsidRPr="00CD7572">
              <w:rPr>
                <w:rFonts w:ascii="Arial" w:hAnsi="Arial" w:cs="Arial"/>
              </w:rPr>
              <w:t>41.7</w:t>
            </w:r>
          </w:p>
        </w:tc>
      </w:tr>
      <w:tr w:rsidR="006A2C17" w:rsidTr="00E245D6">
        <w:trPr>
          <w:gridAfter w:val="1"/>
          <w:wAfter w:w="1195" w:type="dxa"/>
        </w:trPr>
        <w:tc>
          <w:tcPr>
            <w:tcW w:w="5058" w:type="dxa"/>
            <w:gridSpan w:val="2"/>
          </w:tcPr>
          <w:p w:rsidR="00CD7572" w:rsidRPr="00CD7572" w:rsidRDefault="0062660D" w:rsidP="00CD7572">
            <w:pPr>
              <w:rPr>
                <w:rFonts w:ascii="Arial" w:hAnsi="Arial" w:cs="Arial"/>
              </w:rPr>
            </w:pPr>
            <w:r w:rsidRPr="00CD7572">
              <w:rPr>
                <w:rFonts w:ascii="Arial" w:hAnsi="Arial" w:cs="Arial"/>
              </w:rPr>
              <w:t xml:space="preserve">Lump sum death </w:t>
            </w:r>
            <w:r w:rsidRPr="00CD7572">
              <w:rPr>
                <w:rFonts w:ascii="Arial" w:hAnsi="Arial" w:cs="Arial"/>
              </w:rPr>
              <w:t>benefits</w:t>
            </w:r>
          </w:p>
        </w:tc>
        <w:tc>
          <w:tcPr>
            <w:tcW w:w="1583" w:type="dxa"/>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5.1</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6.5</w:t>
            </w:r>
          </w:p>
        </w:tc>
      </w:tr>
      <w:tr w:rsidR="006A2C17" w:rsidTr="00E245D6">
        <w:trPr>
          <w:gridAfter w:val="1"/>
          <w:wAfter w:w="1195" w:type="dxa"/>
        </w:trPr>
        <w:tc>
          <w:tcPr>
            <w:tcW w:w="5058" w:type="dxa"/>
            <w:gridSpan w:val="2"/>
          </w:tcPr>
          <w:p w:rsidR="00CD7572" w:rsidRPr="00CD7572" w:rsidRDefault="0062660D" w:rsidP="00CD7572">
            <w:pPr>
              <w:rPr>
                <w:rFonts w:ascii="Arial" w:hAnsi="Arial" w:cs="Arial"/>
              </w:rPr>
            </w:pPr>
          </w:p>
        </w:tc>
        <w:tc>
          <w:tcPr>
            <w:tcW w:w="1583"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245.8</w:t>
            </w:r>
          </w:p>
        </w:tc>
        <w:tc>
          <w:tcPr>
            <w:tcW w:w="430" w:type="dxa"/>
          </w:tcPr>
          <w:p w:rsidR="00CD7572" w:rsidRPr="00CD7572" w:rsidRDefault="0062660D" w:rsidP="00CD7572">
            <w:pPr>
              <w:jc w:val="right"/>
              <w:rPr>
                <w:rFonts w:ascii="Arial" w:hAnsi="Arial" w:cs="Arial"/>
              </w:rPr>
            </w:pPr>
          </w:p>
        </w:tc>
        <w:tc>
          <w:tcPr>
            <w:tcW w:w="1696"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240.2</w:t>
            </w:r>
          </w:p>
        </w:tc>
      </w:tr>
      <w:tr w:rsidR="006A2C17" w:rsidTr="00E245D6">
        <w:trPr>
          <w:gridAfter w:val="1"/>
          <w:wAfter w:w="1195" w:type="dxa"/>
          <w:trHeight w:val="332"/>
        </w:trPr>
        <w:tc>
          <w:tcPr>
            <w:tcW w:w="5058" w:type="dxa"/>
            <w:gridSpan w:val="2"/>
          </w:tcPr>
          <w:p w:rsidR="00CD7572" w:rsidRPr="00CD7572" w:rsidRDefault="0062660D" w:rsidP="00CD7572">
            <w:pPr>
              <w:spacing w:after="0"/>
              <w:rPr>
                <w:rFonts w:ascii="Arial" w:hAnsi="Arial" w:cs="Arial"/>
                <w:b/>
              </w:rPr>
            </w:pPr>
          </w:p>
          <w:p w:rsidR="00CD7572" w:rsidRPr="00CD7572" w:rsidRDefault="0062660D" w:rsidP="00CD7572">
            <w:pPr>
              <w:spacing w:after="0"/>
              <w:rPr>
                <w:rFonts w:ascii="Arial" w:hAnsi="Arial" w:cs="Arial"/>
                <w:b/>
              </w:rPr>
            </w:pPr>
          </w:p>
          <w:p w:rsidR="00CD7572" w:rsidRPr="00CD7572" w:rsidRDefault="0062660D" w:rsidP="00CD7572">
            <w:pPr>
              <w:spacing w:after="0"/>
              <w:rPr>
                <w:rFonts w:ascii="Arial" w:hAnsi="Arial" w:cs="Arial"/>
                <w:b/>
              </w:rPr>
            </w:pPr>
          </w:p>
        </w:tc>
        <w:tc>
          <w:tcPr>
            <w:tcW w:w="1583" w:type="dxa"/>
          </w:tcPr>
          <w:p w:rsidR="00CD7572" w:rsidRPr="00CD7572" w:rsidRDefault="0062660D" w:rsidP="00CD7572">
            <w:pPr>
              <w:jc w:val="right"/>
              <w:rPr>
                <w:rFonts w:ascii="Arial" w:hAnsi="Arial" w:cs="Arial"/>
                <w:b/>
              </w:rPr>
            </w:pPr>
          </w:p>
        </w:tc>
        <w:tc>
          <w:tcPr>
            <w:tcW w:w="430" w:type="dxa"/>
          </w:tcPr>
          <w:p w:rsidR="00CD7572" w:rsidRPr="00CD7572" w:rsidRDefault="0062660D" w:rsidP="00CD7572">
            <w:pPr>
              <w:jc w:val="right"/>
              <w:rPr>
                <w:rFonts w:ascii="Arial" w:hAnsi="Arial" w:cs="Arial"/>
                <w:b/>
              </w:rPr>
            </w:pPr>
          </w:p>
        </w:tc>
        <w:tc>
          <w:tcPr>
            <w:tcW w:w="1696" w:type="dxa"/>
          </w:tcPr>
          <w:p w:rsidR="00CD7572" w:rsidRPr="00CD7572" w:rsidRDefault="0062660D" w:rsidP="00CD7572">
            <w:pPr>
              <w:jc w:val="right"/>
              <w:rPr>
                <w:rFonts w:ascii="Arial" w:hAnsi="Arial" w:cs="Arial"/>
                <w:b/>
              </w:rPr>
            </w:pPr>
          </w:p>
        </w:tc>
      </w:tr>
      <w:tr w:rsidR="006A2C17" w:rsidTr="00E245D6">
        <w:trPr>
          <w:gridAfter w:val="1"/>
          <w:wAfter w:w="1195" w:type="dxa"/>
        </w:trPr>
        <w:tc>
          <w:tcPr>
            <w:tcW w:w="5058" w:type="dxa"/>
            <w:gridSpan w:val="2"/>
          </w:tcPr>
          <w:p w:rsidR="00CD7572" w:rsidRPr="00CD7572" w:rsidRDefault="0062660D" w:rsidP="00CD7572">
            <w:pPr>
              <w:spacing w:after="0"/>
              <w:rPr>
                <w:rFonts w:ascii="Arial" w:hAnsi="Arial" w:cs="Arial"/>
                <w:b/>
              </w:rPr>
            </w:pPr>
            <w:r w:rsidRPr="00CD7572">
              <w:rPr>
                <w:rFonts w:ascii="Arial" w:hAnsi="Arial" w:cs="Arial"/>
                <w:b/>
              </w:rPr>
              <w:t>By authority</w:t>
            </w:r>
          </w:p>
          <w:p w:rsidR="00CD7572" w:rsidRPr="00CD7572" w:rsidRDefault="0062660D" w:rsidP="00CD7572">
            <w:pPr>
              <w:spacing w:after="0"/>
              <w:rPr>
                <w:rFonts w:ascii="Arial" w:hAnsi="Arial" w:cs="Arial"/>
              </w:rPr>
            </w:pPr>
          </w:p>
        </w:tc>
        <w:tc>
          <w:tcPr>
            <w:tcW w:w="1583" w:type="dxa"/>
          </w:tcPr>
          <w:p w:rsidR="00CD7572" w:rsidRPr="00CD7572" w:rsidRDefault="0062660D" w:rsidP="00CD7572">
            <w:pPr>
              <w:spacing w:after="0"/>
              <w:jc w:val="right"/>
              <w:rPr>
                <w:rFonts w:ascii="Arial" w:hAnsi="Arial" w:cs="Arial"/>
                <w:b/>
              </w:rPr>
            </w:pPr>
            <w:r w:rsidRPr="00CD7572">
              <w:rPr>
                <w:rFonts w:ascii="Arial" w:hAnsi="Arial" w:cs="Arial"/>
                <w:b/>
              </w:rPr>
              <w:t>2015/16</w:t>
            </w:r>
          </w:p>
          <w:p w:rsidR="00CD7572" w:rsidRPr="00CD7572" w:rsidRDefault="0062660D" w:rsidP="00CD7572">
            <w:pPr>
              <w:spacing w:after="0"/>
              <w:jc w:val="right"/>
              <w:rPr>
                <w:rFonts w:ascii="Arial" w:hAnsi="Arial" w:cs="Arial"/>
              </w:rPr>
            </w:pPr>
            <w:r w:rsidRPr="00CD7572">
              <w:rPr>
                <w:rFonts w:ascii="Arial" w:hAnsi="Arial" w:cs="Arial"/>
                <w:b/>
              </w:rPr>
              <w:t>£m</w:t>
            </w:r>
          </w:p>
        </w:tc>
        <w:tc>
          <w:tcPr>
            <w:tcW w:w="430" w:type="dxa"/>
          </w:tcPr>
          <w:p w:rsidR="00CD7572" w:rsidRPr="00CD7572" w:rsidRDefault="0062660D" w:rsidP="00CD7572">
            <w:pPr>
              <w:spacing w:after="0"/>
              <w:jc w:val="right"/>
              <w:rPr>
                <w:rFonts w:ascii="Arial" w:hAnsi="Arial" w:cs="Arial"/>
              </w:rPr>
            </w:pPr>
          </w:p>
        </w:tc>
        <w:tc>
          <w:tcPr>
            <w:tcW w:w="1696" w:type="dxa"/>
          </w:tcPr>
          <w:p w:rsidR="00CD7572" w:rsidRPr="00CD7572" w:rsidRDefault="0062660D" w:rsidP="00CD7572">
            <w:pPr>
              <w:spacing w:after="0"/>
              <w:jc w:val="right"/>
              <w:rPr>
                <w:rFonts w:ascii="Arial" w:hAnsi="Arial" w:cs="Arial"/>
                <w:b/>
              </w:rPr>
            </w:pPr>
            <w:r w:rsidRPr="00CD7572">
              <w:rPr>
                <w:rFonts w:ascii="Arial" w:hAnsi="Arial" w:cs="Arial"/>
                <w:b/>
              </w:rPr>
              <w:t>2014/15</w:t>
            </w:r>
          </w:p>
          <w:p w:rsidR="00CD7572" w:rsidRPr="00CD7572" w:rsidRDefault="0062660D" w:rsidP="00CD7572">
            <w:pPr>
              <w:spacing w:after="0"/>
              <w:jc w:val="right"/>
              <w:rPr>
                <w:rFonts w:ascii="Arial" w:hAnsi="Arial" w:cs="Arial"/>
              </w:rPr>
            </w:pPr>
            <w:r w:rsidRPr="00CD7572">
              <w:rPr>
                <w:rFonts w:ascii="Arial" w:hAnsi="Arial" w:cs="Arial"/>
                <w:b/>
              </w:rPr>
              <w:t>£m</w:t>
            </w:r>
          </w:p>
        </w:tc>
      </w:tr>
      <w:tr w:rsidR="006A2C17" w:rsidTr="00E245D6">
        <w:trPr>
          <w:gridAfter w:val="1"/>
          <w:wAfter w:w="1195" w:type="dxa"/>
        </w:trPr>
        <w:tc>
          <w:tcPr>
            <w:tcW w:w="5058" w:type="dxa"/>
            <w:gridSpan w:val="2"/>
          </w:tcPr>
          <w:p w:rsidR="00CD7572" w:rsidRPr="00CD7572" w:rsidRDefault="0062660D" w:rsidP="00CD7572">
            <w:pPr>
              <w:rPr>
                <w:rFonts w:ascii="Arial" w:hAnsi="Arial" w:cs="Arial"/>
              </w:rPr>
            </w:pPr>
            <w:r w:rsidRPr="00CD7572">
              <w:rPr>
                <w:rFonts w:ascii="Arial" w:hAnsi="Arial" w:cs="Arial"/>
              </w:rPr>
              <w:t>County council</w:t>
            </w:r>
          </w:p>
        </w:tc>
        <w:tc>
          <w:tcPr>
            <w:tcW w:w="1583" w:type="dxa"/>
          </w:tcPr>
          <w:p w:rsidR="00CD7572" w:rsidRPr="00CD7572" w:rsidRDefault="0062660D" w:rsidP="00CD7572">
            <w:pPr>
              <w:jc w:val="right"/>
              <w:rPr>
                <w:rFonts w:ascii="Arial" w:hAnsi="Arial" w:cs="Arial"/>
              </w:rPr>
            </w:pPr>
            <w:r w:rsidRPr="00CD7572">
              <w:rPr>
                <w:rFonts w:ascii="Arial" w:hAnsi="Arial" w:cs="Arial"/>
              </w:rPr>
              <w:t>107.2</w:t>
            </w:r>
          </w:p>
        </w:tc>
        <w:tc>
          <w:tcPr>
            <w:tcW w:w="430" w:type="dxa"/>
          </w:tcPr>
          <w:p w:rsidR="00CD7572" w:rsidRPr="00CD7572" w:rsidRDefault="0062660D" w:rsidP="00CD7572">
            <w:pPr>
              <w:jc w:val="right"/>
              <w:rPr>
                <w:rFonts w:ascii="Arial" w:hAnsi="Arial" w:cs="Arial"/>
              </w:rPr>
            </w:pPr>
          </w:p>
        </w:tc>
        <w:tc>
          <w:tcPr>
            <w:tcW w:w="1696" w:type="dxa"/>
          </w:tcPr>
          <w:p w:rsidR="00CD7572" w:rsidRPr="00CD7572" w:rsidRDefault="0062660D" w:rsidP="00CD7572">
            <w:pPr>
              <w:jc w:val="right"/>
              <w:rPr>
                <w:rFonts w:ascii="Arial" w:hAnsi="Arial" w:cs="Arial"/>
              </w:rPr>
            </w:pPr>
            <w:r w:rsidRPr="00CD7572">
              <w:rPr>
                <w:rFonts w:ascii="Arial" w:hAnsi="Arial" w:cs="Arial"/>
              </w:rPr>
              <w:t>106.3</w:t>
            </w:r>
          </w:p>
        </w:tc>
      </w:tr>
      <w:tr w:rsidR="006A2C17" w:rsidTr="00E245D6">
        <w:trPr>
          <w:gridAfter w:val="1"/>
          <w:wAfter w:w="1195" w:type="dxa"/>
        </w:trPr>
        <w:tc>
          <w:tcPr>
            <w:tcW w:w="5058" w:type="dxa"/>
            <w:gridSpan w:val="2"/>
          </w:tcPr>
          <w:p w:rsidR="00CD7572" w:rsidRPr="00CD7572" w:rsidRDefault="0062660D" w:rsidP="00CD7572">
            <w:pPr>
              <w:rPr>
                <w:rFonts w:ascii="Arial" w:hAnsi="Arial" w:cs="Arial"/>
              </w:rPr>
            </w:pPr>
            <w:r w:rsidRPr="00CD7572">
              <w:rPr>
                <w:rFonts w:ascii="Arial" w:hAnsi="Arial" w:cs="Arial"/>
              </w:rPr>
              <w:t>Scheduled bodies</w:t>
            </w:r>
          </w:p>
        </w:tc>
        <w:tc>
          <w:tcPr>
            <w:tcW w:w="1583" w:type="dxa"/>
          </w:tcPr>
          <w:p w:rsidR="00CD7572" w:rsidRPr="00CD7572" w:rsidRDefault="0062660D" w:rsidP="00CD7572">
            <w:pPr>
              <w:jc w:val="right"/>
              <w:rPr>
                <w:rFonts w:ascii="Arial" w:hAnsi="Arial" w:cs="Arial"/>
              </w:rPr>
            </w:pPr>
            <w:r w:rsidRPr="00CD7572">
              <w:rPr>
                <w:rFonts w:ascii="Arial" w:hAnsi="Arial" w:cs="Arial"/>
              </w:rPr>
              <w:t>120.4</w:t>
            </w:r>
          </w:p>
        </w:tc>
        <w:tc>
          <w:tcPr>
            <w:tcW w:w="430" w:type="dxa"/>
          </w:tcPr>
          <w:p w:rsidR="00CD7572" w:rsidRPr="00CD7572" w:rsidRDefault="0062660D" w:rsidP="00CD7572">
            <w:pPr>
              <w:jc w:val="right"/>
              <w:rPr>
                <w:rFonts w:ascii="Arial" w:hAnsi="Arial" w:cs="Arial"/>
              </w:rPr>
            </w:pPr>
          </w:p>
        </w:tc>
        <w:tc>
          <w:tcPr>
            <w:tcW w:w="1696" w:type="dxa"/>
          </w:tcPr>
          <w:p w:rsidR="00CD7572" w:rsidRPr="00CD7572" w:rsidRDefault="0062660D" w:rsidP="00CD7572">
            <w:pPr>
              <w:jc w:val="right"/>
              <w:rPr>
                <w:rFonts w:ascii="Arial" w:hAnsi="Arial" w:cs="Arial"/>
              </w:rPr>
            </w:pPr>
            <w:r w:rsidRPr="00CD7572">
              <w:rPr>
                <w:rFonts w:ascii="Arial" w:hAnsi="Arial" w:cs="Arial"/>
              </w:rPr>
              <w:t>118.5</w:t>
            </w:r>
          </w:p>
        </w:tc>
      </w:tr>
      <w:tr w:rsidR="006A2C17" w:rsidTr="00E245D6">
        <w:trPr>
          <w:gridAfter w:val="1"/>
          <w:wAfter w:w="1195" w:type="dxa"/>
        </w:trPr>
        <w:tc>
          <w:tcPr>
            <w:tcW w:w="5058" w:type="dxa"/>
            <w:gridSpan w:val="2"/>
          </w:tcPr>
          <w:p w:rsidR="00CD7572" w:rsidRPr="00CD7572" w:rsidRDefault="0062660D" w:rsidP="00CD7572">
            <w:pPr>
              <w:rPr>
                <w:rFonts w:ascii="Arial" w:hAnsi="Arial" w:cs="Arial"/>
              </w:rPr>
            </w:pPr>
            <w:r w:rsidRPr="00CD7572">
              <w:rPr>
                <w:rFonts w:ascii="Arial" w:hAnsi="Arial" w:cs="Arial"/>
              </w:rPr>
              <w:t>Admitted bodies</w:t>
            </w:r>
          </w:p>
        </w:tc>
        <w:tc>
          <w:tcPr>
            <w:tcW w:w="1583" w:type="dxa"/>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18.2</w:t>
            </w:r>
          </w:p>
        </w:tc>
        <w:tc>
          <w:tcPr>
            <w:tcW w:w="430" w:type="dxa"/>
          </w:tcPr>
          <w:p w:rsidR="00CD7572" w:rsidRPr="00CD7572" w:rsidRDefault="0062660D" w:rsidP="00CD7572">
            <w:pPr>
              <w:jc w:val="right"/>
              <w:rPr>
                <w:rFonts w:ascii="Arial" w:hAnsi="Arial" w:cs="Arial"/>
              </w:rPr>
            </w:pPr>
          </w:p>
        </w:tc>
        <w:tc>
          <w:tcPr>
            <w:tcW w:w="1696" w:type="dxa"/>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15.4</w:t>
            </w:r>
          </w:p>
        </w:tc>
      </w:tr>
      <w:tr w:rsidR="006A2C17" w:rsidTr="00E245D6">
        <w:trPr>
          <w:gridAfter w:val="1"/>
          <w:wAfter w:w="1195" w:type="dxa"/>
        </w:trPr>
        <w:tc>
          <w:tcPr>
            <w:tcW w:w="5058" w:type="dxa"/>
            <w:gridSpan w:val="2"/>
          </w:tcPr>
          <w:p w:rsidR="00CD7572" w:rsidRPr="00CD7572" w:rsidRDefault="0062660D" w:rsidP="00CD7572">
            <w:pPr>
              <w:rPr>
                <w:rFonts w:ascii="Arial" w:hAnsi="Arial" w:cs="Arial"/>
              </w:rPr>
            </w:pPr>
          </w:p>
        </w:tc>
        <w:tc>
          <w:tcPr>
            <w:tcW w:w="1583"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245.8</w:t>
            </w:r>
          </w:p>
        </w:tc>
        <w:tc>
          <w:tcPr>
            <w:tcW w:w="430" w:type="dxa"/>
          </w:tcPr>
          <w:p w:rsidR="00CD7572" w:rsidRPr="00CD7572" w:rsidRDefault="0062660D" w:rsidP="00CD7572">
            <w:pPr>
              <w:jc w:val="right"/>
              <w:rPr>
                <w:rFonts w:ascii="Arial" w:hAnsi="Arial" w:cs="Arial"/>
              </w:rPr>
            </w:pPr>
          </w:p>
        </w:tc>
        <w:tc>
          <w:tcPr>
            <w:tcW w:w="1696"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240.2</w:t>
            </w:r>
          </w:p>
        </w:tc>
      </w:tr>
      <w:tr w:rsidR="006A2C17" w:rsidTr="00E245D6">
        <w:tc>
          <w:tcPr>
            <w:tcW w:w="3320" w:type="dxa"/>
          </w:tcPr>
          <w:p w:rsidR="00CD7572" w:rsidRPr="00CD7572" w:rsidRDefault="0062660D" w:rsidP="00CD7572">
            <w:pPr>
              <w:rPr>
                <w:rFonts w:ascii="Arial" w:hAnsi="Arial" w:cs="Arial"/>
                <w:b/>
              </w:rPr>
            </w:pPr>
          </w:p>
          <w:p w:rsidR="00CD7572" w:rsidRPr="00CD7572" w:rsidRDefault="0062660D" w:rsidP="00CD7572">
            <w:pPr>
              <w:rPr>
                <w:rFonts w:ascii="Arial" w:hAnsi="Arial" w:cs="Arial"/>
                <w:b/>
              </w:rPr>
            </w:pPr>
          </w:p>
        </w:tc>
        <w:tc>
          <w:tcPr>
            <w:tcW w:w="3321" w:type="dxa"/>
            <w:gridSpan w:val="2"/>
          </w:tcPr>
          <w:p w:rsidR="00CD7572" w:rsidRPr="00CD7572" w:rsidRDefault="0062660D" w:rsidP="00CD7572">
            <w:pPr>
              <w:jc w:val="right"/>
              <w:rPr>
                <w:rFonts w:ascii="Arial" w:hAnsi="Arial" w:cs="Arial"/>
                <w:b/>
              </w:rPr>
            </w:pPr>
          </w:p>
        </w:tc>
        <w:tc>
          <w:tcPr>
            <w:tcW w:w="3321" w:type="dxa"/>
            <w:gridSpan w:val="3"/>
          </w:tcPr>
          <w:p w:rsidR="00CD7572" w:rsidRPr="00CD7572" w:rsidRDefault="0062660D" w:rsidP="00CD7572">
            <w:pPr>
              <w:ind w:left="1340"/>
              <w:rPr>
                <w:rFonts w:ascii="Arial" w:hAnsi="Arial" w:cs="Arial"/>
                <w:b/>
              </w:rPr>
            </w:pPr>
          </w:p>
        </w:tc>
      </w:tr>
    </w:tbl>
    <w:p w:rsidR="00CD7572" w:rsidRPr="00CD7572" w:rsidRDefault="0062660D" w:rsidP="00CD7572">
      <w:pPr>
        <w:numPr>
          <w:ilvl w:val="0"/>
          <w:numId w:val="8"/>
        </w:numPr>
        <w:autoSpaceDE/>
        <w:autoSpaceDN/>
        <w:adjustRightInd/>
        <w:spacing w:after="0"/>
        <w:ind w:left="862"/>
        <w:jc w:val="left"/>
        <w:rPr>
          <w:rFonts w:cs="Arial"/>
          <w:b/>
          <w:sz w:val="32"/>
          <w:szCs w:val="32"/>
        </w:rPr>
      </w:pPr>
      <w:r w:rsidRPr="00CD7572">
        <w:rPr>
          <w:rFonts w:cs="Arial"/>
          <w:b/>
          <w:sz w:val="32"/>
          <w:szCs w:val="32"/>
        </w:rPr>
        <w:t>Payments to and on account of leavers</w:t>
      </w:r>
    </w:p>
    <w:p w:rsidR="00CD7572" w:rsidRPr="00CD7572" w:rsidRDefault="0062660D" w:rsidP="00CD7572">
      <w:pPr>
        <w:ind w:left="862"/>
        <w:rPr>
          <w:rFonts w:cs="Arial"/>
          <w:b/>
        </w:rPr>
      </w:pPr>
    </w:p>
    <w:tbl>
      <w:tblPr>
        <w:tblStyle w:val="TableGrid1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24"/>
        <w:gridCol w:w="260"/>
        <w:gridCol w:w="170"/>
        <w:gridCol w:w="1526"/>
      </w:tblGrid>
      <w:tr w:rsidR="006A2C17" w:rsidTr="00E245D6">
        <w:tc>
          <w:tcPr>
            <w:tcW w:w="5058" w:type="dxa"/>
          </w:tcPr>
          <w:p w:rsidR="00CD7572" w:rsidRPr="00CD7572" w:rsidRDefault="0062660D" w:rsidP="00CD7572">
            <w:pPr>
              <w:spacing w:after="0"/>
              <w:rPr>
                <w:rFonts w:ascii="Arial" w:hAnsi="Arial" w:cs="Arial"/>
                <w:b/>
              </w:rPr>
            </w:pPr>
          </w:p>
        </w:tc>
        <w:tc>
          <w:tcPr>
            <w:tcW w:w="1559" w:type="dxa"/>
          </w:tcPr>
          <w:p w:rsidR="00CD7572" w:rsidRPr="00CD7572" w:rsidRDefault="0062660D" w:rsidP="00CD7572">
            <w:pPr>
              <w:spacing w:after="0"/>
              <w:jc w:val="right"/>
              <w:rPr>
                <w:rFonts w:ascii="Arial" w:hAnsi="Arial" w:cs="Arial"/>
                <w:b/>
              </w:rPr>
            </w:pPr>
            <w:r w:rsidRPr="00CD7572">
              <w:rPr>
                <w:rFonts w:ascii="Arial" w:hAnsi="Arial" w:cs="Arial"/>
                <w:b/>
              </w:rPr>
              <w:t>2015/16</w:t>
            </w:r>
          </w:p>
          <w:p w:rsidR="00CD7572" w:rsidRPr="00CD7572" w:rsidRDefault="0062660D" w:rsidP="00CD7572">
            <w:pPr>
              <w:spacing w:after="0"/>
              <w:jc w:val="right"/>
              <w:rPr>
                <w:rFonts w:ascii="Arial" w:hAnsi="Arial" w:cs="Arial"/>
                <w:b/>
              </w:rPr>
            </w:pPr>
            <w:r w:rsidRPr="00CD7572">
              <w:rPr>
                <w:rFonts w:ascii="Arial" w:hAnsi="Arial" w:cs="Arial"/>
                <w:b/>
              </w:rPr>
              <w:t>£m</w:t>
            </w:r>
          </w:p>
        </w:tc>
        <w:tc>
          <w:tcPr>
            <w:tcW w:w="284" w:type="dxa"/>
            <w:gridSpan w:val="2"/>
            <w:tcBorders>
              <w:right w:val="single" w:sz="4" w:space="0" w:color="FFFFFF" w:themeColor="background1"/>
            </w:tcBorders>
          </w:tcPr>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p>
        </w:tc>
        <w:tc>
          <w:tcPr>
            <w:tcW w:w="1696" w:type="dxa"/>
            <w:gridSpan w:val="2"/>
            <w:tcBorders>
              <w:left w:val="single" w:sz="4" w:space="0" w:color="FFFFFF" w:themeColor="background1"/>
            </w:tcBorders>
          </w:tcPr>
          <w:p w:rsidR="00CD7572" w:rsidRPr="00CD7572" w:rsidRDefault="0062660D" w:rsidP="00CD7572">
            <w:pPr>
              <w:spacing w:after="0"/>
              <w:jc w:val="right"/>
              <w:rPr>
                <w:rFonts w:ascii="Arial" w:hAnsi="Arial" w:cs="Arial"/>
                <w:b/>
              </w:rPr>
            </w:pPr>
            <w:r w:rsidRPr="00CD7572">
              <w:rPr>
                <w:rFonts w:ascii="Arial" w:hAnsi="Arial" w:cs="Arial"/>
                <w:b/>
              </w:rPr>
              <w:t>2014/15</w:t>
            </w:r>
          </w:p>
          <w:p w:rsidR="00CD7572" w:rsidRPr="00CD7572" w:rsidRDefault="0062660D" w:rsidP="00CD7572">
            <w:pPr>
              <w:spacing w:after="0"/>
              <w:jc w:val="right"/>
              <w:rPr>
                <w:rFonts w:ascii="Arial" w:hAnsi="Arial" w:cs="Arial"/>
                <w:b/>
              </w:rPr>
            </w:pPr>
            <w:r w:rsidRPr="00CD7572">
              <w:rPr>
                <w:rFonts w:ascii="Arial" w:hAnsi="Arial" w:cs="Arial"/>
                <w:b/>
              </w:rPr>
              <w:t>£m</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Refunds to members leaving service</w:t>
            </w:r>
          </w:p>
        </w:tc>
        <w:tc>
          <w:tcPr>
            <w:tcW w:w="1559" w:type="dxa"/>
          </w:tcPr>
          <w:p w:rsidR="00CD7572" w:rsidRPr="00CD7572" w:rsidRDefault="0062660D" w:rsidP="00CD7572">
            <w:pPr>
              <w:jc w:val="right"/>
              <w:rPr>
                <w:rFonts w:ascii="Arial" w:hAnsi="Arial" w:cs="Arial"/>
              </w:rPr>
            </w:pPr>
            <w:r w:rsidRPr="00CD7572">
              <w:rPr>
                <w:rFonts w:ascii="Arial" w:hAnsi="Arial" w:cs="Arial"/>
              </w:rPr>
              <w:t>0.7</w:t>
            </w:r>
          </w:p>
        </w:tc>
        <w:tc>
          <w:tcPr>
            <w:tcW w:w="284" w:type="dxa"/>
            <w:gridSpan w:val="2"/>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gridSpan w:val="2"/>
            <w:tcBorders>
              <w:left w:val="single" w:sz="4" w:space="0" w:color="FFFFFF" w:themeColor="background1"/>
            </w:tcBorders>
          </w:tcPr>
          <w:p w:rsidR="00CD7572" w:rsidRPr="00CD7572" w:rsidRDefault="0062660D" w:rsidP="00CD7572">
            <w:pPr>
              <w:jc w:val="right"/>
              <w:rPr>
                <w:rFonts w:ascii="Arial" w:hAnsi="Arial" w:cs="Arial"/>
              </w:rPr>
            </w:pPr>
            <w:r w:rsidRPr="00CD7572">
              <w:rPr>
                <w:rFonts w:ascii="Arial" w:hAnsi="Arial" w:cs="Arial"/>
              </w:rPr>
              <w:t>0.2</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Individual transfers</w:t>
            </w:r>
          </w:p>
        </w:tc>
        <w:tc>
          <w:tcPr>
            <w:tcW w:w="1583" w:type="dxa"/>
            <w:gridSpan w:val="2"/>
          </w:tcPr>
          <w:p w:rsidR="00CD7572" w:rsidRPr="00CD7572" w:rsidRDefault="0062660D" w:rsidP="00CD7572">
            <w:pPr>
              <w:jc w:val="right"/>
              <w:rPr>
                <w:rFonts w:ascii="Arial" w:hAnsi="Arial" w:cs="Arial"/>
              </w:rPr>
            </w:pPr>
            <w:r w:rsidRPr="00CD7572">
              <w:rPr>
                <w:rFonts w:ascii="Arial" w:hAnsi="Arial" w:cs="Arial"/>
              </w:rPr>
              <w:t>11.2</w:t>
            </w:r>
          </w:p>
        </w:tc>
        <w:tc>
          <w:tcPr>
            <w:tcW w:w="430" w:type="dxa"/>
            <w:gridSpan w:val="2"/>
          </w:tcPr>
          <w:p w:rsidR="00CD7572" w:rsidRPr="00CD7572" w:rsidRDefault="0062660D" w:rsidP="00CD7572">
            <w:pPr>
              <w:jc w:val="right"/>
              <w:rPr>
                <w:rFonts w:ascii="Arial" w:hAnsi="Arial" w:cs="Arial"/>
              </w:rPr>
            </w:pPr>
          </w:p>
        </w:tc>
        <w:tc>
          <w:tcPr>
            <w:tcW w:w="1526" w:type="dxa"/>
          </w:tcPr>
          <w:p w:rsidR="00CD7572" w:rsidRPr="00CD7572" w:rsidRDefault="0062660D" w:rsidP="00CD7572">
            <w:pPr>
              <w:jc w:val="right"/>
              <w:rPr>
                <w:rFonts w:ascii="Arial" w:hAnsi="Arial" w:cs="Arial"/>
              </w:rPr>
            </w:pPr>
            <w:r w:rsidRPr="00CD7572">
              <w:rPr>
                <w:rFonts w:ascii="Arial" w:hAnsi="Arial" w:cs="Arial"/>
              </w:rPr>
              <w:t>10.3</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Group transfers</w:t>
            </w:r>
          </w:p>
        </w:tc>
        <w:tc>
          <w:tcPr>
            <w:tcW w:w="1583" w:type="dxa"/>
            <w:gridSpan w:val="2"/>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0.6</w:t>
            </w:r>
          </w:p>
        </w:tc>
        <w:tc>
          <w:tcPr>
            <w:tcW w:w="430" w:type="dxa"/>
            <w:gridSpan w:val="2"/>
          </w:tcPr>
          <w:p w:rsidR="00CD7572" w:rsidRPr="00CD7572" w:rsidRDefault="0062660D" w:rsidP="00CD7572">
            <w:pPr>
              <w:jc w:val="right"/>
              <w:rPr>
                <w:rFonts w:ascii="Arial" w:hAnsi="Arial" w:cs="Arial"/>
              </w:rPr>
            </w:pPr>
          </w:p>
        </w:tc>
        <w:tc>
          <w:tcPr>
            <w:tcW w:w="1526" w:type="dxa"/>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89.6</w:t>
            </w:r>
          </w:p>
        </w:tc>
      </w:tr>
      <w:tr w:rsidR="006A2C17" w:rsidTr="00E245D6">
        <w:tc>
          <w:tcPr>
            <w:tcW w:w="5058" w:type="dxa"/>
          </w:tcPr>
          <w:p w:rsidR="00CD7572" w:rsidRPr="00CD7572" w:rsidRDefault="0062660D" w:rsidP="00CD7572">
            <w:pPr>
              <w:rPr>
                <w:rFonts w:ascii="Arial" w:hAnsi="Arial" w:cs="Arial"/>
              </w:rPr>
            </w:pPr>
          </w:p>
        </w:tc>
        <w:tc>
          <w:tcPr>
            <w:tcW w:w="1583" w:type="dxa"/>
            <w:gridSpan w:val="2"/>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12.5</w:t>
            </w:r>
          </w:p>
        </w:tc>
        <w:tc>
          <w:tcPr>
            <w:tcW w:w="430" w:type="dxa"/>
            <w:gridSpan w:val="2"/>
          </w:tcPr>
          <w:p w:rsidR="00CD7572" w:rsidRPr="00CD7572" w:rsidRDefault="0062660D" w:rsidP="00CD7572">
            <w:pPr>
              <w:jc w:val="right"/>
              <w:rPr>
                <w:rFonts w:ascii="Arial" w:hAnsi="Arial" w:cs="Arial"/>
              </w:rPr>
            </w:pPr>
          </w:p>
        </w:tc>
        <w:tc>
          <w:tcPr>
            <w:tcW w:w="1526"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100.1</w:t>
            </w:r>
          </w:p>
        </w:tc>
      </w:tr>
    </w:tbl>
    <w:p w:rsidR="00CD7572" w:rsidRPr="00CD7572" w:rsidRDefault="0062660D" w:rsidP="00CD7572">
      <w:pPr>
        <w:ind w:left="720"/>
      </w:pPr>
    </w:p>
    <w:p w:rsidR="00CD7572" w:rsidRPr="00CD7572" w:rsidRDefault="0062660D" w:rsidP="00CD7572">
      <w:pPr>
        <w:rPr>
          <w:rFonts w:cs="Arial"/>
        </w:rPr>
      </w:pPr>
    </w:p>
    <w:p w:rsidR="00CD7572" w:rsidRPr="00CD7572" w:rsidRDefault="0062660D" w:rsidP="00CD7572">
      <w:pPr>
        <w:numPr>
          <w:ilvl w:val="0"/>
          <w:numId w:val="8"/>
        </w:numPr>
        <w:autoSpaceDE/>
        <w:autoSpaceDN/>
        <w:adjustRightInd/>
        <w:spacing w:after="0"/>
        <w:ind w:left="862"/>
        <w:jc w:val="left"/>
        <w:rPr>
          <w:rFonts w:cs="Arial"/>
          <w:b/>
          <w:sz w:val="32"/>
          <w:szCs w:val="32"/>
        </w:rPr>
      </w:pPr>
      <w:r w:rsidRPr="00CD7572">
        <w:rPr>
          <w:rFonts w:cs="Arial"/>
          <w:b/>
          <w:sz w:val="32"/>
          <w:szCs w:val="32"/>
        </w:rPr>
        <w:t>Management expenses</w:t>
      </w:r>
    </w:p>
    <w:tbl>
      <w:tblPr>
        <w:tblStyle w:val="TableGrid1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6A2C17" w:rsidTr="00E245D6">
        <w:tc>
          <w:tcPr>
            <w:tcW w:w="5058" w:type="dxa"/>
          </w:tcPr>
          <w:p w:rsidR="00CD7572" w:rsidRPr="00CD7572" w:rsidRDefault="0062660D" w:rsidP="00CD7572">
            <w:pPr>
              <w:spacing w:after="0"/>
              <w:rPr>
                <w:rFonts w:ascii="Arial" w:hAnsi="Arial" w:cs="Arial"/>
                <w:b/>
              </w:rPr>
            </w:pPr>
          </w:p>
        </w:tc>
        <w:tc>
          <w:tcPr>
            <w:tcW w:w="1559" w:type="dxa"/>
          </w:tcPr>
          <w:p w:rsidR="00CD7572" w:rsidRPr="00CD7572" w:rsidRDefault="0062660D" w:rsidP="00CD7572">
            <w:pPr>
              <w:spacing w:after="0"/>
              <w:jc w:val="right"/>
              <w:rPr>
                <w:rFonts w:ascii="Arial" w:hAnsi="Arial" w:cs="Arial"/>
                <w:b/>
              </w:rPr>
            </w:pPr>
            <w:r w:rsidRPr="00CD7572">
              <w:rPr>
                <w:rFonts w:ascii="Arial" w:hAnsi="Arial" w:cs="Arial"/>
                <w:b/>
              </w:rPr>
              <w:t>2015/16</w:t>
            </w:r>
          </w:p>
          <w:p w:rsidR="00CD7572" w:rsidRPr="00CD7572" w:rsidRDefault="0062660D" w:rsidP="00CD7572">
            <w:pPr>
              <w:spacing w:after="0"/>
              <w:jc w:val="right"/>
              <w:rPr>
                <w:rFonts w:ascii="Arial" w:hAnsi="Arial" w:cs="Arial"/>
                <w:b/>
              </w:rPr>
            </w:pPr>
            <w:r w:rsidRPr="00CD7572">
              <w:rPr>
                <w:rFonts w:ascii="Arial" w:hAnsi="Arial" w:cs="Arial"/>
                <w:b/>
              </w:rPr>
              <w:t>£m</w:t>
            </w:r>
          </w:p>
        </w:tc>
        <w:tc>
          <w:tcPr>
            <w:tcW w:w="430" w:type="dxa"/>
            <w:tcBorders>
              <w:right w:val="single" w:sz="4" w:space="0" w:color="FFFFFF" w:themeColor="background1"/>
            </w:tcBorders>
          </w:tcPr>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p>
        </w:tc>
        <w:tc>
          <w:tcPr>
            <w:tcW w:w="1696" w:type="dxa"/>
            <w:tcBorders>
              <w:left w:val="single" w:sz="4" w:space="0" w:color="FFFFFF" w:themeColor="background1"/>
            </w:tcBorders>
          </w:tcPr>
          <w:p w:rsidR="00CD7572" w:rsidRPr="00CD7572" w:rsidRDefault="0062660D" w:rsidP="00CD7572">
            <w:pPr>
              <w:spacing w:after="0"/>
              <w:jc w:val="right"/>
              <w:rPr>
                <w:rFonts w:ascii="Arial" w:hAnsi="Arial" w:cs="Arial"/>
                <w:b/>
              </w:rPr>
            </w:pPr>
            <w:r w:rsidRPr="00CD7572">
              <w:rPr>
                <w:rFonts w:ascii="Arial" w:hAnsi="Arial" w:cs="Arial"/>
                <w:b/>
              </w:rPr>
              <w:t>2014/15</w:t>
            </w:r>
          </w:p>
          <w:p w:rsidR="00CD7572" w:rsidRPr="00CD7572" w:rsidRDefault="0062660D" w:rsidP="00CD7572">
            <w:pPr>
              <w:spacing w:after="0"/>
              <w:jc w:val="right"/>
              <w:rPr>
                <w:rFonts w:ascii="Arial" w:hAnsi="Arial" w:cs="Arial"/>
                <w:b/>
              </w:rPr>
            </w:pPr>
            <w:r w:rsidRPr="00CD7572">
              <w:rPr>
                <w:rFonts w:ascii="Arial" w:hAnsi="Arial" w:cs="Arial"/>
                <w:b/>
              </w:rPr>
              <w:t>£m</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Administrative costs</w:t>
            </w:r>
          </w:p>
        </w:tc>
        <w:tc>
          <w:tcPr>
            <w:tcW w:w="1559" w:type="dxa"/>
          </w:tcPr>
          <w:p w:rsidR="00CD7572" w:rsidRPr="00CD7572" w:rsidRDefault="0062660D" w:rsidP="00CD7572">
            <w:pPr>
              <w:jc w:val="right"/>
              <w:rPr>
                <w:rFonts w:ascii="Arial" w:hAnsi="Arial" w:cs="Arial"/>
              </w:rPr>
            </w:pPr>
            <w:r w:rsidRPr="00CD7572">
              <w:rPr>
                <w:rFonts w:ascii="Arial" w:hAnsi="Arial" w:cs="Arial"/>
              </w:rPr>
              <w:t>4.1</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tcBorders>
          </w:tcPr>
          <w:p w:rsidR="00CD7572" w:rsidRPr="00CD7572" w:rsidRDefault="0062660D" w:rsidP="00CD7572">
            <w:pPr>
              <w:jc w:val="right"/>
              <w:rPr>
                <w:rFonts w:ascii="Arial" w:hAnsi="Arial" w:cs="Arial"/>
              </w:rPr>
            </w:pPr>
            <w:r w:rsidRPr="00CD7572">
              <w:rPr>
                <w:rFonts w:ascii="Arial" w:hAnsi="Arial" w:cs="Arial"/>
              </w:rPr>
              <w:t>3.5</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Investment management expenses</w:t>
            </w:r>
          </w:p>
        </w:tc>
        <w:tc>
          <w:tcPr>
            <w:tcW w:w="1559" w:type="dxa"/>
          </w:tcPr>
          <w:p w:rsidR="00CD7572" w:rsidRPr="00CD7572" w:rsidRDefault="0062660D" w:rsidP="00CD7572">
            <w:pPr>
              <w:jc w:val="right"/>
              <w:rPr>
                <w:rFonts w:ascii="Arial" w:hAnsi="Arial" w:cs="Arial"/>
              </w:rPr>
            </w:pPr>
            <w:r w:rsidRPr="00CD7572">
              <w:rPr>
                <w:rFonts w:ascii="Arial" w:hAnsi="Arial" w:cs="Arial"/>
              </w:rPr>
              <w:t>32.5</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tcBorders>
          </w:tcPr>
          <w:p w:rsidR="00CD7572" w:rsidRPr="00CD7572" w:rsidRDefault="0062660D" w:rsidP="00CD7572">
            <w:pPr>
              <w:jc w:val="right"/>
              <w:rPr>
                <w:rFonts w:ascii="Arial" w:hAnsi="Arial" w:cs="Arial"/>
              </w:rPr>
            </w:pPr>
            <w:r w:rsidRPr="00CD7572">
              <w:rPr>
                <w:rFonts w:ascii="Arial" w:hAnsi="Arial" w:cs="Arial"/>
              </w:rPr>
              <w:t>29.4</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 xml:space="preserve">Oversight and </w:t>
            </w:r>
            <w:r w:rsidRPr="00CD7572">
              <w:rPr>
                <w:rFonts w:ascii="Arial" w:hAnsi="Arial" w:cs="Arial"/>
              </w:rPr>
              <w:t>governance costs</w:t>
            </w:r>
          </w:p>
        </w:tc>
        <w:tc>
          <w:tcPr>
            <w:tcW w:w="1559" w:type="dxa"/>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8.7</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2.5</w:t>
            </w:r>
          </w:p>
        </w:tc>
      </w:tr>
      <w:tr w:rsidR="006A2C17" w:rsidTr="00E245D6">
        <w:tc>
          <w:tcPr>
            <w:tcW w:w="5058" w:type="dxa"/>
          </w:tcPr>
          <w:p w:rsidR="00CD7572" w:rsidRPr="00CD7572" w:rsidRDefault="0062660D" w:rsidP="00CD7572">
            <w:pPr>
              <w:rPr>
                <w:rFonts w:ascii="Arial" w:hAnsi="Arial" w:cs="Arial"/>
              </w:rPr>
            </w:pPr>
          </w:p>
        </w:tc>
        <w:tc>
          <w:tcPr>
            <w:tcW w:w="1559"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45.3</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top w:val="single" w:sz="18" w:space="0" w:color="auto"/>
              <w:left w:val="single" w:sz="4" w:space="0" w:color="FFFFFF" w:themeColor="background1"/>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35.4</w:t>
            </w:r>
          </w:p>
        </w:tc>
      </w:tr>
    </w:tbl>
    <w:p w:rsidR="00CE5E6E" w:rsidRDefault="0062660D" w:rsidP="001F6DA7">
      <w:pPr>
        <w:spacing w:after="0" w:line="231" w:lineRule="atLeast"/>
        <w:ind w:left="709"/>
        <w:jc w:val="left"/>
        <w:rPr>
          <w:rFonts w:eastAsia="Times New Roman" w:cs="Arial"/>
          <w:color w:val="auto"/>
          <w:lang w:eastAsia="en-GB"/>
        </w:rPr>
      </w:pPr>
    </w:p>
    <w:p w:rsidR="00CD7572" w:rsidRDefault="0062660D" w:rsidP="00CE5E6E">
      <w:pPr>
        <w:spacing w:after="0"/>
        <w:ind w:left="709"/>
        <w:jc w:val="left"/>
        <w:rPr>
          <w:rFonts w:eastAsia="Times New Roman" w:cs="Arial"/>
          <w:color w:val="auto"/>
          <w:lang w:eastAsia="en-GB"/>
        </w:rPr>
      </w:pPr>
      <w:r w:rsidRPr="00CD7572">
        <w:rPr>
          <w:rFonts w:eastAsia="Times New Roman" w:cs="Arial"/>
          <w:color w:val="auto"/>
          <w:lang w:eastAsia="en-GB"/>
        </w:rPr>
        <w:t>Oversight and governance costs rose during the year due to legal and advisory costs arising from the implementation of infrastructure opportunities in line with the Funds investment strategy as well costs associated</w:t>
      </w:r>
      <w:r w:rsidRPr="00CD7572">
        <w:rPr>
          <w:rFonts w:eastAsia="Times New Roman" w:cs="Arial"/>
          <w:color w:val="auto"/>
          <w:lang w:eastAsia="en-GB"/>
        </w:rPr>
        <w:t xml:space="preserve"> with the Funds partnership with the LPFA for the pooling of the executive and investment assets of the two organisations.</w:t>
      </w:r>
    </w:p>
    <w:p w:rsidR="001F6DA7" w:rsidRDefault="0062660D" w:rsidP="00CE5E6E">
      <w:pPr>
        <w:spacing w:after="0"/>
        <w:ind w:left="709"/>
        <w:jc w:val="left"/>
        <w:rPr>
          <w:rFonts w:eastAsia="Times New Roman" w:cs="Arial"/>
          <w:color w:val="auto"/>
          <w:lang w:eastAsia="en-GB"/>
        </w:rPr>
      </w:pPr>
    </w:p>
    <w:p w:rsidR="001F6DA7" w:rsidRDefault="0062660D" w:rsidP="00CE5E6E">
      <w:pPr>
        <w:pStyle w:val="Default"/>
        <w:ind w:left="709" w:firstLine="11"/>
      </w:pPr>
      <w:r>
        <w:t>Included in the oversight and governance costs are the external audit fees.  For 15/16 and 14/15 these are £34,169</w:t>
      </w:r>
    </w:p>
    <w:p w:rsidR="00CD7572" w:rsidRDefault="0062660D" w:rsidP="00CD7572">
      <w:pPr>
        <w:spacing w:after="0"/>
        <w:jc w:val="left"/>
        <w:rPr>
          <w:rFonts w:eastAsia="Times New Roman" w:cs="Arial"/>
          <w:lang w:eastAsia="en-GB"/>
        </w:rPr>
      </w:pPr>
    </w:p>
    <w:p w:rsidR="00CE5E6E" w:rsidRPr="00CD7572" w:rsidRDefault="0062660D" w:rsidP="00CD7572">
      <w:pPr>
        <w:spacing w:after="0"/>
        <w:jc w:val="left"/>
        <w:rPr>
          <w:rFonts w:eastAsia="Times New Roman" w:cs="Arial"/>
          <w:lang w:eastAsia="en-GB"/>
        </w:rPr>
      </w:pPr>
    </w:p>
    <w:p w:rsidR="00CD7572" w:rsidRPr="00CD7572" w:rsidRDefault="0062660D" w:rsidP="00CD7572">
      <w:pPr>
        <w:spacing w:after="0"/>
        <w:jc w:val="left"/>
        <w:rPr>
          <w:rFonts w:eastAsia="Times New Roman" w:cs="Arial"/>
          <w:lang w:eastAsia="en-GB"/>
        </w:rPr>
      </w:pPr>
    </w:p>
    <w:p w:rsidR="00CD7572" w:rsidRPr="00CD7572" w:rsidRDefault="0062660D" w:rsidP="00CD7572">
      <w:pPr>
        <w:autoSpaceDE/>
        <w:autoSpaceDN/>
        <w:adjustRightInd/>
        <w:spacing w:after="0"/>
        <w:jc w:val="left"/>
        <w:rPr>
          <w:rFonts w:cs="Arial"/>
          <w:b/>
          <w:sz w:val="32"/>
          <w:szCs w:val="32"/>
        </w:rPr>
      </w:pPr>
      <w:r w:rsidRPr="00CD7572">
        <w:rPr>
          <w:rFonts w:cs="Arial"/>
          <w:sz w:val="32"/>
          <w:szCs w:val="32"/>
        </w:rPr>
        <w:t xml:space="preserve">10.1 </w:t>
      </w:r>
      <w:r w:rsidRPr="00CD7572">
        <w:rPr>
          <w:rFonts w:cs="Arial"/>
          <w:b/>
          <w:sz w:val="32"/>
          <w:szCs w:val="32"/>
        </w:rPr>
        <w:tab/>
      </w:r>
      <w:r w:rsidRPr="00CD7572">
        <w:rPr>
          <w:rFonts w:cs="Arial"/>
          <w:b/>
          <w:sz w:val="32"/>
          <w:szCs w:val="32"/>
        </w:rPr>
        <w:t>Investment management expenses</w:t>
      </w:r>
    </w:p>
    <w:tbl>
      <w:tblPr>
        <w:tblStyle w:val="TableGrid1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6A2C17" w:rsidTr="00E245D6">
        <w:tc>
          <w:tcPr>
            <w:tcW w:w="5058" w:type="dxa"/>
          </w:tcPr>
          <w:p w:rsidR="00CD7572" w:rsidRPr="00CD7572" w:rsidRDefault="0062660D" w:rsidP="00CD7572">
            <w:pPr>
              <w:spacing w:after="0"/>
              <w:rPr>
                <w:rFonts w:ascii="Arial" w:hAnsi="Arial" w:cs="Arial"/>
                <w:b/>
              </w:rPr>
            </w:pPr>
          </w:p>
        </w:tc>
        <w:tc>
          <w:tcPr>
            <w:tcW w:w="1559" w:type="dxa"/>
          </w:tcPr>
          <w:p w:rsidR="00CD7572" w:rsidRPr="00CD7572" w:rsidRDefault="0062660D" w:rsidP="00CD7572">
            <w:pPr>
              <w:spacing w:after="0"/>
              <w:jc w:val="right"/>
              <w:rPr>
                <w:rFonts w:ascii="Arial" w:hAnsi="Arial" w:cs="Arial"/>
                <w:b/>
              </w:rPr>
            </w:pPr>
            <w:r w:rsidRPr="00CD7572">
              <w:rPr>
                <w:rFonts w:ascii="Arial" w:hAnsi="Arial" w:cs="Arial"/>
                <w:b/>
              </w:rPr>
              <w:t>2015/16</w:t>
            </w:r>
          </w:p>
          <w:p w:rsidR="00CD7572" w:rsidRPr="00CD7572" w:rsidRDefault="0062660D" w:rsidP="00CD7572">
            <w:pPr>
              <w:spacing w:after="0"/>
              <w:jc w:val="right"/>
              <w:rPr>
                <w:rFonts w:ascii="Arial" w:hAnsi="Arial" w:cs="Arial"/>
                <w:b/>
              </w:rPr>
            </w:pPr>
            <w:r w:rsidRPr="00CD7572">
              <w:rPr>
                <w:rFonts w:ascii="Arial" w:hAnsi="Arial" w:cs="Arial"/>
                <w:b/>
              </w:rPr>
              <w:t>£m</w:t>
            </w:r>
          </w:p>
        </w:tc>
        <w:tc>
          <w:tcPr>
            <w:tcW w:w="430" w:type="dxa"/>
            <w:tcBorders>
              <w:right w:val="single" w:sz="4" w:space="0" w:color="FFFFFF" w:themeColor="background1"/>
            </w:tcBorders>
          </w:tcPr>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p>
        </w:tc>
        <w:tc>
          <w:tcPr>
            <w:tcW w:w="1696" w:type="dxa"/>
            <w:tcBorders>
              <w:left w:val="single" w:sz="4" w:space="0" w:color="FFFFFF" w:themeColor="background1"/>
            </w:tcBorders>
          </w:tcPr>
          <w:p w:rsidR="00CD7572" w:rsidRPr="00CD7572" w:rsidRDefault="0062660D" w:rsidP="00CD7572">
            <w:pPr>
              <w:spacing w:after="0"/>
              <w:jc w:val="right"/>
              <w:rPr>
                <w:rFonts w:ascii="Arial" w:hAnsi="Arial" w:cs="Arial"/>
                <w:b/>
              </w:rPr>
            </w:pPr>
            <w:r w:rsidRPr="00CD7572">
              <w:rPr>
                <w:rFonts w:ascii="Arial" w:hAnsi="Arial" w:cs="Arial"/>
                <w:b/>
              </w:rPr>
              <w:t>2014/15</w:t>
            </w:r>
          </w:p>
          <w:p w:rsidR="00CD7572" w:rsidRPr="00CD7572" w:rsidRDefault="0062660D" w:rsidP="00CD7572">
            <w:pPr>
              <w:spacing w:after="0"/>
              <w:jc w:val="right"/>
              <w:rPr>
                <w:rFonts w:ascii="Arial" w:hAnsi="Arial" w:cs="Arial"/>
                <w:b/>
              </w:rPr>
            </w:pPr>
            <w:r w:rsidRPr="00CD7572">
              <w:rPr>
                <w:rFonts w:ascii="Arial" w:hAnsi="Arial" w:cs="Arial"/>
                <w:b/>
              </w:rPr>
              <w:t>£m</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Transaction costs</w:t>
            </w:r>
          </w:p>
        </w:tc>
        <w:tc>
          <w:tcPr>
            <w:tcW w:w="1559" w:type="dxa"/>
          </w:tcPr>
          <w:p w:rsidR="00CD7572" w:rsidRPr="00CD7572" w:rsidRDefault="0062660D" w:rsidP="00CD7572">
            <w:pPr>
              <w:jc w:val="right"/>
              <w:rPr>
                <w:rFonts w:ascii="Arial" w:hAnsi="Arial" w:cs="Arial"/>
              </w:rPr>
            </w:pPr>
            <w:r w:rsidRPr="00CD7572">
              <w:rPr>
                <w:rFonts w:ascii="Arial" w:hAnsi="Arial" w:cs="Arial"/>
              </w:rPr>
              <w:t>1.5</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tcBorders>
          </w:tcPr>
          <w:p w:rsidR="00CD7572" w:rsidRPr="00CD7572" w:rsidRDefault="0062660D" w:rsidP="00CD7572">
            <w:pPr>
              <w:jc w:val="right"/>
              <w:rPr>
                <w:rFonts w:ascii="Arial" w:hAnsi="Arial" w:cs="Arial"/>
              </w:rPr>
            </w:pPr>
            <w:r w:rsidRPr="00CD7572">
              <w:rPr>
                <w:rFonts w:ascii="Arial" w:hAnsi="Arial" w:cs="Arial"/>
              </w:rPr>
              <w:t>1.8</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Management fees</w:t>
            </w:r>
          </w:p>
        </w:tc>
        <w:tc>
          <w:tcPr>
            <w:tcW w:w="1559" w:type="dxa"/>
          </w:tcPr>
          <w:p w:rsidR="00CD7572" w:rsidRPr="00CD7572" w:rsidRDefault="0062660D" w:rsidP="00CD7572">
            <w:pPr>
              <w:jc w:val="right"/>
              <w:rPr>
                <w:rFonts w:ascii="Arial" w:hAnsi="Arial" w:cs="Arial"/>
              </w:rPr>
            </w:pPr>
            <w:r w:rsidRPr="00CD7572">
              <w:rPr>
                <w:rFonts w:ascii="Arial" w:hAnsi="Arial" w:cs="Arial"/>
              </w:rPr>
              <w:t>27.9</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tcBorders>
          </w:tcPr>
          <w:p w:rsidR="00CD7572" w:rsidRPr="00CD7572" w:rsidRDefault="0062660D" w:rsidP="00CD7572">
            <w:pPr>
              <w:jc w:val="right"/>
              <w:rPr>
                <w:rFonts w:ascii="Arial" w:hAnsi="Arial" w:cs="Arial"/>
              </w:rPr>
            </w:pPr>
            <w:r w:rsidRPr="00CD7572">
              <w:rPr>
                <w:rFonts w:ascii="Arial" w:hAnsi="Arial" w:cs="Arial"/>
              </w:rPr>
              <w:t>26.4</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Performance related fees</w:t>
            </w:r>
          </w:p>
        </w:tc>
        <w:tc>
          <w:tcPr>
            <w:tcW w:w="1559" w:type="dxa"/>
          </w:tcPr>
          <w:p w:rsidR="00CD7572" w:rsidRPr="00CD7572" w:rsidRDefault="0062660D" w:rsidP="00CD7572">
            <w:pPr>
              <w:jc w:val="right"/>
              <w:rPr>
                <w:rFonts w:ascii="Arial" w:hAnsi="Arial" w:cs="Arial"/>
              </w:rPr>
            </w:pPr>
            <w:r w:rsidRPr="00CD7572">
              <w:rPr>
                <w:rFonts w:ascii="Arial" w:hAnsi="Arial" w:cs="Arial"/>
              </w:rPr>
              <w:t>2.9</w:t>
            </w:r>
          </w:p>
        </w:tc>
        <w:tc>
          <w:tcPr>
            <w:tcW w:w="430" w:type="dxa"/>
          </w:tcPr>
          <w:p w:rsidR="00CD7572" w:rsidRPr="00CD7572" w:rsidRDefault="0062660D" w:rsidP="00CD7572">
            <w:pPr>
              <w:jc w:val="right"/>
              <w:rPr>
                <w:rFonts w:ascii="Arial" w:hAnsi="Arial" w:cs="Arial"/>
              </w:rPr>
            </w:pPr>
          </w:p>
        </w:tc>
        <w:tc>
          <w:tcPr>
            <w:tcW w:w="1696" w:type="dxa"/>
          </w:tcPr>
          <w:p w:rsidR="00CD7572" w:rsidRPr="00CD7572" w:rsidRDefault="0062660D" w:rsidP="00CD7572">
            <w:pPr>
              <w:jc w:val="right"/>
              <w:rPr>
                <w:rFonts w:ascii="Arial" w:hAnsi="Arial" w:cs="Arial"/>
              </w:rPr>
            </w:pPr>
            <w:r w:rsidRPr="00CD7572">
              <w:rPr>
                <w:rFonts w:ascii="Arial" w:hAnsi="Arial" w:cs="Arial"/>
              </w:rPr>
              <w:t>1.0</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Custody fees</w:t>
            </w:r>
          </w:p>
        </w:tc>
        <w:tc>
          <w:tcPr>
            <w:tcW w:w="1559" w:type="dxa"/>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0.2</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0.2</w:t>
            </w:r>
          </w:p>
        </w:tc>
      </w:tr>
      <w:tr w:rsidR="006A2C17" w:rsidTr="00E245D6">
        <w:tc>
          <w:tcPr>
            <w:tcW w:w="5058" w:type="dxa"/>
          </w:tcPr>
          <w:p w:rsidR="00CD7572" w:rsidRPr="00CD7572" w:rsidRDefault="0062660D" w:rsidP="00CD7572">
            <w:pPr>
              <w:rPr>
                <w:rFonts w:ascii="Arial" w:hAnsi="Arial" w:cs="Arial"/>
              </w:rPr>
            </w:pPr>
          </w:p>
        </w:tc>
        <w:tc>
          <w:tcPr>
            <w:tcW w:w="1559"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32.5</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top w:val="single" w:sz="18" w:space="0" w:color="auto"/>
              <w:left w:val="single" w:sz="4" w:space="0" w:color="FFFFFF" w:themeColor="background1"/>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29.4</w:t>
            </w:r>
          </w:p>
        </w:tc>
      </w:tr>
    </w:tbl>
    <w:p w:rsidR="00CD7572" w:rsidRPr="00CD7572" w:rsidRDefault="0062660D" w:rsidP="00CD7572">
      <w:pPr>
        <w:ind w:left="709"/>
        <w:jc w:val="left"/>
        <w:rPr>
          <w:rFonts w:cs="Arial"/>
        </w:rPr>
      </w:pPr>
    </w:p>
    <w:p w:rsidR="00CD7572" w:rsidRPr="00CD7572" w:rsidRDefault="0062660D" w:rsidP="00CD7572">
      <w:pPr>
        <w:ind w:left="709"/>
        <w:jc w:val="left"/>
        <w:rPr>
          <w:rFonts w:cs="Arial"/>
        </w:rPr>
      </w:pPr>
    </w:p>
    <w:p w:rsidR="00CD7572" w:rsidRPr="00CD7572" w:rsidRDefault="0062660D" w:rsidP="00CD7572">
      <w:pPr>
        <w:ind w:left="709"/>
        <w:jc w:val="left"/>
        <w:rPr>
          <w:rFonts w:cs="Arial"/>
        </w:rPr>
      </w:pPr>
      <w:r w:rsidRPr="00CD7572">
        <w:rPr>
          <w:rFonts w:cs="Arial"/>
        </w:rPr>
        <w:t xml:space="preserve">The analysis of costs of managing the Fund has been prepared in </w:t>
      </w:r>
      <w:r w:rsidRPr="00CD7572">
        <w:rPr>
          <w:rFonts w:cs="Arial"/>
        </w:rPr>
        <w:t>accordance with CIPFA guidance.</w:t>
      </w:r>
    </w:p>
    <w:p w:rsidR="00CD7572" w:rsidRPr="00CD7572" w:rsidRDefault="0062660D" w:rsidP="00CD7572">
      <w:pPr>
        <w:ind w:left="709"/>
        <w:jc w:val="left"/>
      </w:pPr>
      <w:r w:rsidRPr="00CD7572">
        <w:t>In addition to these costs, indirect costs are incurred through the bid-offer spread on investments sales and purchases. These are reflected in the cost of investment acquisitions and in the proceeds from the sales of invest</w:t>
      </w:r>
      <w:r w:rsidRPr="00CD7572">
        <w:t>ments.</w:t>
      </w:r>
    </w:p>
    <w:p w:rsidR="00CD7572" w:rsidRPr="00CD7572" w:rsidRDefault="0062660D" w:rsidP="00CD7572">
      <w:pPr>
        <w:ind w:left="709"/>
      </w:pPr>
    </w:p>
    <w:p w:rsidR="00CD7572" w:rsidRPr="00CD7572" w:rsidRDefault="0062660D" w:rsidP="00CD7572">
      <w:pPr>
        <w:numPr>
          <w:ilvl w:val="0"/>
          <w:numId w:val="36"/>
        </w:numPr>
        <w:autoSpaceDE/>
        <w:autoSpaceDN/>
        <w:adjustRightInd/>
        <w:jc w:val="left"/>
        <w:rPr>
          <w:sz w:val="32"/>
          <w:szCs w:val="32"/>
        </w:rPr>
      </w:pPr>
      <w:r w:rsidRPr="00CD7572">
        <w:rPr>
          <w:b/>
          <w:sz w:val="32"/>
          <w:szCs w:val="32"/>
        </w:rPr>
        <w:t>Investment income</w:t>
      </w:r>
    </w:p>
    <w:tbl>
      <w:tblPr>
        <w:tblStyle w:val="TableGrid1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6A2C17" w:rsidTr="00E245D6">
        <w:tc>
          <w:tcPr>
            <w:tcW w:w="5058" w:type="dxa"/>
          </w:tcPr>
          <w:p w:rsidR="00CD7572" w:rsidRPr="00CD7572" w:rsidRDefault="0062660D" w:rsidP="00CD7572">
            <w:pPr>
              <w:spacing w:after="0"/>
              <w:rPr>
                <w:rFonts w:ascii="Arial" w:hAnsi="Arial" w:cs="Arial"/>
                <w:b/>
              </w:rPr>
            </w:pPr>
          </w:p>
        </w:tc>
        <w:tc>
          <w:tcPr>
            <w:tcW w:w="1559" w:type="dxa"/>
          </w:tcPr>
          <w:p w:rsidR="00CD7572" w:rsidRPr="00CD7572" w:rsidRDefault="0062660D" w:rsidP="00CD7572">
            <w:pPr>
              <w:spacing w:after="0"/>
              <w:jc w:val="right"/>
              <w:rPr>
                <w:rFonts w:ascii="Arial" w:hAnsi="Arial" w:cs="Arial"/>
                <w:b/>
              </w:rPr>
            </w:pPr>
            <w:r w:rsidRPr="00CD7572">
              <w:rPr>
                <w:rFonts w:ascii="Arial" w:hAnsi="Arial" w:cs="Arial"/>
                <w:b/>
              </w:rPr>
              <w:t>2015/16</w:t>
            </w:r>
          </w:p>
          <w:p w:rsidR="00CD7572" w:rsidRPr="00CD7572" w:rsidRDefault="0062660D" w:rsidP="00CD7572">
            <w:pPr>
              <w:spacing w:after="0"/>
              <w:jc w:val="right"/>
              <w:rPr>
                <w:rFonts w:ascii="Arial" w:hAnsi="Arial" w:cs="Arial"/>
                <w:b/>
              </w:rPr>
            </w:pPr>
            <w:r w:rsidRPr="00CD7572">
              <w:rPr>
                <w:rFonts w:ascii="Arial" w:hAnsi="Arial" w:cs="Arial"/>
                <w:b/>
              </w:rPr>
              <w:t>£m</w:t>
            </w:r>
          </w:p>
        </w:tc>
        <w:tc>
          <w:tcPr>
            <w:tcW w:w="430" w:type="dxa"/>
            <w:tcBorders>
              <w:right w:val="single" w:sz="4" w:space="0" w:color="FFFFFF" w:themeColor="background1"/>
            </w:tcBorders>
          </w:tcPr>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p>
        </w:tc>
        <w:tc>
          <w:tcPr>
            <w:tcW w:w="1696" w:type="dxa"/>
            <w:tcBorders>
              <w:left w:val="single" w:sz="4" w:space="0" w:color="FFFFFF" w:themeColor="background1"/>
            </w:tcBorders>
          </w:tcPr>
          <w:p w:rsidR="00CD7572" w:rsidRPr="00CD7572" w:rsidRDefault="0062660D" w:rsidP="00CD7572">
            <w:pPr>
              <w:spacing w:after="0"/>
              <w:jc w:val="right"/>
              <w:rPr>
                <w:rFonts w:ascii="Arial" w:hAnsi="Arial" w:cs="Arial"/>
                <w:b/>
              </w:rPr>
            </w:pPr>
            <w:r w:rsidRPr="00CD7572">
              <w:rPr>
                <w:rFonts w:ascii="Arial" w:hAnsi="Arial" w:cs="Arial"/>
                <w:b/>
              </w:rPr>
              <w:t>2014/15</w:t>
            </w:r>
          </w:p>
          <w:p w:rsidR="00CD7572" w:rsidRPr="00CD7572" w:rsidRDefault="0062660D" w:rsidP="00CD7572">
            <w:pPr>
              <w:spacing w:after="0"/>
              <w:jc w:val="right"/>
              <w:rPr>
                <w:rFonts w:ascii="Arial" w:hAnsi="Arial" w:cs="Arial"/>
                <w:b/>
              </w:rPr>
            </w:pPr>
            <w:r w:rsidRPr="00CD7572">
              <w:rPr>
                <w:rFonts w:ascii="Arial" w:hAnsi="Arial" w:cs="Arial"/>
                <w:b/>
              </w:rPr>
              <w:t>£m</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Fixed interest securities</w:t>
            </w:r>
          </w:p>
        </w:tc>
        <w:tc>
          <w:tcPr>
            <w:tcW w:w="1559" w:type="dxa"/>
          </w:tcPr>
          <w:p w:rsidR="00CD7572" w:rsidRPr="00CD7572" w:rsidRDefault="0062660D" w:rsidP="00CD7572">
            <w:pPr>
              <w:jc w:val="right"/>
              <w:rPr>
                <w:rFonts w:ascii="Arial" w:hAnsi="Arial" w:cs="Arial"/>
              </w:rPr>
            </w:pPr>
            <w:r w:rsidRPr="00CD7572">
              <w:rPr>
                <w:rFonts w:ascii="Arial" w:hAnsi="Arial" w:cs="Arial"/>
              </w:rPr>
              <w:t>3.3</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tcBorders>
          </w:tcPr>
          <w:p w:rsidR="00CD7572" w:rsidRPr="00CD7572" w:rsidRDefault="0062660D" w:rsidP="00CD7572">
            <w:pPr>
              <w:jc w:val="right"/>
              <w:rPr>
                <w:rFonts w:ascii="Arial" w:hAnsi="Arial" w:cs="Arial"/>
              </w:rPr>
            </w:pPr>
            <w:r w:rsidRPr="00CD7572">
              <w:rPr>
                <w:rFonts w:ascii="Arial" w:hAnsi="Arial" w:cs="Arial"/>
              </w:rPr>
              <w:t>2.9</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Equity dividends</w:t>
            </w:r>
          </w:p>
        </w:tc>
        <w:tc>
          <w:tcPr>
            <w:tcW w:w="1559" w:type="dxa"/>
          </w:tcPr>
          <w:p w:rsidR="00CD7572" w:rsidRPr="00CD7572" w:rsidRDefault="0062660D" w:rsidP="00CD7572">
            <w:pPr>
              <w:jc w:val="right"/>
              <w:rPr>
                <w:rFonts w:ascii="Arial" w:hAnsi="Arial" w:cs="Arial"/>
                <w:vertAlign w:val="superscript"/>
              </w:rPr>
            </w:pPr>
            <w:r w:rsidRPr="00CD7572">
              <w:rPr>
                <w:rFonts w:ascii="Arial" w:hAnsi="Arial" w:cs="Arial"/>
              </w:rPr>
              <w:t>41.6</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tcBorders>
          </w:tcPr>
          <w:p w:rsidR="00CD7572" w:rsidRPr="00CD7572" w:rsidRDefault="0062660D" w:rsidP="00CD7572">
            <w:pPr>
              <w:jc w:val="right"/>
              <w:rPr>
                <w:rFonts w:ascii="Arial" w:hAnsi="Arial" w:cs="Arial"/>
              </w:rPr>
            </w:pPr>
            <w:r w:rsidRPr="00CD7572">
              <w:rPr>
                <w:rFonts w:ascii="Arial" w:hAnsi="Arial" w:cs="Arial"/>
              </w:rPr>
              <w:t>40.6</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Index linked securities</w:t>
            </w:r>
          </w:p>
        </w:tc>
        <w:tc>
          <w:tcPr>
            <w:tcW w:w="1559" w:type="dxa"/>
          </w:tcPr>
          <w:p w:rsidR="00CD7572" w:rsidRPr="00CD7572" w:rsidRDefault="0062660D" w:rsidP="00CD7572">
            <w:pPr>
              <w:jc w:val="right"/>
              <w:rPr>
                <w:rFonts w:ascii="Arial" w:hAnsi="Arial" w:cs="Arial"/>
              </w:rPr>
            </w:pPr>
            <w:r w:rsidRPr="00CD7572">
              <w:rPr>
                <w:rFonts w:ascii="Arial" w:hAnsi="Arial" w:cs="Arial"/>
              </w:rPr>
              <w:t>1.1</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tcBorders>
          </w:tcPr>
          <w:p w:rsidR="00CD7572" w:rsidRPr="00CD7572" w:rsidRDefault="0062660D" w:rsidP="00CD7572">
            <w:pPr>
              <w:jc w:val="right"/>
              <w:rPr>
                <w:rFonts w:ascii="Arial" w:hAnsi="Arial" w:cs="Arial"/>
              </w:rPr>
            </w:pPr>
            <w:r w:rsidRPr="00CD7572">
              <w:rPr>
                <w:rFonts w:ascii="Arial" w:hAnsi="Arial" w:cs="Arial"/>
              </w:rPr>
              <w:t>0.0</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Pooled investment vehicles</w:t>
            </w:r>
          </w:p>
        </w:tc>
        <w:tc>
          <w:tcPr>
            <w:tcW w:w="1559" w:type="dxa"/>
          </w:tcPr>
          <w:p w:rsidR="00CD7572" w:rsidRPr="00CD7572" w:rsidRDefault="0062660D" w:rsidP="00CD7572">
            <w:pPr>
              <w:jc w:val="right"/>
              <w:rPr>
                <w:rFonts w:ascii="Arial" w:hAnsi="Arial" w:cs="Arial"/>
              </w:rPr>
            </w:pPr>
            <w:r w:rsidRPr="00CD7572">
              <w:rPr>
                <w:rFonts w:ascii="Arial" w:hAnsi="Arial" w:cs="Arial"/>
              </w:rPr>
              <w:t>22.3</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tcBorders>
          </w:tcPr>
          <w:p w:rsidR="00CD7572" w:rsidRPr="00CD7572" w:rsidRDefault="0062660D" w:rsidP="00CD7572">
            <w:pPr>
              <w:jc w:val="right"/>
              <w:rPr>
                <w:rFonts w:ascii="Arial" w:hAnsi="Arial" w:cs="Arial"/>
              </w:rPr>
            </w:pPr>
            <w:r w:rsidRPr="00CD7572">
              <w:rPr>
                <w:rFonts w:ascii="Arial" w:hAnsi="Arial" w:cs="Arial"/>
              </w:rPr>
              <w:t>15.0</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Net rents from properties</w:t>
            </w:r>
          </w:p>
        </w:tc>
        <w:tc>
          <w:tcPr>
            <w:tcW w:w="1559" w:type="dxa"/>
          </w:tcPr>
          <w:p w:rsidR="00CD7572" w:rsidRPr="00CD7572" w:rsidRDefault="0062660D" w:rsidP="00CD7572">
            <w:pPr>
              <w:jc w:val="right"/>
              <w:rPr>
                <w:rFonts w:ascii="Arial" w:hAnsi="Arial" w:cs="Arial"/>
              </w:rPr>
            </w:pPr>
            <w:r w:rsidRPr="00CD7572">
              <w:rPr>
                <w:rFonts w:ascii="Arial" w:hAnsi="Arial" w:cs="Arial"/>
              </w:rPr>
              <w:t>29.2</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tcBorders>
          </w:tcPr>
          <w:p w:rsidR="00CD7572" w:rsidRPr="00CD7572" w:rsidRDefault="0062660D" w:rsidP="00CD7572">
            <w:pPr>
              <w:jc w:val="right"/>
              <w:rPr>
                <w:rFonts w:ascii="Arial" w:hAnsi="Arial" w:cs="Arial"/>
              </w:rPr>
            </w:pPr>
            <w:r w:rsidRPr="00CD7572">
              <w:rPr>
                <w:rFonts w:ascii="Arial" w:hAnsi="Arial" w:cs="Arial"/>
              </w:rPr>
              <w:t>24.3</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Interest on cash deposits</w:t>
            </w:r>
          </w:p>
        </w:tc>
        <w:tc>
          <w:tcPr>
            <w:tcW w:w="1559" w:type="dxa"/>
          </w:tcPr>
          <w:p w:rsidR="00CD7572" w:rsidRPr="00CD7572" w:rsidRDefault="0062660D" w:rsidP="00CD7572">
            <w:pPr>
              <w:jc w:val="right"/>
              <w:rPr>
                <w:rFonts w:ascii="Arial" w:hAnsi="Arial" w:cs="Arial"/>
              </w:rPr>
            </w:pPr>
            <w:r w:rsidRPr="00CD7572">
              <w:rPr>
                <w:rFonts w:ascii="Arial" w:hAnsi="Arial" w:cs="Arial"/>
              </w:rPr>
              <w:t>0.5</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tcBorders>
          </w:tcPr>
          <w:p w:rsidR="00CD7572" w:rsidRPr="00CD7572" w:rsidRDefault="0062660D" w:rsidP="00CD7572">
            <w:pPr>
              <w:jc w:val="right"/>
              <w:rPr>
                <w:rFonts w:ascii="Arial" w:hAnsi="Arial" w:cs="Arial"/>
              </w:rPr>
            </w:pPr>
            <w:r w:rsidRPr="00CD7572">
              <w:rPr>
                <w:rFonts w:ascii="Arial" w:hAnsi="Arial" w:cs="Arial"/>
              </w:rPr>
              <w:t>0.5</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Other</w:t>
            </w:r>
          </w:p>
        </w:tc>
        <w:tc>
          <w:tcPr>
            <w:tcW w:w="1559" w:type="dxa"/>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1.1</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7.4</w:t>
            </w:r>
          </w:p>
        </w:tc>
      </w:tr>
      <w:tr w:rsidR="006A2C17" w:rsidTr="00E245D6">
        <w:tc>
          <w:tcPr>
            <w:tcW w:w="5058" w:type="dxa"/>
          </w:tcPr>
          <w:p w:rsidR="00CD7572" w:rsidRPr="00CD7572" w:rsidRDefault="0062660D" w:rsidP="00CD7572">
            <w:pPr>
              <w:rPr>
                <w:rFonts w:ascii="Arial" w:hAnsi="Arial" w:cs="Arial"/>
              </w:rPr>
            </w:pPr>
          </w:p>
        </w:tc>
        <w:tc>
          <w:tcPr>
            <w:tcW w:w="1559"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99.1</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top w:val="single" w:sz="18" w:space="0" w:color="auto"/>
              <w:left w:val="single" w:sz="4" w:space="0" w:color="FFFFFF" w:themeColor="background1"/>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90.7</w:t>
            </w:r>
          </w:p>
        </w:tc>
      </w:tr>
    </w:tbl>
    <w:p w:rsidR="00CD7572" w:rsidRPr="00CD7572" w:rsidRDefault="0062660D" w:rsidP="00CD7572">
      <w:pPr>
        <w:autoSpaceDE/>
        <w:autoSpaceDN/>
        <w:adjustRightInd/>
        <w:spacing w:after="0"/>
        <w:ind w:left="862"/>
        <w:rPr>
          <w:b/>
          <w:sz w:val="32"/>
          <w:szCs w:val="32"/>
        </w:rPr>
      </w:pPr>
    </w:p>
    <w:p w:rsidR="00CD7572" w:rsidRPr="00CD7572" w:rsidRDefault="0062660D" w:rsidP="00CD7572">
      <w:pPr>
        <w:numPr>
          <w:ilvl w:val="0"/>
          <w:numId w:val="36"/>
        </w:numPr>
        <w:autoSpaceDE/>
        <w:autoSpaceDN/>
        <w:adjustRightInd/>
        <w:spacing w:after="0"/>
        <w:ind w:left="862"/>
        <w:rPr>
          <w:b/>
          <w:sz w:val="32"/>
          <w:szCs w:val="32"/>
        </w:rPr>
      </w:pPr>
      <w:r w:rsidRPr="00CD7572">
        <w:rPr>
          <w:b/>
          <w:sz w:val="32"/>
          <w:szCs w:val="32"/>
        </w:rPr>
        <w:t>Property income</w:t>
      </w:r>
    </w:p>
    <w:tbl>
      <w:tblPr>
        <w:tblStyle w:val="TableGrid1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6A2C17" w:rsidTr="00E245D6">
        <w:tc>
          <w:tcPr>
            <w:tcW w:w="5058" w:type="dxa"/>
          </w:tcPr>
          <w:p w:rsidR="00CD7572" w:rsidRPr="00CD7572" w:rsidRDefault="0062660D" w:rsidP="00CD7572">
            <w:pPr>
              <w:spacing w:after="0"/>
              <w:rPr>
                <w:rFonts w:ascii="Arial" w:hAnsi="Arial" w:cs="Arial"/>
                <w:b/>
              </w:rPr>
            </w:pPr>
          </w:p>
        </w:tc>
        <w:tc>
          <w:tcPr>
            <w:tcW w:w="1559" w:type="dxa"/>
          </w:tcPr>
          <w:p w:rsidR="00CD7572" w:rsidRPr="00CD7572" w:rsidRDefault="0062660D" w:rsidP="00CD7572">
            <w:pPr>
              <w:spacing w:after="0"/>
              <w:jc w:val="right"/>
              <w:rPr>
                <w:rFonts w:ascii="Arial" w:hAnsi="Arial" w:cs="Arial"/>
                <w:b/>
              </w:rPr>
            </w:pPr>
            <w:r w:rsidRPr="00CD7572">
              <w:rPr>
                <w:rFonts w:ascii="Arial" w:hAnsi="Arial" w:cs="Arial"/>
                <w:b/>
              </w:rPr>
              <w:t>2015/16</w:t>
            </w:r>
          </w:p>
          <w:p w:rsidR="00CD7572" w:rsidRPr="00CD7572" w:rsidRDefault="0062660D" w:rsidP="00CD7572">
            <w:pPr>
              <w:spacing w:after="0"/>
              <w:jc w:val="right"/>
              <w:rPr>
                <w:rFonts w:ascii="Arial" w:hAnsi="Arial" w:cs="Arial"/>
                <w:b/>
              </w:rPr>
            </w:pPr>
            <w:r w:rsidRPr="00CD7572">
              <w:rPr>
                <w:rFonts w:ascii="Arial" w:hAnsi="Arial" w:cs="Arial"/>
                <w:b/>
              </w:rPr>
              <w:t>£m</w:t>
            </w:r>
          </w:p>
        </w:tc>
        <w:tc>
          <w:tcPr>
            <w:tcW w:w="430" w:type="dxa"/>
            <w:tcBorders>
              <w:right w:val="single" w:sz="4" w:space="0" w:color="FFFFFF" w:themeColor="background1"/>
            </w:tcBorders>
          </w:tcPr>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p>
        </w:tc>
        <w:tc>
          <w:tcPr>
            <w:tcW w:w="1696" w:type="dxa"/>
            <w:tcBorders>
              <w:left w:val="single" w:sz="4" w:space="0" w:color="FFFFFF" w:themeColor="background1"/>
            </w:tcBorders>
          </w:tcPr>
          <w:p w:rsidR="00CD7572" w:rsidRPr="00CD7572" w:rsidRDefault="0062660D" w:rsidP="00CD7572">
            <w:pPr>
              <w:spacing w:after="0"/>
              <w:jc w:val="right"/>
              <w:rPr>
                <w:rFonts w:ascii="Arial" w:hAnsi="Arial" w:cs="Arial"/>
                <w:b/>
              </w:rPr>
            </w:pPr>
            <w:r w:rsidRPr="00CD7572">
              <w:rPr>
                <w:rFonts w:ascii="Arial" w:hAnsi="Arial" w:cs="Arial"/>
                <w:b/>
              </w:rPr>
              <w:t>2014/15</w:t>
            </w:r>
          </w:p>
          <w:p w:rsidR="00CD7572" w:rsidRPr="00CD7572" w:rsidRDefault="0062660D" w:rsidP="00CD7572">
            <w:pPr>
              <w:spacing w:after="0"/>
              <w:jc w:val="right"/>
              <w:rPr>
                <w:rFonts w:ascii="Arial" w:hAnsi="Arial" w:cs="Arial"/>
                <w:b/>
              </w:rPr>
            </w:pPr>
            <w:r w:rsidRPr="00CD7572">
              <w:rPr>
                <w:rFonts w:ascii="Arial" w:hAnsi="Arial" w:cs="Arial"/>
                <w:b/>
              </w:rPr>
              <w:t>£m</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Rental income</w:t>
            </w:r>
          </w:p>
        </w:tc>
        <w:tc>
          <w:tcPr>
            <w:tcW w:w="1559" w:type="dxa"/>
          </w:tcPr>
          <w:p w:rsidR="00CD7572" w:rsidRPr="00CD7572" w:rsidRDefault="0062660D" w:rsidP="00CD7572">
            <w:pPr>
              <w:jc w:val="right"/>
              <w:rPr>
                <w:rFonts w:ascii="Arial" w:hAnsi="Arial" w:cs="Arial"/>
              </w:rPr>
            </w:pPr>
            <w:r w:rsidRPr="00CD7572">
              <w:rPr>
                <w:rFonts w:ascii="Arial" w:hAnsi="Arial" w:cs="Arial"/>
              </w:rPr>
              <w:t>32.3</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tcBorders>
          </w:tcPr>
          <w:p w:rsidR="00CD7572" w:rsidRPr="00CD7572" w:rsidRDefault="0062660D" w:rsidP="00CD7572">
            <w:pPr>
              <w:jc w:val="right"/>
              <w:rPr>
                <w:rFonts w:ascii="Arial" w:hAnsi="Arial" w:cs="Arial"/>
              </w:rPr>
            </w:pPr>
            <w:r w:rsidRPr="00CD7572">
              <w:rPr>
                <w:rFonts w:ascii="Arial" w:hAnsi="Arial" w:cs="Arial"/>
              </w:rPr>
              <w:t>29.7</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Direct operating expenses</w:t>
            </w:r>
          </w:p>
        </w:tc>
        <w:tc>
          <w:tcPr>
            <w:tcW w:w="1559" w:type="dxa"/>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(3.1)</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(5.4)</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Net income</w:t>
            </w:r>
          </w:p>
        </w:tc>
        <w:tc>
          <w:tcPr>
            <w:tcW w:w="1559"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29.2</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top w:val="single" w:sz="18" w:space="0" w:color="auto"/>
              <w:left w:val="single" w:sz="4" w:space="0" w:color="FFFFFF" w:themeColor="background1"/>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24.3</w:t>
            </w:r>
          </w:p>
        </w:tc>
      </w:tr>
      <w:tr w:rsidR="006A2C17" w:rsidTr="00E245D6">
        <w:trPr>
          <w:gridBefore w:val="1"/>
          <w:wBefore w:w="5058" w:type="dxa"/>
        </w:trPr>
        <w:tc>
          <w:tcPr>
            <w:tcW w:w="1559" w:type="dxa"/>
          </w:tcPr>
          <w:p w:rsidR="00CD7572" w:rsidRPr="00CD7572" w:rsidRDefault="0062660D" w:rsidP="00CD7572">
            <w:pPr>
              <w:jc w:val="right"/>
            </w:pPr>
          </w:p>
        </w:tc>
        <w:tc>
          <w:tcPr>
            <w:tcW w:w="430" w:type="dxa"/>
          </w:tcPr>
          <w:p w:rsidR="00CD7572" w:rsidRPr="00CD7572" w:rsidRDefault="0062660D" w:rsidP="00CD7572">
            <w:pPr>
              <w:jc w:val="right"/>
            </w:pPr>
          </w:p>
        </w:tc>
        <w:tc>
          <w:tcPr>
            <w:tcW w:w="1696" w:type="dxa"/>
          </w:tcPr>
          <w:p w:rsidR="00CD7572" w:rsidRPr="00CD7572" w:rsidRDefault="0062660D" w:rsidP="00CD7572">
            <w:pPr>
              <w:jc w:val="right"/>
            </w:pPr>
          </w:p>
        </w:tc>
      </w:tr>
      <w:tr w:rsidR="006A2C17" w:rsidTr="00E245D6">
        <w:trPr>
          <w:gridBefore w:val="1"/>
          <w:wBefore w:w="5058" w:type="dxa"/>
        </w:trPr>
        <w:tc>
          <w:tcPr>
            <w:tcW w:w="1559" w:type="dxa"/>
            <w:tcBorders>
              <w:bottom w:val="nil"/>
            </w:tcBorders>
          </w:tcPr>
          <w:p w:rsidR="00CD7572" w:rsidRPr="00CD7572" w:rsidRDefault="0062660D" w:rsidP="00CD7572">
            <w:pPr>
              <w:jc w:val="right"/>
            </w:pPr>
          </w:p>
        </w:tc>
        <w:tc>
          <w:tcPr>
            <w:tcW w:w="430" w:type="dxa"/>
          </w:tcPr>
          <w:p w:rsidR="00CD7572" w:rsidRPr="00CD7572" w:rsidRDefault="0062660D" w:rsidP="00CD7572">
            <w:pPr>
              <w:jc w:val="right"/>
            </w:pPr>
          </w:p>
        </w:tc>
        <w:tc>
          <w:tcPr>
            <w:tcW w:w="1696" w:type="dxa"/>
            <w:tcBorders>
              <w:bottom w:val="nil"/>
            </w:tcBorders>
          </w:tcPr>
          <w:p w:rsidR="00CD7572" w:rsidRPr="00CD7572" w:rsidRDefault="0062660D" w:rsidP="00CD7572">
            <w:pPr>
              <w:jc w:val="right"/>
            </w:pPr>
          </w:p>
        </w:tc>
      </w:tr>
    </w:tbl>
    <w:p w:rsidR="00CD7572" w:rsidRPr="00CD7572" w:rsidRDefault="0062660D" w:rsidP="00CD7572">
      <w:pPr>
        <w:numPr>
          <w:ilvl w:val="0"/>
          <w:numId w:val="9"/>
        </w:numPr>
        <w:autoSpaceDE/>
        <w:autoSpaceDN/>
        <w:adjustRightInd/>
        <w:spacing w:after="240"/>
        <w:jc w:val="left"/>
        <w:rPr>
          <w:sz w:val="32"/>
          <w:szCs w:val="32"/>
        </w:rPr>
      </w:pPr>
      <w:r w:rsidRPr="00CD7572">
        <w:rPr>
          <w:b/>
          <w:sz w:val="32"/>
          <w:szCs w:val="32"/>
        </w:rPr>
        <w:t>Stock lending</w:t>
      </w:r>
    </w:p>
    <w:p w:rsidR="00CD7572" w:rsidRPr="00CD7572" w:rsidRDefault="0062660D" w:rsidP="00CD7572">
      <w:pPr>
        <w:tabs>
          <w:tab w:val="left" w:pos="1080"/>
        </w:tabs>
        <w:spacing w:after="80"/>
        <w:ind w:left="709"/>
        <w:jc w:val="left"/>
      </w:pPr>
      <w:r w:rsidRPr="00CD7572">
        <w:t xml:space="preserve">Northern Trust the Fund's custodian, are authorised to release </w:t>
      </w:r>
      <w:r w:rsidRPr="00CD7572">
        <w:t>stock to a third party under stock lending arrangements up to the statutory limits for this activity.  Stock lending income generated in 2015/16 was £1.5m (2015/16: £2.2m)</w:t>
      </w:r>
    </w:p>
    <w:p w:rsidR="00CD7572" w:rsidRPr="00CD7572" w:rsidRDefault="0062660D" w:rsidP="00CD7572">
      <w:pPr>
        <w:tabs>
          <w:tab w:val="left" w:pos="1080"/>
        </w:tabs>
        <w:spacing w:after="80"/>
        <w:ind w:left="709"/>
        <w:jc w:val="left"/>
      </w:pPr>
      <w:r w:rsidRPr="00CD7572">
        <w:t>Securities on loan at the 31</w:t>
      </w:r>
      <w:r w:rsidRPr="00CD7572">
        <w:rPr>
          <w:vertAlign w:val="superscript"/>
        </w:rPr>
        <w:t>st</w:t>
      </w:r>
      <w:r w:rsidRPr="00CD7572">
        <w:t xml:space="preserve"> March 2016 were £76.2m (2015: £86m) and are included </w:t>
      </w:r>
      <w:r w:rsidRPr="00CD7572">
        <w:t>in the net assets statement to reflect the scheme's continuing economic interest in the securities.  This consisted of £76.2m of equities (2015: £86m equities).</w:t>
      </w:r>
    </w:p>
    <w:p w:rsidR="00CD7572" w:rsidRPr="00CD7572" w:rsidRDefault="0062660D" w:rsidP="00CD7572">
      <w:pPr>
        <w:tabs>
          <w:tab w:val="left" w:pos="1080"/>
        </w:tabs>
        <w:spacing w:after="80"/>
        <w:ind w:left="709"/>
        <w:jc w:val="left"/>
      </w:pPr>
      <w:r w:rsidRPr="00CD7572">
        <w:t xml:space="preserve">Collateral is marked to market, and adjusted daily. Additional collateral of between 2% and 5% </w:t>
      </w:r>
      <w:r w:rsidRPr="00CD7572">
        <w:t>is requested as an additional measure of industry standard practice to mitigate risk. As the Fund has an obligation to return the collateral to the borrowers, collateral is excluded from the fund valuation. The collateral is non cash and totalled £81.6m of</w:t>
      </w:r>
      <w:r w:rsidRPr="00CD7572">
        <w:t xml:space="preserve"> bonds (2015: £92m of equities).</w:t>
      </w:r>
    </w:p>
    <w:p w:rsidR="00CD7572" w:rsidRPr="00CD7572" w:rsidRDefault="0062660D" w:rsidP="00CD7572">
      <w:pPr>
        <w:tabs>
          <w:tab w:val="left" w:pos="1080"/>
        </w:tabs>
        <w:spacing w:after="80"/>
        <w:ind w:left="709"/>
        <w:jc w:val="left"/>
        <w:sectPr w:rsidR="00CD7572" w:rsidRPr="00CD7572" w:rsidSect="003504ED">
          <w:headerReference w:type="even" r:id="rId42"/>
          <w:headerReference w:type="default" r:id="rId43"/>
          <w:footerReference w:type="default" r:id="rId44"/>
          <w:headerReference w:type="first" r:id="rId45"/>
          <w:pgSz w:w="11900" w:h="16840" w:code="9"/>
          <w:pgMar w:top="720" w:right="720" w:bottom="720" w:left="720" w:header="284" w:footer="284" w:gutter="0"/>
          <w:cols w:space="292"/>
          <w:docGrid w:linePitch="326"/>
        </w:sectPr>
      </w:pPr>
    </w:p>
    <w:p w:rsidR="00CD7572" w:rsidRPr="00CD7572" w:rsidRDefault="0062660D" w:rsidP="00CD7572">
      <w:pPr>
        <w:tabs>
          <w:tab w:val="left" w:pos="1080"/>
        </w:tabs>
        <w:spacing w:after="80"/>
        <w:ind w:left="709"/>
      </w:pPr>
    </w:p>
    <w:p w:rsidR="00CD7572" w:rsidRPr="00CD7572" w:rsidRDefault="0062660D" w:rsidP="00CD7572">
      <w:pPr>
        <w:numPr>
          <w:ilvl w:val="0"/>
          <w:numId w:val="9"/>
        </w:numPr>
        <w:autoSpaceDE/>
        <w:autoSpaceDN/>
        <w:adjustRightInd/>
        <w:contextualSpacing/>
        <w:jc w:val="left"/>
        <w:rPr>
          <w:b/>
          <w:sz w:val="32"/>
          <w:szCs w:val="32"/>
        </w:rPr>
      </w:pPr>
      <w:r w:rsidRPr="00CD7572">
        <w:rPr>
          <w:b/>
          <w:sz w:val="32"/>
          <w:szCs w:val="32"/>
        </w:rPr>
        <w:t>Reconciliation of movements in investments and derivatives</w:t>
      </w:r>
    </w:p>
    <w:p w:rsidR="00CD7572" w:rsidRPr="00CD7572" w:rsidRDefault="0062660D" w:rsidP="00CD7572">
      <w:pPr>
        <w:ind w:left="862"/>
        <w:contextualSpacing/>
        <w:rPr>
          <w:b/>
          <w:sz w:val="28"/>
          <w:szCs w:val="28"/>
        </w:rPr>
      </w:pPr>
    </w:p>
    <w:tbl>
      <w:tblPr>
        <w:tblStyle w:val="TableGrid6"/>
        <w:tblW w:w="0" w:type="auto"/>
        <w:tblLook w:val="04A0" w:firstRow="1" w:lastRow="0" w:firstColumn="1" w:lastColumn="0" w:noHBand="0" w:noVBand="1"/>
      </w:tblPr>
      <w:tblGrid>
        <w:gridCol w:w="2660"/>
        <w:gridCol w:w="454"/>
        <w:gridCol w:w="1956"/>
        <w:gridCol w:w="2625"/>
        <w:gridCol w:w="2565"/>
        <w:gridCol w:w="2565"/>
        <w:gridCol w:w="2565"/>
      </w:tblGrid>
      <w:tr w:rsidR="006A2C17" w:rsidTr="00E245D6">
        <w:tc>
          <w:tcPr>
            <w:tcW w:w="2660" w:type="dxa"/>
            <w:tcBorders>
              <w:top w:val="single" w:sz="4" w:space="0" w:color="auto"/>
              <w:left w:val="single" w:sz="4" w:space="0" w:color="auto"/>
              <w:bottom w:val="nil"/>
              <w:right w:val="nil"/>
            </w:tcBorders>
            <w:shd w:val="clear" w:color="auto" w:fill="A8D08D" w:themeFill="accent6" w:themeFillTint="99"/>
          </w:tcPr>
          <w:p w:rsidR="00CD7572" w:rsidRPr="00CD7572" w:rsidRDefault="0062660D" w:rsidP="00CD7572">
            <w:pPr>
              <w:rPr>
                <w:b/>
              </w:rPr>
            </w:pPr>
          </w:p>
        </w:tc>
        <w:tc>
          <w:tcPr>
            <w:tcW w:w="2410" w:type="dxa"/>
            <w:gridSpan w:val="2"/>
            <w:tcBorders>
              <w:top w:val="single" w:sz="4" w:space="0" w:color="auto"/>
              <w:left w:val="nil"/>
              <w:bottom w:val="nil"/>
              <w:right w:val="nil"/>
            </w:tcBorders>
            <w:shd w:val="clear" w:color="auto" w:fill="A8D08D" w:themeFill="accent6" w:themeFillTint="99"/>
          </w:tcPr>
          <w:p w:rsidR="00CD7572" w:rsidRPr="00CD7572" w:rsidRDefault="0062660D" w:rsidP="00CD7572">
            <w:pPr>
              <w:jc w:val="right"/>
              <w:rPr>
                <w:b/>
              </w:rPr>
            </w:pPr>
            <w:r w:rsidRPr="00CD7572">
              <w:rPr>
                <w:b/>
              </w:rPr>
              <w:t>Market value as at</w:t>
            </w:r>
          </w:p>
          <w:p w:rsidR="00CD7572" w:rsidRPr="00CD7572" w:rsidRDefault="0062660D" w:rsidP="00CD7572">
            <w:pPr>
              <w:jc w:val="right"/>
              <w:rPr>
                <w:b/>
              </w:rPr>
            </w:pPr>
            <w:r w:rsidRPr="00CD7572">
              <w:rPr>
                <w:b/>
              </w:rPr>
              <w:t>1 April 2015</w:t>
            </w:r>
          </w:p>
        </w:tc>
        <w:tc>
          <w:tcPr>
            <w:tcW w:w="2625" w:type="dxa"/>
            <w:tcBorders>
              <w:top w:val="single" w:sz="4" w:space="0" w:color="auto"/>
              <w:left w:val="nil"/>
              <w:bottom w:val="nil"/>
              <w:right w:val="nil"/>
            </w:tcBorders>
            <w:shd w:val="clear" w:color="auto" w:fill="A8D08D" w:themeFill="accent6" w:themeFillTint="99"/>
          </w:tcPr>
          <w:p w:rsidR="00CD7572" w:rsidRPr="00CD7572" w:rsidRDefault="0062660D" w:rsidP="00CD7572">
            <w:pPr>
              <w:jc w:val="right"/>
              <w:rPr>
                <w:b/>
              </w:rPr>
            </w:pPr>
            <w:r w:rsidRPr="00CD7572">
              <w:rPr>
                <w:b/>
              </w:rPr>
              <w:t>Purchases at cost and derivative payments</w:t>
            </w:r>
          </w:p>
        </w:tc>
        <w:tc>
          <w:tcPr>
            <w:tcW w:w="2565" w:type="dxa"/>
            <w:tcBorders>
              <w:top w:val="single" w:sz="4" w:space="0" w:color="auto"/>
              <w:left w:val="nil"/>
              <w:bottom w:val="nil"/>
              <w:right w:val="nil"/>
            </w:tcBorders>
            <w:shd w:val="clear" w:color="auto" w:fill="A8D08D" w:themeFill="accent6" w:themeFillTint="99"/>
          </w:tcPr>
          <w:p w:rsidR="00CD7572" w:rsidRPr="00CD7572" w:rsidRDefault="0062660D" w:rsidP="00CD7572">
            <w:pPr>
              <w:jc w:val="right"/>
              <w:rPr>
                <w:b/>
              </w:rPr>
            </w:pPr>
            <w:r w:rsidRPr="00CD7572">
              <w:rPr>
                <w:b/>
              </w:rPr>
              <w:t>Sales proceeds and derivative receipts</w:t>
            </w:r>
          </w:p>
        </w:tc>
        <w:tc>
          <w:tcPr>
            <w:tcW w:w="2565" w:type="dxa"/>
            <w:tcBorders>
              <w:top w:val="single" w:sz="4" w:space="0" w:color="auto"/>
              <w:left w:val="nil"/>
              <w:bottom w:val="nil"/>
              <w:right w:val="nil"/>
            </w:tcBorders>
            <w:shd w:val="clear" w:color="auto" w:fill="A8D08D" w:themeFill="accent6" w:themeFillTint="99"/>
          </w:tcPr>
          <w:p w:rsidR="00CD7572" w:rsidRPr="00CD7572" w:rsidRDefault="0062660D" w:rsidP="00CD7572">
            <w:pPr>
              <w:jc w:val="right"/>
              <w:rPr>
                <w:b/>
              </w:rPr>
            </w:pPr>
            <w:r w:rsidRPr="00CD7572">
              <w:rPr>
                <w:b/>
              </w:rPr>
              <w:t>Change in market value</w:t>
            </w:r>
          </w:p>
        </w:tc>
        <w:tc>
          <w:tcPr>
            <w:tcW w:w="2565" w:type="dxa"/>
            <w:tcBorders>
              <w:top w:val="single" w:sz="4" w:space="0" w:color="auto"/>
              <w:left w:val="nil"/>
              <w:bottom w:val="nil"/>
              <w:right w:val="single" w:sz="4" w:space="0" w:color="auto"/>
            </w:tcBorders>
            <w:shd w:val="clear" w:color="auto" w:fill="A8D08D" w:themeFill="accent6" w:themeFillTint="99"/>
          </w:tcPr>
          <w:p w:rsidR="00CD7572" w:rsidRPr="00CD7572" w:rsidRDefault="0062660D" w:rsidP="00CD7572">
            <w:pPr>
              <w:jc w:val="right"/>
              <w:rPr>
                <w:b/>
              </w:rPr>
            </w:pPr>
            <w:r w:rsidRPr="00CD7572">
              <w:rPr>
                <w:b/>
              </w:rPr>
              <w:t>Market value as at</w:t>
            </w:r>
          </w:p>
          <w:p w:rsidR="00CD7572" w:rsidRPr="00CD7572" w:rsidRDefault="0062660D" w:rsidP="00CD7572">
            <w:pPr>
              <w:jc w:val="right"/>
              <w:rPr>
                <w:b/>
              </w:rPr>
            </w:pPr>
            <w:r w:rsidRPr="00CD7572">
              <w:rPr>
                <w:b/>
              </w:rPr>
              <w:t xml:space="preserve"> 31 March 2016</w:t>
            </w:r>
          </w:p>
        </w:tc>
      </w:tr>
      <w:tr w:rsidR="006A2C17" w:rsidTr="00E245D6">
        <w:trPr>
          <w:trHeight w:val="532"/>
        </w:trPr>
        <w:tc>
          <w:tcPr>
            <w:tcW w:w="2660" w:type="dxa"/>
            <w:tcBorders>
              <w:top w:val="nil"/>
              <w:left w:val="single" w:sz="4" w:space="0" w:color="auto"/>
              <w:bottom w:val="single" w:sz="4" w:space="0" w:color="auto"/>
              <w:right w:val="nil"/>
            </w:tcBorders>
            <w:shd w:val="clear" w:color="auto" w:fill="A8D08D" w:themeFill="accent6" w:themeFillTint="99"/>
          </w:tcPr>
          <w:p w:rsidR="00CD7572" w:rsidRPr="00CD7572" w:rsidRDefault="0062660D" w:rsidP="00CD7572">
            <w:pPr>
              <w:autoSpaceDE/>
              <w:autoSpaceDN/>
              <w:adjustRightInd/>
              <w:spacing w:after="0"/>
              <w:jc w:val="left"/>
            </w:pPr>
          </w:p>
        </w:tc>
        <w:tc>
          <w:tcPr>
            <w:tcW w:w="2410" w:type="dxa"/>
            <w:gridSpan w:val="2"/>
            <w:tcBorders>
              <w:top w:val="nil"/>
              <w:left w:val="nil"/>
              <w:bottom w:val="single" w:sz="4" w:space="0" w:color="auto"/>
              <w:right w:val="nil"/>
            </w:tcBorders>
            <w:shd w:val="clear" w:color="auto" w:fill="A8D08D" w:themeFill="accent6" w:themeFillTint="99"/>
          </w:tcPr>
          <w:p w:rsidR="00CD7572" w:rsidRPr="00CD7572" w:rsidRDefault="0062660D" w:rsidP="00CD7572">
            <w:pPr>
              <w:autoSpaceDE/>
              <w:autoSpaceDN/>
              <w:adjustRightInd/>
              <w:spacing w:after="0"/>
              <w:jc w:val="right"/>
              <w:rPr>
                <w:b/>
              </w:rPr>
            </w:pPr>
            <w:r w:rsidRPr="00CD7572">
              <w:rPr>
                <w:b/>
              </w:rPr>
              <w:t>£m</w:t>
            </w:r>
          </w:p>
        </w:tc>
        <w:tc>
          <w:tcPr>
            <w:tcW w:w="2625" w:type="dxa"/>
            <w:tcBorders>
              <w:top w:val="nil"/>
              <w:left w:val="nil"/>
              <w:bottom w:val="single" w:sz="4" w:space="0" w:color="auto"/>
              <w:right w:val="nil"/>
            </w:tcBorders>
            <w:shd w:val="clear" w:color="auto" w:fill="A8D08D" w:themeFill="accent6" w:themeFillTint="99"/>
          </w:tcPr>
          <w:p w:rsidR="00CD7572" w:rsidRPr="00CD7572" w:rsidRDefault="0062660D" w:rsidP="00CD7572">
            <w:pPr>
              <w:jc w:val="right"/>
              <w:rPr>
                <w:b/>
              </w:rPr>
            </w:pPr>
            <w:r w:rsidRPr="00CD7572">
              <w:rPr>
                <w:b/>
              </w:rPr>
              <w:t>£m</w:t>
            </w:r>
          </w:p>
        </w:tc>
        <w:tc>
          <w:tcPr>
            <w:tcW w:w="2565" w:type="dxa"/>
            <w:tcBorders>
              <w:top w:val="nil"/>
              <w:left w:val="nil"/>
              <w:bottom w:val="single" w:sz="4" w:space="0" w:color="auto"/>
              <w:right w:val="nil"/>
            </w:tcBorders>
            <w:shd w:val="clear" w:color="auto" w:fill="A8D08D" w:themeFill="accent6" w:themeFillTint="99"/>
          </w:tcPr>
          <w:p w:rsidR="00CD7572" w:rsidRPr="00CD7572" w:rsidRDefault="0062660D" w:rsidP="00CD7572">
            <w:pPr>
              <w:jc w:val="right"/>
              <w:rPr>
                <w:b/>
              </w:rPr>
            </w:pPr>
            <w:r w:rsidRPr="00CD7572">
              <w:rPr>
                <w:b/>
              </w:rPr>
              <w:t>£m</w:t>
            </w:r>
          </w:p>
        </w:tc>
        <w:tc>
          <w:tcPr>
            <w:tcW w:w="2565" w:type="dxa"/>
            <w:tcBorders>
              <w:top w:val="nil"/>
              <w:left w:val="nil"/>
              <w:bottom w:val="single" w:sz="4" w:space="0" w:color="auto"/>
              <w:right w:val="nil"/>
            </w:tcBorders>
            <w:shd w:val="clear" w:color="auto" w:fill="A8D08D" w:themeFill="accent6" w:themeFillTint="99"/>
          </w:tcPr>
          <w:p w:rsidR="00CD7572" w:rsidRPr="00CD7572" w:rsidRDefault="0062660D" w:rsidP="00CD7572">
            <w:pPr>
              <w:jc w:val="right"/>
              <w:rPr>
                <w:b/>
              </w:rPr>
            </w:pPr>
            <w:r w:rsidRPr="00CD7572">
              <w:rPr>
                <w:b/>
              </w:rPr>
              <w:t>£m</w:t>
            </w:r>
          </w:p>
        </w:tc>
        <w:tc>
          <w:tcPr>
            <w:tcW w:w="2565" w:type="dxa"/>
            <w:tcBorders>
              <w:top w:val="nil"/>
              <w:left w:val="nil"/>
              <w:bottom w:val="single" w:sz="4" w:space="0" w:color="auto"/>
              <w:right w:val="single" w:sz="4" w:space="0" w:color="auto"/>
            </w:tcBorders>
            <w:shd w:val="clear" w:color="auto" w:fill="A8D08D" w:themeFill="accent6" w:themeFillTint="99"/>
          </w:tcPr>
          <w:p w:rsidR="00CD7572" w:rsidRPr="00CD7572" w:rsidRDefault="0062660D" w:rsidP="00CD7572">
            <w:pPr>
              <w:jc w:val="right"/>
              <w:rPr>
                <w:b/>
              </w:rPr>
            </w:pPr>
            <w:r w:rsidRPr="00CD7572">
              <w:rPr>
                <w:b/>
              </w:rPr>
              <w:t>£m</w:t>
            </w:r>
          </w:p>
        </w:tc>
      </w:tr>
      <w:tr w:rsidR="006A2C17" w:rsidTr="00E245D6">
        <w:trPr>
          <w:trHeight w:val="156"/>
        </w:trPr>
        <w:tc>
          <w:tcPr>
            <w:tcW w:w="3114" w:type="dxa"/>
            <w:gridSpan w:val="2"/>
            <w:tcBorders>
              <w:top w:val="single" w:sz="4" w:space="0" w:color="auto"/>
              <w:left w:val="single" w:sz="4" w:space="0" w:color="auto"/>
              <w:bottom w:val="nil"/>
              <w:right w:val="nil"/>
            </w:tcBorders>
          </w:tcPr>
          <w:p w:rsidR="00CD7572" w:rsidRPr="00CD7572" w:rsidRDefault="0062660D" w:rsidP="00CD7572">
            <w:pPr>
              <w:autoSpaceDE/>
              <w:autoSpaceDN/>
              <w:adjustRightInd/>
              <w:spacing w:after="0"/>
              <w:jc w:val="left"/>
            </w:pPr>
          </w:p>
        </w:tc>
        <w:tc>
          <w:tcPr>
            <w:tcW w:w="1956" w:type="dxa"/>
            <w:tcBorders>
              <w:top w:val="single" w:sz="4" w:space="0" w:color="auto"/>
              <w:left w:val="nil"/>
              <w:bottom w:val="nil"/>
              <w:right w:val="nil"/>
            </w:tcBorders>
          </w:tcPr>
          <w:p w:rsidR="00CD7572" w:rsidRPr="00CD7572" w:rsidRDefault="0062660D" w:rsidP="00CD7572">
            <w:pPr>
              <w:autoSpaceDE/>
              <w:autoSpaceDN/>
              <w:adjustRightInd/>
              <w:spacing w:after="0"/>
              <w:jc w:val="right"/>
            </w:pPr>
          </w:p>
        </w:tc>
        <w:tc>
          <w:tcPr>
            <w:tcW w:w="2625" w:type="dxa"/>
            <w:tcBorders>
              <w:top w:val="single" w:sz="4" w:space="0" w:color="auto"/>
              <w:left w:val="nil"/>
              <w:bottom w:val="nil"/>
              <w:right w:val="nil"/>
            </w:tcBorders>
          </w:tcPr>
          <w:p w:rsidR="00CD7572" w:rsidRPr="00CD7572" w:rsidRDefault="0062660D" w:rsidP="00CD7572">
            <w:pPr>
              <w:autoSpaceDE/>
              <w:autoSpaceDN/>
              <w:adjustRightInd/>
              <w:spacing w:after="0"/>
              <w:jc w:val="right"/>
            </w:pPr>
          </w:p>
        </w:tc>
        <w:tc>
          <w:tcPr>
            <w:tcW w:w="2565" w:type="dxa"/>
            <w:tcBorders>
              <w:top w:val="single" w:sz="4" w:space="0" w:color="auto"/>
              <w:left w:val="nil"/>
              <w:bottom w:val="nil"/>
              <w:right w:val="nil"/>
            </w:tcBorders>
          </w:tcPr>
          <w:p w:rsidR="00CD7572" w:rsidRPr="00CD7572" w:rsidRDefault="0062660D" w:rsidP="00CD7572">
            <w:pPr>
              <w:autoSpaceDE/>
              <w:autoSpaceDN/>
              <w:adjustRightInd/>
              <w:spacing w:after="0"/>
              <w:jc w:val="right"/>
            </w:pPr>
          </w:p>
        </w:tc>
        <w:tc>
          <w:tcPr>
            <w:tcW w:w="2565" w:type="dxa"/>
            <w:tcBorders>
              <w:top w:val="single" w:sz="4" w:space="0" w:color="auto"/>
              <w:left w:val="nil"/>
              <w:bottom w:val="nil"/>
              <w:right w:val="nil"/>
            </w:tcBorders>
          </w:tcPr>
          <w:p w:rsidR="00CD7572" w:rsidRPr="00CD7572" w:rsidRDefault="0062660D" w:rsidP="00CD7572">
            <w:pPr>
              <w:autoSpaceDE/>
              <w:autoSpaceDN/>
              <w:adjustRightInd/>
              <w:spacing w:after="0"/>
              <w:jc w:val="right"/>
            </w:pPr>
          </w:p>
        </w:tc>
        <w:tc>
          <w:tcPr>
            <w:tcW w:w="2565" w:type="dxa"/>
            <w:tcBorders>
              <w:top w:val="single" w:sz="4" w:space="0" w:color="auto"/>
              <w:left w:val="nil"/>
              <w:bottom w:val="nil"/>
              <w:right w:val="single" w:sz="4" w:space="0" w:color="auto"/>
            </w:tcBorders>
          </w:tcPr>
          <w:p w:rsidR="00CD7572" w:rsidRPr="00CD7572" w:rsidRDefault="0062660D" w:rsidP="00CD7572">
            <w:pPr>
              <w:autoSpaceDE/>
              <w:autoSpaceDN/>
              <w:adjustRightInd/>
              <w:spacing w:after="0"/>
              <w:jc w:val="right"/>
            </w:pPr>
          </w:p>
        </w:tc>
      </w:tr>
      <w:tr w:rsidR="006A2C17" w:rsidTr="00E245D6">
        <w:trPr>
          <w:trHeight w:val="426"/>
        </w:trPr>
        <w:tc>
          <w:tcPr>
            <w:tcW w:w="3114" w:type="dxa"/>
            <w:gridSpan w:val="2"/>
            <w:tcBorders>
              <w:top w:val="nil"/>
              <w:left w:val="single" w:sz="4" w:space="0" w:color="auto"/>
              <w:bottom w:val="nil"/>
              <w:right w:val="nil"/>
            </w:tcBorders>
          </w:tcPr>
          <w:p w:rsidR="00CD7572" w:rsidRPr="00CD7572" w:rsidRDefault="0062660D" w:rsidP="00CD7572">
            <w:pPr>
              <w:autoSpaceDE/>
              <w:autoSpaceDN/>
              <w:adjustRightInd/>
              <w:spacing w:after="0"/>
              <w:jc w:val="left"/>
            </w:pPr>
            <w:r w:rsidRPr="00CD7572">
              <w:t>Fixed interest securities</w:t>
            </w:r>
          </w:p>
        </w:tc>
        <w:tc>
          <w:tcPr>
            <w:tcW w:w="1956" w:type="dxa"/>
            <w:tcBorders>
              <w:top w:val="nil"/>
              <w:left w:val="nil"/>
              <w:bottom w:val="nil"/>
              <w:right w:val="nil"/>
            </w:tcBorders>
          </w:tcPr>
          <w:p w:rsidR="00CD7572" w:rsidRPr="00CD7572" w:rsidRDefault="0062660D" w:rsidP="00CD7572">
            <w:pPr>
              <w:autoSpaceDE/>
              <w:autoSpaceDN/>
              <w:adjustRightInd/>
              <w:spacing w:after="0"/>
              <w:jc w:val="right"/>
            </w:pPr>
            <w:r w:rsidRPr="00CD7572">
              <w:t>148.8</w:t>
            </w:r>
          </w:p>
        </w:tc>
        <w:tc>
          <w:tcPr>
            <w:tcW w:w="2625" w:type="dxa"/>
            <w:tcBorders>
              <w:top w:val="nil"/>
              <w:left w:val="nil"/>
              <w:bottom w:val="nil"/>
              <w:right w:val="nil"/>
            </w:tcBorders>
          </w:tcPr>
          <w:p w:rsidR="00CD7572" w:rsidRPr="00CD7572" w:rsidRDefault="0062660D" w:rsidP="00CD7572">
            <w:pPr>
              <w:autoSpaceDE/>
              <w:autoSpaceDN/>
              <w:adjustRightInd/>
              <w:spacing w:after="0"/>
              <w:jc w:val="right"/>
            </w:pPr>
            <w:r w:rsidRPr="00CD7572">
              <w:t>103.2</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(126.8)</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(2.1)</w:t>
            </w:r>
          </w:p>
        </w:tc>
        <w:tc>
          <w:tcPr>
            <w:tcW w:w="2565" w:type="dxa"/>
            <w:tcBorders>
              <w:top w:val="nil"/>
              <w:left w:val="nil"/>
              <w:bottom w:val="nil"/>
              <w:right w:val="single" w:sz="4" w:space="0" w:color="auto"/>
            </w:tcBorders>
          </w:tcPr>
          <w:p w:rsidR="00CD7572" w:rsidRPr="00CD7572" w:rsidRDefault="0062660D" w:rsidP="00CD7572">
            <w:pPr>
              <w:autoSpaceDE/>
              <w:autoSpaceDN/>
              <w:adjustRightInd/>
              <w:spacing w:after="0"/>
              <w:jc w:val="right"/>
            </w:pPr>
            <w:r w:rsidRPr="00CD7572">
              <w:t>123.1</w:t>
            </w:r>
          </w:p>
        </w:tc>
      </w:tr>
      <w:tr w:rsidR="006A2C17" w:rsidTr="00E245D6">
        <w:trPr>
          <w:trHeight w:val="420"/>
        </w:trPr>
        <w:tc>
          <w:tcPr>
            <w:tcW w:w="3114" w:type="dxa"/>
            <w:gridSpan w:val="2"/>
            <w:tcBorders>
              <w:top w:val="nil"/>
              <w:left w:val="single" w:sz="4" w:space="0" w:color="auto"/>
              <w:bottom w:val="nil"/>
              <w:right w:val="nil"/>
            </w:tcBorders>
          </w:tcPr>
          <w:p w:rsidR="00CD7572" w:rsidRPr="00CD7572" w:rsidRDefault="0062660D" w:rsidP="00CD7572">
            <w:pPr>
              <w:autoSpaceDE/>
              <w:autoSpaceDN/>
              <w:adjustRightInd/>
              <w:spacing w:after="0"/>
              <w:jc w:val="left"/>
            </w:pPr>
            <w:r w:rsidRPr="00CD7572">
              <w:t>Equities</w:t>
            </w:r>
          </w:p>
        </w:tc>
        <w:tc>
          <w:tcPr>
            <w:tcW w:w="1956" w:type="dxa"/>
            <w:tcBorders>
              <w:top w:val="nil"/>
              <w:left w:val="nil"/>
              <w:bottom w:val="nil"/>
              <w:right w:val="nil"/>
            </w:tcBorders>
          </w:tcPr>
          <w:p w:rsidR="00CD7572" w:rsidRPr="00CD7572" w:rsidRDefault="0062660D" w:rsidP="00CD7572">
            <w:pPr>
              <w:autoSpaceDE/>
              <w:autoSpaceDN/>
              <w:adjustRightInd/>
              <w:spacing w:after="0"/>
              <w:jc w:val="right"/>
            </w:pPr>
            <w:r w:rsidRPr="00CD7572">
              <w:t>2,000.7</w:t>
            </w:r>
          </w:p>
        </w:tc>
        <w:tc>
          <w:tcPr>
            <w:tcW w:w="2625" w:type="dxa"/>
            <w:tcBorders>
              <w:top w:val="nil"/>
              <w:left w:val="nil"/>
              <w:bottom w:val="nil"/>
              <w:right w:val="nil"/>
            </w:tcBorders>
          </w:tcPr>
          <w:p w:rsidR="00CD7572" w:rsidRPr="00CD7572" w:rsidRDefault="0062660D" w:rsidP="00CD7572">
            <w:pPr>
              <w:autoSpaceDE/>
              <w:autoSpaceDN/>
              <w:adjustRightInd/>
              <w:spacing w:after="0"/>
              <w:jc w:val="right"/>
            </w:pPr>
            <w:r w:rsidRPr="00CD7572">
              <w:t>377.7</w:t>
            </w:r>
          </w:p>
          <w:p w:rsidR="00CD7572" w:rsidRPr="00CD7572" w:rsidRDefault="0062660D" w:rsidP="00CD7572">
            <w:pPr>
              <w:autoSpaceDE/>
              <w:autoSpaceDN/>
              <w:adjustRightInd/>
              <w:spacing w:after="0"/>
              <w:jc w:val="center"/>
            </w:pP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(347.6)</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39.1</w:t>
            </w:r>
          </w:p>
        </w:tc>
        <w:tc>
          <w:tcPr>
            <w:tcW w:w="2565" w:type="dxa"/>
            <w:tcBorders>
              <w:top w:val="nil"/>
              <w:left w:val="nil"/>
              <w:bottom w:val="nil"/>
              <w:right w:val="single" w:sz="4" w:space="0" w:color="auto"/>
            </w:tcBorders>
          </w:tcPr>
          <w:p w:rsidR="00CD7572" w:rsidRPr="00CD7572" w:rsidRDefault="0062660D" w:rsidP="00CD7572">
            <w:pPr>
              <w:autoSpaceDE/>
              <w:autoSpaceDN/>
              <w:adjustRightInd/>
              <w:spacing w:after="0"/>
              <w:jc w:val="right"/>
            </w:pPr>
            <w:r w:rsidRPr="00CD7572">
              <w:t>2,069.9</w:t>
            </w:r>
          </w:p>
        </w:tc>
      </w:tr>
      <w:tr w:rsidR="006A2C17" w:rsidTr="00E245D6">
        <w:trPr>
          <w:trHeight w:val="561"/>
        </w:trPr>
        <w:tc>
          <w:tcPr>
            <w:tcW w:w="3114" w:type="dxa"/>
            <w:gridSpan w:val="2"/>
            <w:tcBorders>
              <w:top w:val="nil"/>
              <w:left w:val="single" w:sz="4" w:space="0" w:color="auto"/>
              <w:bottom w:val="nil"/>
              <w:right w:val="nil"/>
            </w:tcBorders>
          </w:tcPr>
          <w:p w:rsidR="00CD7572" w:rsidRPr="00CD7572" w:rsidRDefault="0062660D" w:rsidP="00CD7572">
            <w:pPr>
              <w:autoSpaceDE/>
              <w:autoSpaceDN/>
              <w:adjustRightInd/>
              <w:spacing w:after="0"/>
              <w:jc w:val="left"/>
            </w:pPr>
            <w:r w:rsidRPr="00CD7572">
              <w:t>Index linked securities</w:t>
            </w:r>
          </w:p>
        </w:tc>
        <w:tc>
          <w:tcPr>
            <w:tcW w:w="1956" w:type="dxa"/>
            <w:tcBorders>
              <w:top w:val="nil"/>
              <w:left w:val="nil"/>
              <w:bottom w:val="nil"/>
              <w:right w:val="nil"/>
            </w:tcBorders>
          </w:tcPr>
          <w:p w:rsidR="00CD7572" w:rsidRPr="00CD7572" w:rsidRDefault="0062660D" w:rsidP="00CD7572">
            <w:pPr>
              <w:autoSpaceDE/>
              <w:autoSpaceDN/>
              <w:adjustRightInd/>
              <w:spacing w:after="0"/>
              <w:jc w:val="right"/>
            </w:pPr>
            <w:r w:rsidRPr="00CD7572">
              <w:t>317.9</w:t>
            </w:r>
          </w:p>
        </w:tc>
        <w:tc>
          <w:tcPr>
            <w:tcW w:w="2625" w:type="dxa"/>
            <w:tcBorders>
              <w:top w:val="nil"/>
              <w:left w:val="nil"/>
              <w:bottom w:val="nil"/>
              <w:right w:val="nil"/>
            </w:tcBorders>
          </w:tcPr>
          <w:p w:rsidR="00CD7572" w:rsidRPr="00CD7572" w:rsidRDefault="0062660D" w:rsidP="00CD7572">
            <w:pPr>
              <w:autoSpaceDE/>
              <w:autoSpaceDN/>
              <w:adjustRightInd/>
              <w:spacing w:after="0"/>
              <w:jc w:val="right"/>
            </w:pPr>
            <w:r w:rsidRPr="00CD7572">
              <w:t>865.0</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(1,115.5)</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(3.7)</w:t>
            </w:r>
          </w:p>
        </w:tc>
        <w:tc>
          <w:tcPr>
            <w:tcW w:w="2565" w:type="dxa"/>
            <w:tcBorders>
              <w:top w:val="nil"/>
              <w:left w:val="nil"/>
              <w:bottom w:val="nil"/>
              <w:right w:val="single" w:sz="4" w:space="0" w:color="auto"/>
            </w:tcBorders>
          </w:tcPr>
          <w:p w:rsidR="00CD7572" w:rsidRPr="00CD7572" w:rsidRDefault="0062660D" w:rsidP="00CD7572">
            <w:pPr>
              <w:autoSpaceDE/>
              <w:autoSpaceDN/>
              <w:adjustRightInd/>
              <w:spacing w:after="0"/>
              <w:jc w:val="right"/>
            </w:pPr>
            <w:r w:rsidRPr="00CD7572">
              <w:t>63.7</w:t>
            </w:r>
          </w:p>
        </w:tc>
      </w:tr>
      <w:tr w:rsidR="006A2C17" w:rsidTr="00E245D6">
        <w:trPr>
          <w:trHeight w:val="723"/>
        </w:trPr>
        <w:tc>
          <w:tcPr>
            <w:tcW w:w="3114" w:type="dxa"/>
            <w:gridSpan w:val="2"/>
            <w:tcBorders>
              <w:top w:val="nil"/>
              <w:left w:val="single" w:sz="4" w:space="0" w:color="auto"/>
              <w:bottom w:val="nil"/>
              <w:right w:val="nil"/>
            </w:tcBorders>
          </w:tcPr>
          <w:p w:rsidR="00CD7572" w:rsidRPr="00CD7572" w:rsidRDefault="0062660D" w:rsidP="00CD7572">
            <w:pPr>
              <w:autoSpaceDE/>
              <w:autoSpaceDN/>
              <w:adjustRightInd/>
              <w:spacing w:after="0"/>
              <w:jc w:val="left"/>
            </w:pPr>
            <w:r w:rsidRPr="00CD7572">
              <w:t>Pooled investment vehicles</w:t>
            </w:r>
          </w:p>
        </w:tc>
        <w:tc>
          <w:tcPr>
            <w:tcW w:w="1956" w:type="dxa"/>
            <w:tcBorders>
              <w:top w:val="nil"/>
              <w:left w:val="nil"/>
              <w:bottom w:val="nil"/>
              <w:right w:val="nil"/>
            </w:tcBorders>
          </w:tcPr>
          <w:p w:rsidR="00CD7572" w:rsidRPr="00CD7572" w:rsidRDefault="0062660D" w:rsidP="00CD7572">
            <w:pPr>
              <w:autoSpaceDE/>
              <w:autoSpaceDN/>
              <w:adjustRightInd/>
              <w:spacing w:after="0"/>
              <w:jc w:val="right"/>
            </w:pPr>
            <w:r w:rsidRPr="00CD7572">
              <w:t>2,740.2</w:t>
            </w:r>
          </w:p>
        </w:tc>
        <w:tc>
          <w:tcPr>
            <w:tcW w:w="2625" w:type="dxa"/>
            <w:tcBorders>
              <w:top w:val="nil"/>
              <w:left w:val="nil"/>
              <w:bottom w:val="nil"/>
              <w:right w:val="nil"/>
            </w:tcBorders>
          </w:tcPr>
          <w:p w:rsidR="00CD7572" w:rsidRPr="00CD7572" w:rsidRDefault="0062660D" w:rsidP="00CD7572">
            <w:pPr>
              <w:autoSpaceDE/>
              <w:autoSpaceDN/>
              <w:adjustRightInd/>
              <w:spacing w:after="0"/>
              <w:jc w:val="right"/>
            </w:pPr>
            <w:r w:rsidRPr="00CD7572">
              <w:t>950.4</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(842.7)</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87.7</w:t>
            </w:r>
          </w:p>
        </w:tc>
        <w:tc>
          <w:tcPr>
            <w:tcW w:w="2565" w:type="dxa"/>
            <w:tcBorders>
              <w:top w:val="nil"/>
              <w:left w:val="nil"/>
              <w:bottom w:val="nil"/>
              <w:right w:val="single" w:sz="4" w:space="0" w:color="auto"/>
            </w:tcBorders>
          </w:tcPr>
          <w:p w:rsidR="00CD7572" w:rsidRPr="00CD7572" w:rsidRDefault="0062660D" w:rsidP="00CD7572">
            <w:pPr>
              <w:autoSpaceDE/>
              <w:autoSpaceDN/>
              <w:adjustRightInd/>
              <w:spacing w:after="0"/>
              <w:jc w:val="right"/>
            </w:pPr>
            <w:r w:rsidRPr="00CD7572">
              <w:t>2,935.6</w:t>
            </w:r>
          </w:p>
        </w:tc>
      </w:tr>
      <w:tr w:rsidR="006A2C17" w:rsidTr="00E245D6">
        <w:trPr>
          <w:trHeight w:val="448"/>
        </w:trPr>
        <w:tc>
          <w:tcPr>
            <w:tcW w:w="3114" w:type="dxa"/>
            <w:gridSpan w:val="2"/>
            <w:tcBorders>
              <w:top w:val="nil"/>
              <w:left w:val="single" w:sz="4" w:space="0" w:color="auto"/>
              <w:bottom w:val="nil"/>
              <w:right w:val="nil"/>
            </w:tcBorders>
          </w:tcPr>
          <w:p w:rsidR="00CD7572" w:rsidRPr="00CD7572" w:rsidRDefault="0062660D" w:rsidP="00CD7572">
            <w:pPr>
              <w:autoSpaceDE/>
              <w:autoSpaceDN/>
              <w:adjustRightInd/>
              <w:spacing w:after="0"/>
              <w:jc w:val="left"/>
            </w:pPr>
            <w:r w:rsidRPr="00CD7572">
              <w:t>Direct property</w:t>
            </w:r>
          </w:p>
        </w:tc>
        <w:tc>
          <w:tcPr>
            <w:tcW w:w="1956" w:type="dxa"/>
            <w:tcBorders>
              <w:top w:val="nil"/>
              <w:left w:val="nil"/>
              <w:bottom w:val="nil"/>
              <w:right w:val="nil"/>
            </w:tcBorders>
          </w:tcPr>
          <w:p w:rsidR="00CD7572" w:rsidRPr="00CD7572" w:rsidRDefault="0062660D" w:rsidP="00CD7572">
            <w:pPr>
              <w:autoSpaceDE/>
              <w:autoSpaceDN/>
              <w:adjustRightInd/>
              <w:spacing w:after="0"/>
              <w:jc w:val="right"/>
            </w:pPr>
            <w:r w:rsidRPr="00CD7572">
              <w:t>531.4</w:t>
            </w:r>
          </w:p>
        </w:tc>
        <w:tc>
          <w:tcPr>
            <w:tcW w:w="2625" w:type="dxa"/>
            <w:tcBorders>
              <w:top w:val="nil"/>
              <w:left w:val="nil"/>
              <w:bottom w:val="nil"/>
              <w:right w:val="nil"/>
            </w:tcBorders>
          </w:tcPr>
          <w:p w:rsidR="00CD7572" w:rsidRPr="00CD7572" w:rsidRDefault="0062660D" w:rsidP="00CD7572">
            <w:pPr>
              <w:autoSpaceDE/>
              <w:autoSpaceDN/>
              <w:adjustRightInd/>
              <w:spacing w:after="0"/>
              <w:jc w:val="right"/>
            </w:pPr>
            <w:r w:rsidRPr="00CD7572">
              <w:t>84.4</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(52.6)</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44.9</w:t>
            </w:r>
          </w:p>
        </w:tc>
        <w:tc>
          <w:tcPr>
            <w:tcW w:w="2565" w:type="dxa"/>
            <w:tcBorders>
              <w:top w:val="nil"/>
              <w:left w:val="nil"/>
              <w:bottom w:val="nil"/>
              <w:right w:val="single" w:sz="4" w:space="0" w:color="auto"/>
            </w:tcBorders>
          </w:tcPr>
          <w:p w:rsidR="00CD7572" w:rsidRPr="00CD7572" w:rsidRDefault="0062660D" w:rsidP="00CD7572">
            <w:pPr>
              <w:autoSpaceDE/>
              <w:autoSpaceDN/>
              <w:adjustRightInd/>
              <w:spacing w:after="0"/>
              <w:jc w:val="right"/>
            </w:pPr>
            <w:r w:rsidRPr="00CD7572">
              <w:t>608.1</w:t>
            </w:r>
          </w:p>
        </w:tc>
      </w:tr>
      <w:tr w:rsidR="006A2C17" w:rsidTr="00E245D6">
        <w:trPr>
          <w:trHeight w:val="486"/>
        </w:trPr>
        <w:tc>
          <w:tcPr>
            <w:tcW w:w="3114" w:type="dxa"/>
            <w:gridSpan w:val="2"/>
            <w:tcBorders>
              <w:top w:val="nil"/>
              <w:left w:val="single" w:sz="4" w:space="0" w:color="auto"/>
              <w:bottom w:val="nil"/>
              <w:right w:val="nil"/>
            </w:tcBorders>
            <w:shd w:val="clear" w:color="auto" w:fill="E2EFD9" w:themeFill="accent6" w:themeFillTint="33"/>
          </w:tcPr>
          <w:p w:rsidR="00CD7572" w:rsidRPr="00CD7572" w:rsidRDefault="0062660D" w:rsidP="00CD7572">
            <w:pPr>
              <w:autoSpaceDE/>
              <w:autoSpaceDN/>
              <w:adjustRightInd/>
              <w:spacing w:after="0"/>
              <w:jc w:val="left"/>
            </w:pPr>
          </w:p>
        </w:tc>
        <w:tc>
          <w:tcPr>
            <w:tcW w:w="1956" w:type="dxa"/>
            <w:tcBorders>
              <w:top w:val="nil"/>
              <w:left w:val="nil"/>
              <w:bottom w:val="nil"/>
              <w:right w:val="nil"/>
            </w:tcBorders>
            <w:shd w:val="clear" w:color="auto" w:fill="E2EFD9" w:themeFill="accent6" w:themeFillTint="33"/>
          </w:tcPr>
          <w:p w:rsidR="00CD7572" w:rsidRPr="00CD7572" w:rsidRDefault="0062660D" w:rsidP="00CD7572">
            <w:pPr>
              <w:autoSpaceDE/>
              <w:autoSpaceDN/>
              <w:adjustRightInd/>
              <w:spacing w:after="0"/>
              <w:jc w:val="right"/>
            </w:pPr>
            <w:r w:rsidRPr="00CD7572">
              <w:t>5,739.0</w:t>
            </w:r>
          </w:p>
        </w:tc>
        <w:tc>
          <w:tcPr>
            <w:tcW w:w="2625" w:type="dxa"/>
            <w:tcBorders>
              <w:top w:val="nil"/>
              <w:left w:val="nil"/>
              <w:bottom w:val="nil"/>
              <w:right w:val="nil"/>
            </w:tcBorders>
            <w:shd w:val="clear" w:color="auto" w:fill="E2EFD9" w:themeFill="accent6" w:themeFillTint="33"/>
          </w:tcPr>
          <w:p w:rsidR="00CD7572" w:rsidRPr="00CD7572" w:rsidRDefault="0062660D" w:rsidP="00CD7572">
            <w:pPr>
              <w:autoSpaceDE/>
              <w:autoSpaceDN/>
              <w:adjustRightInd/>
              <w:spacing w:after="0"/>
              <w:jc w:val="right"/>
            </w:pPr>
            <w:r w:rsidRPr="00CD7572">
              <w:t>2,380.7</w:t>
            </w:r>
          </w:p>
        </w:tc>
        <w:tc>
          <w:tcPr>
            <w:tcW w:w="2565" w:type="dxa"/>
            <w:tcBorders>
              <w:top w:val="nil"/>
              <w:left w:val="nil"/>
              <w:bottom w:val="nil"/>
              <w:right w:val="nil"/>
            </w:tcBorders>
            <w:shd w:val="clear" w:color="auto" w:fill="E2EFD9" w:themeFill="accent6" w:themeFillTint="33"/>
          </w:tcPr>
          <w:p w:rsidR="00CD7572" w:rsidRPr="00CD7572" w:rsidRDefault="0062660D" w:rsidP="00CD7572">
            <w:pPr>
              <w:autoSpaceDE/>
              <w:autoSpaceDN/>
              <w:adjustRightInd/>
              <w:spacing w:after="0"/>
              <w:jc w:val="right"/>
            </w:pPr>
            <w:r w:rsidRPr="00CD7572">
              <w:t>(2,485.2)</w:t>
            </w:r>
          </w:p>
        </w:tc>
        <w:tc>
          <w:tcPr>
            <w:tcW w:w="2565" w:type="dxa"/>
            <w:tcBorders>
              <w:top w:val="nil"/>
              <w:left w:val="nil"/>
              <w:bottom w:val="nil"/>
              <w:right w:val="nil"/>
            </w:tcBorders>
            <w:shd w:val="clear" w:color="auto" w:fill="E2EFD9" w:themeFill="accent6" w:themeFillTint="33"/>
          </w:tcPr>
          <w:p w:rsidR="00CD7572" w:rsidRPr="00CD7572" w:rsidRDefault="0062660D" w:rsidP="00CD7572">
            <w:pPr>
              <w:autoSpaceDE/>
              <w:autoSpaceDN/>
              <w:adjustRightInd/>
              <w:spacing w:after="0"/>
              <w:jc w:val="right"/>
            </w:pPr>
            <w:r w:rsidRPr="00CD7572">
              <w:t>165.9</w:t>
            </w:r>
          </w:p>
        </w:tc>
        <w:tc>
          <w:tcPr>
            <w:tcW w:w="2565" w:type="dxa"/>
            <w:tcBorders>
              <w:top w:val="nil"/>
              <w:left w:val="nil"/>
              <w:bottom w:val="nil"/>
              <w:right w:val="single" w:sz="4" w:space="0" w:color="auto"/>
            </w:tcBorders>
            <w:shd w:val="clear" w:color="auto" w:fill="E2EFD9" w:themeFill="accent6" w:themeFillTint="33"/>
          </w:tcPr>
          <w:p w:rsidR="00CD7572" w:rsidRPr="00CD7572" w:rsidRDefault="0062660D" w:rsidP="00CD7572">
            <w:pPr>
              <w:autoSpaceDE/>
              <w:autoSpaceDN/>
              <w:adjustRightInd/>
              <w:spacing w:after="0"/>
              <w:jc w:val="right"/>
            </w:pPr>
            <w:r w:rsidRPr="00CD7572">
              <w:t>5,800.4</w:t>
            </w:r>
          </w:p>
        </w:tc>
      </w:tr>
      <w:tr w:rsidR="006A2C17" w:rsidTr="00E245D6">
        <w:trPr>
          <w:trHeight w:val="456"/>
        </w:trPr>
        <w:tc>
          <w:tcPr>
            <w:tcW w:w="3114" w:type="dxa"/>
            <w:gridSpan w:val="2"/>
            <w:tcBorders>
              <w:top w:val="nil"/>
              <w:left w:val="single" w:sz="4" w:space="0" w:color="auto"/>
              <w:bottom w:val="nil"/>
              <w:right w:val="nil"/>
            </w:tcBorders>
          </w:tcPr>
          <w:p w:rsidR="00CD7572" w:rsidRPr="00CD7572" w:rsidRDefault="0062660D" w:rsidP="00CD7572">
            <w:pPr>
              <w:autoSpaceDE/>
              <w:autoSpaceDN/>
              <w:adjustRightInd/>
              <w:spacing w:after="0"/>
              <w:jc w:val="left"/>
            </w:pPr>
            <w:r w:rsidRPr="00CD7572">
              <w:t>Derivative contracts:</w:t>
            </w:r>
          </w:p>
        </w:tc>
        <w:tc>
          <w:tcPr>
            <w:tcW w:w="1956" w:type="dxa"/>
            <w:tcBorders>
              <w:top w:val="nil"/>
              <w:left w:val="nil"/>
              <w:bottom w:val="nil"/>
              <w:right w:val="nil"/>
            </w:tcBorders>
          </w:tcPr>
          <w:p w:rsidR="00CD7572" w:rsidRPr="00CD7572" w:rsidRDefault="0062660D" w:rsidP="00CD7572">
            <w:pPr>
              <w:autoSpaceDE/>
              <w:autoSpaceDN/>
              <w:adjustRightInd/>
              <w:spacing w:after="0"/>
              <w:jc w:val="right"/>
            </w:pPr>
          </w:p>
        </w:tc>
        <w:tc>
          <w:tcPr>
            <w:tcW w:w="262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single" w:sz="4" w:space="0" w:color="auto"/>
            </w:tcBorders>
          </w:tcPr>
          <w:p w:rsidR="00CD7572" w:rsidRPr="00CD7572" w:rsidRDefault="0062660D" w:rsidP="00CD7572">
            <w:pPr>
              <w:autoSpaceDE/>
              <w:autoSpaceDN/>
              <w:adjustRightInd/>
              <w:spacing w:after="0"/>
              <w:jc w:val="right"/>
            </w:pPr>
          </w:p>
        </w:tc>
      </w:tr>
      <w:tr w:rsidR="006A2C17" w:rsidTr="00E245D6">
        <w:trPr>
          <w:trHeight w:val="744"/>
        </w:trPr>
        <w:tc>
          <w:tcPr>
            <w:tcW w:w="3114" w:type="dxa"/>
            <w:gridSpan w:val="2"/>
            <w:tcBorders>
              <w:top w:val="nil"/>
              <w:left w:val="single" w:sz="4" w:space="0" w:color="auto"/>
              <w:bottom w:val="nil"/>
              <w:right w:val="nil"/>
            </w:tcBorders>
          </w:tcPr>
          <w:p w:rsidR="00CD7572" w:rsidRPr="00CD7572" w:rsidRDefault="0062660D" w:rsidP="00CD7572">
            <w:pPr>
              <w:autoSpaceDE/>
              <w:autoSpaceDN/>
              <w:adjustRightInd/>
              <w:spacing w:after="0"/>
              <w:jc w:val="left"/>
            </w:pPr>
            <w:r w:rsidRPr="00CD7572">
              <w:t>Forward currency contracts asset value</w:t>
            </w:r>
          </w:p>
        </w:tc>
        <w:tc>
          <w:tcPr>
            <w:tcW w:w="1956" w:type="dxa"/>
            <w:tcBorders>
              <w:top w:val="nil"/>
              <w:left w:val="nil"/>
              <w:bottom w:val="nil"/>
              <w:right w:val="nil"/>
            </w:tcBorders>
          </w:tcPr>
          <w:p w:rsidR="00CD7572" w:rsidRPr="00CD7572" w:rsidRDefault="0062660D" w:rsidP="00CD7572">
            <w:pPr>
              <w:autoSpaceDE/>
              <w:autoSpaceDN/>
              <w:adjustRightInd/>
              <w:spacing w:after="0"/>
              <w:jc w:val="right"/>
            </w:pPr>
            <w:r w:rsidRPr="00CD7572">
              <w:t>632.4</w:t>
            </w:r>
          </w:p>
        </w:tc>
        <w:tc>
          <w:tcPr>
            <w:tcW w:w="262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single" w:sz="4" w:space="0" w:color="auto"/>
            </w:tcBorders>
          </w:tcPr>
          <w:p w:rsidR="00CD7572" w:rsidRPr="00CD7572" w:rsidRDefault="0062660D" w:rsidP="00CD7572">
            <w:pPr>
              <w:autoSpaceDE/>
              <w:autoSpaceDN/>
              <w:adjustRightInd/>
              <w:spacing w:after="0"/>
              <w:jc w:val="right"/>
            </w:pPr>
            <w:r w:rsidRPr="00CD7572">
              <w:t>294.5</w:t>
            </w:r>
          </w:p>
        </w:tc>
      </w:tr>
      <w:tr w:rsidR="006A2C17" w:rsidTr="00E245D6">
        <w:trPr>
          <w:trHeight w:val="484"/>
        </w:trPr>
        <w:tc>
          <w:tcPr>
            <w:tcW w:w="3114" w:type="dxa"/>
            <w:gridSpan w:val="2"/>
            <w:tcBorders>
              <w:top w:val="nil"/>
              <w:left w:val="single" w:sz="4" w:space="0" w:color="auto"/>
              <w:bottom w:val="nil"/>
              <w:right w:val="nil"/>
            </w:tcBorders>
          </w:tcPr>
          <w:p w:rsidR="00CD7572" w:rsidRPr="00CD7572" w:rsidRDefault="0062660D" w:rsidP="00CD7572">
            <w:pPr>
              <w:autoSpaceDE/>
              <w:autoSpaceDN/>
              <w:adjustRightInd/>
              <w:spacing w:after="0"/>
              <w:jc w:val="left"/>
            </w:pPr>
            <w:r w:rsidRPr="00CD7572">
              <w:t>Cash deposits</w:t>
            </w:r>
          </w:p>
        </w:tc>
        <w:tc>
          <w:tcPr>
            <w:tcW w:w="1956" w:type="dxa"/>
            <w:tcBorders>
              <w:top w:val="nil"/>
              <w:left w:val="nil"/>
              <w:bottom w:val="nil"/>
              <w:right w:val="nil"/>
            </w:tcBorders>
          </w:tcPr>
          <w:p w:rsidR="00CD7572" w:rsidRPr="00CD7572" w:rsidRDefault="0062660D" w:rsidP="00CD7572">
            <w:pPr>
              <w:autoSpaceDE/>
              <w:autoSpaceDN/>
              <w:adjustRightInd/>
              <w:spacing w:after="0"/>
              <w:jc w:val="right"/>
            </w:pPr>
            <w:r w:rsidRPr="00CD7572">
              <w:t>60.0</w:t>
            </w:r>
          </w:p>
        </w:tc>
        <w:tc>
          <w:tcPr>
            <w:tcW w:w="262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single" w:sz="4" w:space="0" w:color="auto"/>
            </w:tcBorders>
          </w:tcPr>
          <w:p w:rsidR="00CD7572" w:rsidRPr="00CD7572" w:rsidRDefault="0062660D" w:rsidP="00CD7572">
            <w:pPr>
              <w:autoSpaceDE/>
              <w:autoSpaceDN/>
              <w:adjustRightInd/>
              <w:spacing w:after="0"/>
              <w:jc w:val="right"/>
            </w:pPr>
            <w:r w:rsidRPr="00CD7572">
              <w:t>210.3</w:t>
            </w:r>
          </w:p>
        </w:tc>
      </w:tr>
      <w:tr w:rsidR="006A2C17" w:rsidTr="00E245D6">
        <w:trPr>
          <w:trHeight w:val="428"/>
        </w:trPr>
        <w:tc>
          <w:tcPr>
            <w:tcW w:w="3114" w:type="dxa"/>
            <w:gridSpan w:val="2"/>
            <w:tcBorders>
              <w:top w:val="nil"/>
              <w:left w:val="single" w:sz="4" w:space="0" w:color="auto"/>
              <w:bottom w:val="nil"/>
              <w:right w:val="nil"/>
            </w:tcBorders>
          </w:tcPr>
          <w:p w:rsidR="00CD7572" w:rsidRPr="00CD7572" w:rsidRDefault="0062660D" w:rsidP="00CD7572">
            <w:pPr>
              <w:autoSpaceDE/>
              <w:autoSpaceDN/>
              <w:adjustRightInd/>
              <w:spacing w:after="0"/>
              <w:jc w:val="left"/>
            </w:pPr>
            <w:r w:rsidRPr="00CD7572">
              <w:t>Investment accruals</w:t>
            </w:r>
          </w:p>
        </w:tc>
        <w:tc>
          <w:tcPr>
            <w:tcW w:w="1956" w:type="dxa"/>
            <w:tcBorders>
              <w:top w:val="nil"/>
              <w:left w:val="nil"/>
              <w:bottom w:val="nil"/>
              <w:right w:val="nil"/>
            </w:tcBorders>
          </w:tcPr>
          <w:p w:rsidR="00CD7572" w:rsidRPr="00CD7572" w:rsidRDefault="0062660D" w:rsidP="00CD7572">
            <w:pPr>
              <w:autoSpaceDE/>
              <w:autoSpaceDN/>
              <w:adjustRightInd/>
              <w:spacing w:after="0"/>
              <w:jc w:val="right"/>
            </w:pPr>
            <w:r w:rsidRPr="00CD7572">
              <w:t>11.7</w:t>
            </w:r>
          </w:p>
        </w:tc>
        <w:tc>
          <w:tcPr>
            <w:tcW w:w="262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single" w:sz="4" w:space="0" w:color="auto"/>
            </w:tcBorders>
          </w:tcPr>
          <w:p w:rsidR="00CD7572" w:rsidRPr="00CD7572" w:rsidRDefault="0062660D" w:rsidP="00CD7572">
            <w:pPr>
              <w:autoSpaceDE/>
              <w:autoSpaceDN/>
              <w:adjustRightInd/>
              <w:spacing w:after="0"/>
              <w:jc w:val="right"/>
            </w:pPr>
            <w:r w:rsidRPr="00CD7572">
              <w:t>13.1</w:t>
            </w:r>
          </w:p>
        </w:tc>
      </w:tr>
      <w:tr w:rsidR="006A2C17" w:rsidTr="00E245D6">
        <w:trPr>
          <w:trHeight w:val="438"/>
        </w:trPr>
        <w:tc>
          <w:tcPr>
            <w:tcW w:w="3114" w:type="dxa"/>
            <w:gridSpan w:val="2"/>
            <w:tcBorders>
              <w:top w:val="nil"/>
              <w:left w:val="single" w:sz="4" w:space="0" w:color="auto"/>
              <w:bottom w:val="nil"/>
              <w:right w:val="nil"/>
            </w:tcBorders>
            <w:shd w:val="clear" w:color="auto" w:fill="C5E0B3" w:themeFill="accent6" w:themeFillTint="66"/>
          </w:tcPr>
          <w:p w:rsidR="00CD7572" w:rsidRPr="00CD7572" w:rsidRDefault="0062660D" w:rsidP="00CD7572">
            <w:pPr>
              <w:autoSpaceDE/>
              <w:autoSpaceDN/>
              <w:adjustRightInd/>
              <w:spacing w:after="0"/>
              <w:jc w:val="left"/>
            </w:pPr>
            <w:r w:rsidRPr="00CD7572">
              <w:t>Investment assets</w:t>
            </w:r>
          </w:p>
        </w:tc>
        <w:tc>
          <w:tcPr>
            <w:tcW w:w="1956" w:type="dxa"/>
            <w:tcBorders>
              <w:top w:val="nil"/>
              <w:left w:val="nil"/>
              <w:bottom w:val="nil"/>
              <w:right w:val="nil"/>
            </w:tcBorders>
            <w:shd w:val="clear" w:color="auto" w:fill="C5E0B3" w:themeFill="accent6" w:themeFillTint="66"/>
          </w:tcPr>
          <w:p w:rsidR="00CD7572" w:rsidRPr="00CD7572" w:rsidRDefault="0062660D" w:rsidP="00CD7572">
            <w:pPr>
              <w:autoSpaceDE/>
              <w:autoSpaceDN/>
              <w:adjustRightInd/>
              <w:spacing w:after="0"/>
              <w:jc w:val="right"/>
            </w:pPr>
            <w:r w:rsidRPr="00CD7572">
              <w:t>6,443.1</w:t>
            </w:r>
          </w:p>
        </w:tc>
        <w:tc>
          <w:tcPr>
            <w:tcW w:w="2625" w:type="dxa"/>
            <w:tcBorders>
              <w:top w:val="nil"/>
              <w:left w:val="nil"/>
              <w:bottom w:val="nil"/>
              <w:right w:val="nil"/>
            </w:tcBorders>
            <w:shd w:val="clear" w:color="auto" w:fill="C5E0B3" w:themeFill="accent6" w:themeFillTint="66"/>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shd w:val="clear" w:color="auto" w:fill="C5E0B3" w:themeFill="accent6" w:themeFillTint="66"/>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shd w:val="clear" w:color="auto" w:fill="C5E0B3" w:themeFill="accent6" w:themeFillTint="66"/>
          </w:tcPr>
          <w:p w:rsidR="00CD7572" w:rsidRPr="00CD7572" w:rsidRDefault="0062660D" w:rsidP="00CD7572">
            <w:pPr>
              <w:autoSpaceDE/>
              <w:autoSpaceDN/>
              <w:adjustRightInd/>
              <w:spacing w:after="0"/>
              <w:jc w:val="right"/>
            </w:pPr>
          </w:p>
        </w:tc>
        <w:tc>
          <w:tcPr>
            <w:tcW w:w="2565" w:type="dxa"/>
            <w:tcBorders>
              <w:top w:val="nil"/>
              <w:left w:val="nil"/>
              <w:bottom w:val="nil"/>
              <w:right w:val="single" w:sz="4" w:space="0" w:color="auto"/>
            </w:tcBorders>
            <w:shd w:val="clear" w:color="auto" w:fill="C5E0B3" w:themeFill="accent6" w:themeFillTint="66"/>
          </w:tcPr>
          <w:p w:rsidR="00CD7572" w:rsidRPr="00CD7572" w:rsidRDefault="0062660D" w:rsidP="00CD7572">
            <w:pPr>
              <w:autoSpaceDE/>
              <w:autoSpaceDN/>
              <w:adjustRightInd/>
              <w:spacing w:after="0"/>
              <w:jc w:val="right"/>
            </w:pPr>
            <w:r w:rsidRPr="00CD7572">
              <w:t>6,318.3</w:t>
            </w:r>
          </w:p>
        </w:tc>
      </w:tr>
      <w:tr w:rsidR="006A2C17" w:rsidTr="00E245D6">
        <w:trPr>
          <w:trHeight w:val="856"/>
        </w:trPr>
        <w:tc>
          <w:tcPr>
            <w:tcW w:w="3114" w:type="dxa"/>
            <w:gridSpan w:val="2"/>
            <w:tcBorders>
              <w:top w:val="nil"/>
              <w:left w:val="single" w:sz="4" w:space="0" w:color="auto"/>
              <w:bottom w:val="nil"/>
              <w:right w:val="nil"/>
            </w:tcBorders>
          </w:tcPr>
          <w:p w:rsidR="00CD7572" w:rsidRPr="00CD7572" w:rsidRDefault="0062660D" w:rsidP="00CD7572">
            <w:pPr>
              <w:autoSpaceDE/>
              <w:autoSpaceDN/>
              <w:adjustRightInd/>
              <w:spacing w:after="0"/>
              <w:jc w:val="left"/>
            </w:pPr>
            <w:r w:rsidRPr="00CD7572">
              <w:t>Forward currency contracts liability value</w:t>
            </w:r>
          </w:p>
        </w:tc>
        <w:tc>
          <w:tcPr>
            <w:tcW w:w="1956" w:type="dxa"/>
            <w:tcBorders>
              <w:top w:val="nil"/>
              <w:left w:val="nil"/>
              <w:bottom w:val="nil"/>
              <w:right w:val="nil"/>
            </w:tcBorders>
          </w:tcPr>
          <w:p w:rsidR="00CD7572" w:rsidRPr="00CD7572" w:rsidRDefault="0062660D" w:rsidP="00CD7572">
            <w:pPr>
              <w:autoSpaceDE/>
              <w:autoSpaceDN/>
              <w:adjustRightInd/>
              <w:spacing w:after="0"/>
              <w:jc w:val="right"/>
            </w:pPr>
            <w:r w:rsidRPr="00CD7572">
              <w:t>(629.6)</w:t>
            </w:r>
          </w:p>
        </w:tc>
        <w:tc>
          <w:tcPr>
            <w:tcW w:w="262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single" w:sz="4" w:space="0" w:color="auto"/>
            </w:tcBorders>
          </w:tcPr>
          <w:p w:rsidR="00CD7572" w:rsidRPr="00CD7572" w:rsidRDefault="0062660D" w:rsidP="00CD7572">
            <w:pPr>
              <w:autoSpaceDE/>
              <w:autoSpaceDN/>
              <w:adjustRightInd/>
              <w:spacing w:after="0"/>
              <w:jc w:val="right"/>
            </w:pPr>
            <w:r w:rsidRPr="00CD7572">
              <w:t>(291.0)</w:t>
            </w:r>
          </w:p>
        </w:tc>
      </w:tr>
      <w:tr w:rsidR="006A2C17" w:rsidTr="00E245D6">
        <w:trPr>
          <w:trHeight w:val="556"/>
        </w:trPr>
        <w:tc>
          <w:tcPr>
            <w:tcW w:w="3114" w:type="dxa"/>
            <w:gridSpan w:val="2"/>
            <w:tcBorders>
              <w:top w:val="nil"/>
              <w:left w:val="single" w:sz="4" w:space="0" w:color="auto"/>
              <w:bottom w:val="single" w:sz="4" w:space="0" w:color="auto"/>
              <w:right w:val="nil"/>
            </w:tcBorders>
            <w:shd w:val="clear" w:color="auto" w:fill="A8D08D" w:themeFill="accent6" w:themeFillTint="99"/>
          </w:tcPr>
          <w:p w:rsidR="00CD7572" w:rsidRPr="00CD7572" w:rsidRDefault="0062660D" w:rsidP="00CD7572">
            <w:pPr>
              <w:autoSpaceDE/>
              <w:autoSpaceDN/>
              <w:adjustRightInd/>
              <w:spacing w:after="0"/>
              <w:jc w:val="left"/>
              <w:rPr>
                <w:b/>
              </w:rPr>
            </w:pPr>
            <w:r w:rsidRPr="00CD7572">
              <w:rPr>
                <w:b/>
              </w:rPr>
              <w:t>Portfolio value</w:t>
            </w:r>
          </w:p>
        </w:tc>
        <w:tc>
          <w:tcPr>
            <w:tcW w:w="1956" w:type="dxa"/>
            <w:tcBorders>
              <w:top w:val="nil"/>
              <w:left w:val="nil"/>
              <w:bottom w:val="single" w:sz="4" w:space="0" w:color="auto"/>
              <w:right w:val="nil"/>
            </w:tcBorders>
            <w:shd w:val="clear" w:color="auto" w:fill="A8D08D" w:themeFill="accent6" w:themeFillTint="99"/>
          </w:tcPr>
          <w:p w:rsidR="00CD7572" w:rsidRPr="00CD7572" w:rsidRDefault="0062660D" w:rsidP="00CD7572">
            <w:pPr>
              <w:autoSpaceDE/>
              <w:autoSpaceDN/>
              <w:adjustRightInd/>
              <w:spacing w:after="0"/>
              <w:jc w:val="right"/>
              <w:rPr>
                <w:b/>
              </w:rPr>
            </w:pPr>
            <w:r w:rsidRPr="00CD7572">
              <w:rPr>
                <w:b/>
              </w:rPr>
              <w:t>5,813.5</w:t>
            </w:r>
          </w:p>
        </w:tc>
        <w:tc>
          <w:tcPr>
            <w:tcW w:w="2625" w:type="dxa"/>
            <w:tcBorders>
              <w:top w:val="nil"/>
              <w:left w:val="nil"/>
              <w:bottom w:val="single" w:sz="4" w:space="0" w:color="auto"/>
              <w:right w:val="nil"/>
            </w:tcBorders>
            <w:shd w:val="clear" w:color="auto" w:fill="A8D08D" w:themeFill="accent6" w:themeFillTint="99"/>
          </w:tcPr>
          <w:p w:rsidR="00CD7572" w:rsidRPr="00CD7572" w:rsidRDefault="0062660D" w:rsidP="00CD7572">
            <w:pPr>
              <w:autoSpaceDE/>
              <w:autoSpaceDN/>
              <w:adjustRightInd/>
              <w:spacing w:after="0"/>
              <w:jc w:val="right"/>
              <w:rPr>
                <w:b/>
              </w:rPr>
            </w:pPr>
          </w:p>
        </w:tc>
        <w:tc>
          <w:tcPr>
            <w:tcW w:w="2565" w:type="dxa"/>
            <w:tcBorders>
              <w:top w:val="nil"/>
              <w:left w:val="nil"/>
              <w:bottom w:val="single" w:sz="4" w:space="0" w:color="auto"/>
              <w:right w:val="nil"/>
            </w:tcBorders>
            <w:shd w:val="clear" w:color="auto" w:fill="A8D08D" w:themeFill="accent6" w:themeFillTint="99"/>
          </w:tcPr>
          <w:p w:rsidR="00CD7572" w:rsidRPr="00CD7572" w:rsidRDefault="0062660D" w:rsidP="00CD7572">
            <w:pPr>
              <w:autoSpaceDE/>
              <w:autoSpaceDN/>
              <w:adjustRightInd/>
              <w:spacing w:after="0"/>
              <w:jc w:val="right"/>
              <w:rPr>
                <w:b/>
              </w:rPr>
            </w:pPr>
          </w:p>
        </w:tc>
        <w:tc>
          <w:tcPr>
            <w:tcW w:w="2565" w:type="dxa"/>
            <w:tcBorders>
              <w:top w:val="nil"/>
              <w:left w:val="nil"/>
              <w:bottom w:val="single" w:sz="4" w:space="0" w:color="auto"/>
              <w:right w:val="nil"/>
            </w:tcBorders>
            <w:shd w:val="clear" w:color="auto" w:fill="A8D08D" w:themeFill="accent6" w:themeFillTint="99"/>
          </w:tcPr>
          <w:p w:rsidR="00CD7572" w:rsidRPr="00CD7572" w:rsidRDefault="0062660D" w:rsidP="00CD7572">
            <w:pPr>
              <w:autoSpaceDE/>
              <w:autoSpaceDN/>
              <w:adjustRightInd/>
              <w:spacing w:after="0"/>
              <w:jc w:val="right"/>
              <w:rPr>
                <w:b/>
              </w:rPr>
            </w:pPr>
          </w:p>
        </w:tc>
        <w:tc>
          <w:tcPr>
            <w:tcW w:w="2565" w:type="dxa"/>
            <w:tcBorders>
              <w:top w:val="nil"/>
              <w:left w:val="nil"/>
              <w:bottom w:val="single" w:sz="4" w:space="0" w:color="auto"/>
              <w:right w:val="single" w:sz="4" w:space="0" w:color="auto"/>
            </w:tcBorders>
            <w:shd w:val="clear" w:color="auto" w:fill="A8D08D" w:themeFill="accent6" w:themeFillTint="99"/>
          </w:tcPr>
          <w:p w:rsidR="00CD7572" w:rsidRPr="00CD7572" w:rsidRDefault="0062660D" w:rsidP="00CD7572">
            <w:pPr>
              <w:autoSpaceDE/>
              <w:autoSpaceDN/>
              <w:adjustRightInd/>
              <w:spacing w:after="0"/>
              <w:jc w:val="right"/>
              <w:rPr>
                <w:b/>
              </w:rPr>
            </w:pPr>
            <w:r w:rsidRPr="00CD7572">
              <w:rPr>
                <w:b/>
              </w:rPr>
              <w:t>6,027.3</w:t>
            </w:r>
          </w:p>
        </w:tc>
      </w:tr>
    </w:tbl>
    <w:p w:rsidR="00CD7572" w:rsidRPr="00CD7572" w:rsidRDefault="0062660D" w:rsidP="00CD7572">
      <w:pPr>
        <w:autoSpaceDE/>
        <w:autoSpaceDN/>
        <w:adjustRightInd/>
        <w:spacing w:after="0"/>
        <w:jc w:val="left"/>
      </w:pPr>
    </w:p>
    <w:p w:rsidR="00CD7572" w:rsidRPr="00CD7572" w:rsidRDefault="0062660D" w:rsidP="00CD7572">
      <w:pPr>
        <w:autoSpaceDE/>
        <w:autoSpaceDN/>
        <w:adjustRightInd/>
        <w:spacing w:after="0"/>
        <w:jc w:val="left"/>
      </w:pPr>
    </w:p>
    <w:tbl>
      <w:tblPr>
        <w:tblStyle w:val="TableGrid6"/>
        <w:tblW w:w="0" w:type="auto"/>
        <w:tblLook w:val="04A0" w:firstRow="1" w:lastRow="0" w:firstColumn="1" w:lastColumn="0" w:noHBand="0" w:noVBand="1"/>
      </w:tblPr>
      <w:tblGrid>
        <w:gridCol w:w="2802"/>
        <w:gridCol w:w="312"/>
        <w:gridCol w:w="2016"/>
        <w:gridCol w:w="2565"/>
        <w:gridCol w:w="2565"/>
        <w:gridCol w:w="2565"/>
        <w:gridCol w:w="2565"/>
      </w:tblGrid>
      <w:tr w:rsidR="006A2C17" w:rsidTr="00E245D6">
        <w:tc>
          <w:tcPr>
            <w:tcW w:w="2802" w:type="dxa"/>
            <w:tcBorders>
              <w:top w:val="single" w:sz="4" w:space="0" w:color="auto"/>
              <w:left w:val="single" w:sz="4" w:space="0" w:color="auto"/>
              <w:bottom w:val="nil"/>
              <w:right w:val="nil"/>
            </w:tcBorders>
            <w:shd w:val="clear" w:color="auto" w:fill="A8D08D" w:themeFill="accent6" w:themeFillTint="99"/>
          </w:tcPr>
          <w:p w:rsidR="00CD7572" w:rsidRPr="00CD7572" w:rsidRDefault="0062660D" w:rsidP="00CD7572">
            <w:pPr>
              <w:rPr>
                <w:b/>
              </w:rPr>
            </w:pPr>
          </w:p>
        </w:tc>
        <w:tc>
          <w:tcPr>
            <w:tcW w:w="2328" w:type="dxa"/>
            <w:gridSpan w:val="2"/>
            <w:tcBorders>
              <w:top w:val="single" w:sz="4" w:space="0" w:color="auto"/>
              <w:left w:val="nil"/>
              <w:bottom w:val="nil"/>
              <w:right w:val="nil"/>
            </w:tcBorders>
            <w:shd w:val="clear" w:color="auto" w:fill="A8D08D" w:themeFill="accent6" w:themeFillTint="99"/>
          </w:tcPr>
          <w:p w:rsidR="00CD7572" w:rsidRPr="00CD7572" w:rsidRDefault="0062660D" w:rsidP="00CD7572">
            <w:pPr>
              <w:jc w:val="right"/>
              <w:rPr>
                <w:b/>
              </w:rPr>
            </w:pPr>
            <w:r w:rsidRPr="00CD7572">
              <w:rPr>
                <w:b/>
              </w:rPr>
              <w:t>Market value as at</w:t>
            </w:r>
          </w:p>
          <w:p w:rsidR="00CD7572" w:rsidRPr="00CD7572" w:rsidRDefault="0062660D" w:rsidP="00CD7572">
            <w:pPr>
              <w:jc w:val="right"/>
              <w:rPr>
                <w:b/>
              </w:rPr>
            </w:pPr>
            <w:r w:rsidRPr="00CD7572">
              <w:rPr>
                <w:b/>
              </w:rPr>
              <w:t>1 April 2014</w:t>
            </w:r>
          </w:p>
        </w:tc>
        <w:tc>
          <w:tcPr>
            <w:tcW w:w="2565" w:type="dxa"/>
            <w:tcBorders>
              <w:top w:val="single" w:sz="4" w:space="0" w:color="auto"/>
              <w:left w:val="nil"/>
              <w:bottom w:val="nil"/>
              <w:right w:val="nil"/>
            </w:tcBorders>
            <w:shd w:val="clear" w:color="auto" w:fill="A8D08D" w:themeFill="accent6" w:themeFillTint="99"/>
          </w:tcPr>
          <w:p w:rsidR="00CD7572" w:rsidRPr="00CD7572" w:rsidRDefault="0062660D" w:rsidP="00CD7572">
            <w:pPr>
              <w:jc w:val="right"/>
              <w:rPr>
                <w:b/>
              </w:rPr>
            </w:pPr>
            <w:r w:rsidRPr="00CD7572">
              <w:rPr>
                <w:b/>
              </w:rPr>
              <w:t>Purchases at cost and derivative payments</w:t>
            </w:r>
          </w:p>
        </w:tc>
        <w:tc>
          <w:tcPr>
            <w:tcW w:w="2565" w:type="dxa"/>
            <w:tcBorders>
              <w:top w:val="single" w:sz="4" w:space="0" w:color="auto"/>
              <w:left w:val="nil"/>
              <w:bottom w:val="nil"/>
              <w:right w:val="nil"/>
            </w:tcBorders>
            <w:shd w:val="clear" w:color="auto" w:fill="A8D08D" w:themeFill="accent6" w:themeFillTint="99"/>
          </w:tcPr>
          <w:p w:rsidR="00CD7572" w:rsidRPr="00CD7572" w:rsidRDefault="0062660D" w:rsidP="00CD7572">
            <w:pPr>
              <w:jc w:val="right"/>
              <w:rPr>
                <w:b/>
              </w:rPr>
            </w:pPr>
            <w:r w:rsidRPr="00CD7572">
              <w:rPr>
                <w:b/>
              </w:rPr>
              <w:t>Sales proceeds and derivative receipts</w:t>
            </w:r>
          </w:p>
        </w:tc>
        <w:tc>
          <w:tcPr>
            <w:tcW w:w="2565" w:type="dxa"/>
            <w:tcBorders>
              <w:top w:val="single" w:sz="4" w:space="0" w:color="auto"/>
              <w:left w:val="nil"/>
              <w:bottom w:val="nil"/>
              <w:right w:val="nil"/>
            </w:tcBorders>
            <w:shd w:val="clear" w:color="auto" w:fill="A8D08D" w:themeFill="accent6" w:themeFillTint="99"/>
          </w:tcPr>
          <w:p w:rsidR="00CD7572" w:rsidRPr="00CD7572" w:rsidRDefault="0062660D" w:rsidP="00CD7572">
            <w:pPr>
              <w:jc w:val="right"/>
              <w:rPr>
                <w:b/>
              </w:rPr>
            </w:pPr>
            <w:r w:rsidRPr="00CD7572">
              <w:rPr>
                <w:b/>
              </w:rPr>
              <w:t>Change in market value</w:t>
            </w:r>
          </w:p>
        </w:tc>
        <w:tc>
          <w:tcPr>
            <w:tcW w:w="2565" w:type="dxa"/>
            <w:tcBorders>
              <w:top w:val="single" w:sz="4" w:space="0" w:color="auto"/>
              <w:left w:val="nil"/>
              <w:bottom w:val="nil"/>
              <w:right w:val="single" w:sz="4" w:space="0" w:color="auto"/>
            </w:tcBorders>
            <w:shd w:val="clear" w:color="auto" w:fill="A8D08D" w:themeFill="accent6" w:themeFillTint="99"/>
          </w:tcPr>
          <w:p w:rsidR="00CD7572" w:rsidRPr="00CD7572" w:rsidRDefault="0062660D" w:rsidP="00CD7572">
            <w:pPr>
              <w:jc w:val="right"/>
              <w:rPr>
                <w:b/>
              </w:rPr>
            </w:pPr>
            <w:r w:rsidRPr="00CD7572">
              <w:rPr>
                <w:b/>
              </w:rPr>
              <w:t>Market value as at</w:t>
            </w:r>
          </w:p>
          <w:p w:rsidR="00CD7572" w:rsidRPr="00CD7572" w:rsidRDefault="0062660D" w:rsidP="00CD7572">
            <w:pPr>
              <w:jc w:val="right"/>
              <w:rPr>
                <w:b/>
              </w:rPr>
            </w:pPr>
            <w:r w:rsidRPr="00CD7572">
              <w:rPr>
                <w:b/>
              </w:rPr>
              <w:t xml:space="preserve"> 31 March 2015</w:t>
            </w:r>
          </w:p>
        </w:tc>
      </w:tr>
      <w:tr w:rsidR="006A2C17" w:rsidTr="00E245D6">
        <w:trPr>
          <w:trHeight w:val="532"/>
        </w:trPr>
        <w:tc>
          <w:tcPr>
            <w:tcW w:w="2802" w:type="dxa"/>
            <w:tcBorders>
              <w:top w:val="nil"/>
              <w:left w:val="single" w:sz="4" w:space="0" w:color="auto"/>
              <w:bottom w:val="single" w:sz="4" w:space="0" w:color="auto"/>
              <w:right w:val="nil"/>
            </w:tcBorders>
            <w:shd w:val="clear" w:color="auto" w:fill="A8D08D" w:themeFill="accent6" w:themeFillTint="99"/>
          </w:tcPr>
          <w:p w:rsidR="00CD7572" w:rsidRPr="00CD7572" w:rsidRDefault="0062660D" w:rsidP="00CD7572">
            <w:pPr>
              <w:autoSpaceDE/>
              <w:autoSpaceDN/>
              <w:adjustRightInd/>
              <w:spacing w:after="0"/>
              <w:jc w:val="left"/>
            </w:pPr>
          </w:p>
        </w:tc>
        <w:tc>
          <w:tcPr>
            <w:tcW w:w="2328" w:type="dxa"/>
            <w:gridSpan w:val="2"/>
            <w:tcBorders>
              <w:top w:val="nil"/>
              <w:left w:val="nil"/>
              <w:bottom w:val="single" w:sz="4" w:space="0" w:color="auto"/>
              <w:right w:val="nil"/>
            </w:tcBorders>
            <w:shd w:val="clear" w:color="auto" w:fill="A8D08D" w:themeFill="accent6" w:themeFillTint="99"/>
          </w:tcPr>
          <w:p w:rsidR="00CD7572" w:rsidRPr="00CD7572" w:rsidRDefault="0062660D" w:rsidP="00CD7572">
            <w:pPr>
              <w:autoSpaceDE/>
              <w:autoSpaceDN/>
              <w:adjustRightInd/>
              <w:spacing w:after="0"/>
              <w:jc w:val="right"/>
              <w:rPr>
                <w:b/>
              </w:rPr>
            </w:pPr>
            <w:r w:rsidRPr="00CD7572">
              <w:rPr>
                <w:b/>
              </w:rPr>
              <w:t>£m</w:t>
            </w:r>
          </w:p>
        </w:tc>
        <w:tc>
          <w:tcPr>
            <w:tcW w:w="2565" w:type="dxa"/>
            <w:tcBorders>
              <w:top w:val="nil"/>
              <w:left w:val="nil"/>
              <w:bottom w:val="single" w:sz="4" w:space="0" w:color="auto"/>
              <w:right w:val="nil"/>
            </w:tcBorders>
            <w:shd w:val="clear" w:color="auto" w:fill="A8D08D" w:themeFill="accent6" w:themeFillTint="99"/>
          </w:tcPr>
          <w:p w:rsidR="00CD7572" w:rsidRPr="00CD7572" w:rsidRDefault="0062660D" w:rsidP="00CD7572">
            <w:pPr>
              <w:jc w:val="right"/>
              <w:rPr>
                <w:b/>
              </w:rPr>
            </w:pPr>
            <w:r w:rsidRPr="00CD7572">
              <w:rPr>
                <w:b/>
              </w:rPr>
              <w:t>£m</w:t>
            </w:r>
          </w:p>
        </w:tc>
        <w:tc>
          <w:tcPr>
            <w:tcW w:w="2565" w:type="dxa"/>
            <w:tcBorders>
              <w:top w:val="nil"/>
              <w:left w:val="nil"/>
              <w:bottom w:val="single" w:sz="4" w:space="0" w:color="auto"/>
              <w:right w:val="nil"/>
            </w:tcBorders>
            <w:shd w:val="clear" w:color="auto" w:fill="A8D08D" w:themeFill="accent6" w:themeFillTint="99"/>
          </w:tcPr>
          <w:p w:rsidR="00CD7572" w:rsidRPr="00CD7572" w:rsidRDefault="0062660D" w:rsidP="00CD7572">
            <w:pPr>
              <w:jc w:val="right"/>
              <w:rPr>
                <w:b/>
              </w:rPr>
            </w:pPr>
            <w:r w:rsidRPr="00CD7572">
              <w:rPr>
                <w:b/>
              </w:rPr>
              <w:t>£m</w:t>
            </w:r>
          </w:p>
        </w:tc>
        <w:tc>
          <w:tcPr>
            <w:tcW w:w="2565" w:type="dxa"/>
            <w:tcBorders>
              <w:top w:val="nil"/>
              <w:left w:val="nil"/>
              <w:bottom w:val="single" w:sz="4" w:space="0" w:color="auto"/>
              <w:right w:val="nil"/>
            </w:tcBorders>
            <w:shd w:val="clear" w:color="auto" w:fill="A8D08D" w:themeFill="accent6" w:themeFillTint="99"/>
          </w:tcPr>
          <w:p w:rsidR="00CD7572" w:rsidRPr="00CD7572" w:rsidRDefault="0062660D" w:rsidP="00CD7572">
            <w:pPr>
              <w:jc w:val="right"/>
              <w:rPr>
                <w:b/>
              </w:rPr>
            </w:pPr>
            <w:r w:rsidRPr="00CD7572">
              <w:rPr>
                <w:b/>
              </w:rPr>
              <w:t>£m</w:t>
            </w:r>
          </w:p>
        </w:tc>
        <w:tc>
          <w:tcPr>
            <w:tcW w:w="2565" w:type="dxa"/>
            <w:tcBorders>
              <w:top w:val="nil"/>
              <w:left w:val="nil"/>
              <w:bottom w:val="single" w:sz="4" w:space="0" w:color="auto"/>
              <w:right w:val="single" w:sz="4" w:space="0" w:color="auto"/>
            </w:tcBorders>
            <w:shd w:val="clear" w:color="auto" w:fill="A8D08D" w:themeFill="accent6" w:themeFillTint="99"/>
          </w:tcPr>
          <w:p w:rsidR="00CD7572" w:rsidRPr="00CD7572" w:rsidRDefault="0062660D" w:rsidP="00CD7572">
            <w:pPr>
              <w:jc w:val="right"/>
              <w:rPr>
                <w:b/>
              </w:rPr>
            </w:pPr>
            <w:r w:rsidRPr="00CD7572">
              <w:rPr>
                <w:b/>
              </w:rPr>
              <w:t>£m</w:t>
            </w:r>
          </w:p>
        </w:tc>
      </w:tr>
      <w:tr w:rsidR="006A2C17" w:rsidTr="00E245D6">
        <w:trPr>
          <w:trHeight w:val="225"/>
        </w:trPr>
        <w:tc>
          <w:tcPr>
            <w:tcW w:w="3114" w:type="dxa"/>
            <w:gridSpan w:val="2"/>
            <w:tcBorders>
              <w:top w:val="single" w:sz="4" w:space="0" w:color="auto"/>
              <w:left w:val="single" w:sz="4" w:space="0" w:color="auto"/>
              <w:bottom w:val="nil"/>
              <w:right w:val="nil"/>
            </w:tcBorders>
          </w:tcPr>
          <w:p w:rsidR="00CD7572" w:rsidRPr="00CD7572" w:rsidRDefault="0062660D" w:rsidP="00CD7572">
            <w:pPr>
              <w:autoSpaceDE/>
              <w:autoSpaceDN/>
              <w:adjustRightInd/>
              <w:spacing w:after="0"/>
              <w:jc w:val="left"/>
            </w:pPr>
          </w:p>
        </w:tc>
        <w:tc>
          <w:tcPr>
            <w:tcW w:w="2016" w:type="dxa"/>
            <w:tcBorders>
              <w:top w:val="single" w:sz="4" w:space="0" w:color="auto"/>
              <w:left w:val="nil"/>
              <w:bottom w:val="nil"/>
              <w:right w:val="nil"/>
            </w:tcBorders>
          </w:tcPr>
          <w:p w:rsidR="00CD7572" w:rsidRPr="00CD7572" w:rsidRDefault="0062660D" w:rsidP="00CD7572">
            <w:pPr>
              <w:autoSpaceDE/>
              <w:autoSpaceDN/>
              <w:adjustRightInd/>
              <w:spacing w:after="0"/>
              <w:jc w:val="right"/>
            </w:pPr>
          </w:p>
        </w:tc>
        <w:tc>
          <w:tcPr>
            <w:tcW w:w="2565" w:type="dxa"/>
            <w:tcBorders>
              <w:top w:val="single" w:sz="4" w:space="0" w:color="auto"/>
              <w:left w:val="nil"/>
              <w:bottom w:val="nil"/>
              <w:right w:val="nil"/>
            </w:tcBorders>
          </w:tcPr>
          <w:p w:rsidR="00CD7572" w:rsidRPr="00CD7572" w:rsidRDefault="0062660D" w:rsidP="00CD7572">
            <w:pPr>
              <w:autoSpaceDE/>
              <w:autoSpaceDN/>
              <w:adjustRightInd/>
              <w:spacing w:after="0"/>
              <w:jc w:val="right"/>
            </w:pPr>
          </w:p>
        </w:tc>
        <w:tc>
          <w:tcPr>
            <w:tcW w:w="2565" w:type="dxa"/>
            <w:tcBorders>
              <w:top w:val="single" w:sz="4" w:space="0" w:color="auto"/>
              <w:left w:val="nil"/>
              <w:bottom w:val="nil"/>
              <w:right w:val="nil"/>
            </w:tcBorders>
          </w:tcPr>
          <w:p w:rsidR="00CD7572" w:rsidRPr="00CD7572" w:rsidRDefault="0062660D" w:rsidP="00CD7572">
            <w:pPr>
              <w:autoSpaceDE/>
              <w:autoSpaceDN/>
              <w:adjustRightInd/>
              <w:spacing w:after="0"/>
              <w:jc w:val="right"/>
            </w:pPr>
          </w:p>
        </w:tc>
        <w:tc>
          <w:tcPr>
            <w:tcW w:w="2565" w:type="dxa"/>
            <w:tcBorders>
              <w:top w:val="single" w:sz="4" w:space="0" w:color="auto"/>
              <w:left w:val="nil"/>
              <w:bottom w:val="nil"/>
              <w:right w:val="nil"/>
            </w:tcBorders>
          </w:tcPr>
          <w:p w:rsidR="00CD7572" w:rsidRPr="00CD7572" w:rsidRDefault="0062660D" w:rsidP="00CD7572">
            <w:pPr>
              <w:autoSpaceDE/>
              <w:autoSpaceDN/>
              <w:adjustRightInd/>
              <w:spacing w:after="0"/>
              <w:jc w:val="right"/>
            </w:pPr>
          </w:p>
        </w:tc>
        <w:tc>
          <w:tcPr>
            <w:tcW w:w="2565" w:type="dxa"/>
            <w:tcBorders>
              <w:top w:val="single" w:sz="4" w:space="0" w:color="auto"/>
              <w:left w:val="nil"/>
              <w:bottom w:val="nil"/>
              <w:right w:val="single" w:sz="4" w:space="0" w:color="auto"/>
            </w:tcBorders>
          </w:tcPr>
          <w:p w:rsidR="00CD7572" w:rsidRPr="00CD7572" w:rsidRDefault="0062660D" w:rsidP="00CD7572">
            <w:pPr>
              <w:autoSpaceDE/>
              <w:autoSpaceDN/>
              <w:adjustRightInd/>
              <w:spacing w:after="0"/>
              <w:jc w:val="right"/>
            </w:pPr>
          </w:p>
        </w:tc>
      </w:tr>
      <w:tr w:rsidR="006A2C17" w:rsidTr="00E245D6">
        <w:trPr>
          <w:trHeight w:val="426"/>
        </w:trPr>
        <w:tc>
          <w:tcPr>
            <w:tcW w:w="3114" w:type="dxa"/>
            <w:gridSpan w:val="2"/>
            <w:tcBorders>
              <w:top w:val="nil"/>
              <w:left w:val="single" w:sz="4" w:space="0" w:color="auto"/>
              <w:bottom w:val="nil"/>
              <w:right w:val="nil"/>
            </w:tcBorders>
          </w:tcPr>
          <w:p w:rsidR="00CD7572" w:rsidRPr="00CD7572" w:rsidRDefault="0062660D" w:rsidP="00CD7572">
            <w:pPr>
              <w:autoSpaceDE/>
              <w:autoSpaceDN/>
              <w:adjustRightInd/>
              <w:spacing w:after="0"/>
              <w:jc w:val="left"/>
            </w:pPr>
            <w:r w:rsidRPr="00CD7572">
              <w:t>Fixed interest securities</w:t>
            </w:r>
          </w:p>
        </w:tc>
        <w:tc>
          <w:tcPr>
            <w:tcW w:w="2016" w:type="dxa"/>
            <w:tcBorders>
              <w:top w:val="nil"/>
              <w:left w:val="nil"/>
              <w:bottom w:val="nil"/>
              <w:right w:val="nil"/>
            </w:tcBorders>
          </w:tcPr>
          <w:p w:rsidR="00CD7572" w:rsidRPr="00CD7572" w:rsidRDefault="0062660D" w:rsidP="00CD7572">
            <w:pPr>
              <w:autoSpaceDE/>
              <w:autoSpaceDN/>
              <w:adjustRightInd/>
              <w:spacing w:after="0"/>
              <w:jc w:val="right"/>
            </w:pPr>
            <w:r w:rsidRPr="00CD7572">
              <w:t>233.0</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328.1</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(411.6)</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(0.7)</w:t>
            </w:r>
          </w:p>
        </w:tc>
        <w:tc>
          <w:tcPr>
            <w:tcW w:w="2565" w:type="dxa"/>
            <w:tcBorders>
              <w:top w:val="nil"/>
              <w:left w:val="nil"/>
              <w:bottom w:val="nil"/>
              <w:right w:val="single" w:sz="4" w:space="0" w:color="auto"/>
            </w:tcBorders>
          </w:tcPr>
          <w:p w:rsidR="00CD7572" w:rsidRPr="00CD7572" w:rsidRDefault="0062660D" w:rsidP="00CD7572">
            <w:pPr>
              <w:autoSpaceDE/>
              <w:autoSpaceDN/>
              <w:adjustRightInd/>
              <w:spacing w:after="0"/>
              <w:jc w:val="right"/>
            </w:pPr>
            <w:r w:rsidRPr="00CD7572">
              <w:t>148.8</w:t>
            </w:r>
          </w:p>
        </w:tc>
      </w:tr>
      <w:tr w:rsidR="006A2C17" w:rsidTr="00E245D6">
        <w:trPr>
          <w:trHeight w:val="420"/>
        </w:trPr>
        <w:tc>
          <w:tcPr>
            <w:tcW w:w="3114" w:type="dxa"/>
            <w:gridSpan w:val="2"/>
            <w:tcBorders>
              <w:top w:val="nil"/>
              <w:left w:val="single" w:sz="4" w:space="0" w:color="auto"/>
              <w:bottom w:val="nil"/>
              <w:right w:val="nil"/>
            </w:tcBorders>
          </w:tcPr>
          <w:p w:rsidR="00CD7572" w:rsidRPr="00CD7572" w:rsidRDefault="0062660D" w:rsidP="00CD7572">
            <w:pPr>
              <w:autoSpaceDE/>
              <w:autoSpaceDN/>
              <w:adjustRightInd/>
              <w:spacing w:after="0"/>
              <w:jc w:val="left"/>
            </w:pPr>
            <w:r w:rsidRPr="00CD7572">
              <w:t>Equities</w:t>
            </w:r>
          </w:p>
        </w:tc>
        <w:tc>
          <w:tcPr>
            <w:tcW w:w="2016" w:type="dxa"/>
            <w:tcBorders>
              <w:top w:val="nil"/>
              <w:left w:val="nil"/>
              <w:bottom w:val="nil"/>
              <w:right w:val="nil"/>
            </w:tcBorders>
          </w:tcPr>
          <w:p w:rsidR="00CD7572" w:rsidRPr="00CD7572" w:rsidRDefault="0062660D" w:rsidP="00CD7572">
            <w:pPr>
              <w:autoSpaceDE/>
              <w:autoSpaceDN/>
              <w:adjustRightInd/>
              <w:spacing w:after="0"/>
              <w:jc w:val="right"/>
            </w:pPr>
            <w:r w:rsidRPr="00CD7572">
              <w:t>1,921.1</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356.8</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(611.0)</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333.8</w:t>
            </w:r>
          </w:p>
        </w:tc>
        <w:tc>
          <w:tcPr>
            <w:tcW w:w="2565" w:type="dxa"/>
            <w:tcBorders>
              <w:top w:val="nil"/>
              <w:left w:val="nil"/>
              <w:bottom w:val="nil"/>
              <w:right w:val="single" w:sz="4" w:space="0" w:color="auto"/>
            </w:tcBorders>
          </w:tcPr>
          <w:p w:rsidR="00CD7572" w:rsidRPr="00CD7572" w:rsidRDefault="0062660D" w:rsidP="00CD7572">
            <w:pPr>
              <w:autoSpaceDE/>
              <w:autoSpaceDN/>
              <w:adjustRightInd/>
              <w:spacing w:after="0"/>
              <w:jc w:val="right"/>
            </w:pPr>
            <w:r w:rsidRPr="00CD7572">
              <w:t>2,000.7</w:t>
            </w:r>
          </w:p>
        </w:tc>
      </w:tr>
      <w:tr w:rsidR="006A2C17" w:rsidTr="00E245D6">
        <w:trPr>
          <w:trHeight w:val="561"/>
        </w:trPr>
        <w:tc>
          <w:tcPr>
            <w:tcW w:w="3114" w:type="dxa"/>
            <w:gridSpan w:val="2"/>
            <w:tcBorders>
              <w:top w:val="nil"/>
              <w:left w:val="single" w:sz="4" w:space="0" w:color="auto"/>
              <w:bottom w:val="nil"/>
              <w:right w:val="nil"/>
            </w:tcBorders>
          </w:tcPr>
          <w:p w:rsidR="00CD7572" w:rsidRPr="00CD7572" w:rsidRDefault="0062660D" w:rsidP="00CD7572">
            <w:pPr>
              <w:autoSpaceDE/>
              <w:autoSpaceDN/>
              <w:adjustRightInd/>
              <w:spacing w:after="0"/>
              <w:jc w:val="left"/>
            </w:pPr>
            <w:r w:rsidRPr="00CD7572">
              <w:t>Index linked securities</w:t>
            </w:r>
          </w:p>
        </w:tc>
        <w:tc>
          <w:tcPr>
            <w:tcW w:w="2016" w:type="dxa"/>
            <w:tcBorders>
              <w:top w:val="nil"/>
              <w:left w:val="nil"/>
              <w:bottom w:val="nil"/>
              <w:right w:val="nil"/>
            </w:tcBorders>
          </w:tcPr>
          <w:p w:rsidR="00CD7572" w:rsidRPr="00CD7572" w:rsidRDefault="0062660D" w:rsidP="00CD7572">
            <w:pPr>
              <w:autoSpaceDE/>
              <w:autoSpaceDN/>
              <w:adjustRightInd/>
              <w:spacing w:after="0"/>
              <w:jc w:val="right"/>
            </w:pPr>
            <w:r w:rsidRPr="00CD7572">
              <w:t>0.0</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1,133.4</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(873.3)</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57.8</w:t>
            </w:r>
          </w:p>
        </w:tc>
        <w:tc>
          <w:tcPr>
            <w:tcW w:w="2565" w:type="dxa"/>
            <w:tcBorders>
              <w:top w:val="nil"/>
              <w:left w:val="nil"/>
              <w:bottom w:val="nil"/>
              <w:right w:val="single" w:sz="4" w:space="0" w:color="auto"/>
            </w:tcBorders>
          </w:tcPr>
          <w:p w:rsidR="00CD7572" w:rsidRPr="00CD7572" w:rsidRDefault="0062660D" w:rsidP="00CD7572">
            <w:pPr>
              <w:autoSpaceDE/>
              <w:autoSpaceDN/>
              <w:adjustRightInd/>
              <w:spacing w:after="0"/>
              <w:jc w:val="right"/>
            </w:pPr>
            <w:r w:rsidRPr="00CD7572">
              <w:t>317.9</w:t>
            </w:r>
          </w:p>
        </w:tc>
      </w:tr>
      <w:tr w:rsidR="006A2C17" w:rsidTr="00E245D6">
        <w:trPr>
          <w:trHeight w:val="723"/>
        </w:trPr>
        <w:tc>
          <w:tcPr>
            <w:tcW w:w="3114" w:type="dxa"/>
            <w:gridSpan w:val="2"/>
            <w:tcBorders>
              <w:top w:val="nil"/>
              <w:left w:val="single" w:sz="4" w:space="0" w:color="auto"/>
              <w:bottom w:val="nil"/>
              <w:right w:val="nil"/>
            </w:tcBorders>
          </w:tcPr>
          <w:p w:rsidR="00CD7572" w:rsidRPr="00CD7572" w:rsidRDefault="0062660D" w:rsidP="00CD7572">
            <w:pPr>
              <w:autoSpaceDE/>
              <w:autoSpaceDN/>
              <w:adjustRightInd/>
              <w:spacing w:after="0"/>
              <w:jc w:val="left"/>
            </w:pPr>
            <w:r w:rsidRPr="00CD7572">
              <w:t>Pooled investment vehicles</w:t>
            </w:r>
          </w:p>
        </w:tc>
        <w:tc>
          <w:tcPr>
            <w:tcW w:w="2016" w:type="dxa"/>
            <w:tcBorders>
              <w:top w:val="nil"/>
              <w:left w:val="nil"/>
              <w:bottom w:val="nil"/>
              <w:right w:val="nil"/>
            </w:tcBorders>
          </w:tcPr>
          <w:p w:rsidR="00CD7572" w:rsidRPr="00CD7572" w:rsidRDefault="0062660D" w:rsidP="00CD7572">
            <w:pPr>
              <w:autoSpaceDE/>
              <w:autoSpaceDN/>
              <w:adjustRightInd/>
              <w:spacing w:after="0"/>
              <w:jc w:val="right"/>
            </w:pPr>
            <w:r w:rsidRPr="00CD7572">
              <w:t>2,238.9</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761.1</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(503.0)</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243.2</w:t>
            </w:r>
          </w:p>
        </w:tc>
        <w:tc>
          <w:tcPr>
            <w:tcW w:w="2565" w:type="dxa"/>
            <w:tcBorders>
              <w:top w:val="nil"/>
              <w:left w:val="nil"/>
              <w:bottom w:val="nil"/>
              <w:right w:val="single" w:sz="4" w:space="0" w:color="auto"/>
            </w:tcBorders>
          </w:tcPr>
          <w:p w:rsidR="00CD7572" w:rsidRPr="00CD7572" w:rsidRDefault="0062660D" w:rsidP="00CD7572">
            <w:pPr>
              <w:autoSpaceDE/>
              <w:autoSpaceDN/>
              <w:adjustRightInd/>
              <w:spacing w:after="0"/>
              <w:jc w:val="right"/>
            </w:pPr>
            <w:r w:rsidRPr="00CD7572">
              <w:t>2,740.2</w:t>
            </w:r>
          </w:p>
        </w:tc>
      </w:tr>
      <w:tr w:rsidR="006A2C17" w:rsidTr="00E245D6">
        <w:trPr>
          <w:trHeight w:val="448"/>
        </w:trPr>
        <w:tc>
          <w:tcPr>
            <w:tcW w:w="3114" w:type="dxa"/>
            <w:gridSpan w:val="2"/>
            <w:tcBorders>
              <w:top w:val="nil"/>
              <w:left w:val="single" w:sz="4" w:space="0" w:color="auto"/>
              <w:bottom w:val="nil"/>
              <w:right w:val="nil"/>
            </w:tcBorders>
          </w:tcPr>
          <w:p w:rsidR="00CD7572" w:rsidRPr="00CD7572" w:rsidRDefault="0062660D" w:rsidP="00CD7572">
            <w:pPr>
              <w:autoSpaceDE/>
              <w:autoSpaceDN/>
              <w:adjustRightInd/>
              <w:spacing w:after="0"/>
              <w:jc w:val="left"/>
            </w:pPr>
            <w:r w:rsidRPr="00CD7572">
              <w:t>Direct property</w:t>
            </w:r>
          </w:p>
        </w:tc>
        <w:tc>
          <w:tcPr>
            <w:tcW w:w="2016" w:type="dxa"/>
            <w:tcBorders>
              <w:top w:val="nil"/>
              <w:left w:val="nil"/>
              <w:bottom w:val="nil"/>
              <w:right w:val="nil"/>
            </w:tcBorders>
          </w:tcPr>
          <w:p w:rsidR="00CD7572" w:rsidRPr="00CD7572" w:rsidRDefault="0062660D" w:rsidP="00CD7572">
            <w:pPr>
              <w:autoSpaceDE/>
              <w:autoSpaceDN/>
              <w:adjustRightInd/>
              <w:spacing w:after="0"/>
              <w:jc w:val="right"/>
            </w:pPr>
            <w:r w:rsidRPr="00CD7572">
              <w:t>450.5</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59.7</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(29.4)</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r w:rsidRPr="00CD7572">
              <w:t>50.6</w:t>
            </w:r>
          </w:p>
        </w:tc>
        <w:tc>
          <w:tcPr>
            <w:tcW w:w="2565" w:type="dxa"/>
            <w:tcBorders>
              <w:top w:val="nil"/>
              <w:left w:val="nil"/>
              <w:bottom w:val="nil"/>
              <w:right w:val="single" w:sz="4" w:space="0" w:color="auto"/>
            </w:tcBorders>
          </w:tcPr>
          <w:p w:rsidR="00CD7572" w:rsidRPr="00CD7572" w:rsidRDefault="0062660D" w:rsidP="00CD7572">
            <w:pPr>
              <w:autoSpaceDE/>
              <w:autoSpaceDN/>
              <w:adjustRightInd/>
              <w:spacing w:after="0"/>
              <w:jc w:val="right"/>
            </w:pPr>
            <w:r w:rsidRPr="00CD7572">
              <w:t>531.4</w:t>
            </w:r>
          </w:p>
        </w:tc>
      </w:tr>
      <w:tr w:rsidR="006A2C17" w:rsidTr="00E245D6">
        <w:trPr>
          <w:trHeight w:val="483"/>
        </w:trPr>
        <w:tc>
          <w:tcPr>
            <w:tcW w:w="3114" w:type="dxa"/>
            <w:gridSpan w:val="2"/>
            <w:tcBorders>
              <w:top w:val="nil"/>
              <w:left w:val="single" w:sz="4" w:space="0" w:color="auto"/>
              <w:bottom w:val="nil"/>
              <w:right w:val="nil"/>
            </w:tcBorders>
            <w:shd w:val="clear" w:color="auto" w:fill="E2EFD9" w:themeFill="accent6" w:themeFillTint="33"/>
          </w:tcPr>
          <w:p w:rsidR="00CD7572" w:rsidRPr="00CD7572" w:rsidRDefault="0062660D" w:rsidP="00CD7572">
            <w:pPr>
              <w:autoSpaceDE/>
              <w:autoSpaceDN/>
              <w:adjustRightInd/>
              <w:spacing w:after="0"/>
              <w:jc w:val="left"/>
            </w:pPr>
          </w:p>
        </w:tc>
        <w:tc>
          <w:tcPr>
            <w:tcW w:w="2016" w:type="dxa"/>
            <w:tcBorders>
              <w:top w:val="nil"/>
              <w:left w:val="nil"/>
              <w:bottom w:val="nil"/>
              <w:right w:val="nil"/>
            </w:tcBorders>
            <w:shd w:val="clear" w:color="auto" w:fill="E2EFD9" w:themeFill="accent6" w:themeFillTint="33"/>
          </w:tcPr>
          <w:p w:rsidR="00CD7572" w:rsidRPr="00CD7572" w:rsidRDefault="0062660D" w:rsidP="00CD7572">
            <w:pPr>
              <w:autoSpaceDE/>
              <w:autoSpaceDN/>
              <w:adjustRightInd/>
              <w:spacing w:after="0"/>
              <w:jc w:val="right"/>
            </w:pPr>
            <w:r w:rsidRPr="00CD7572">
              <w:t>4,843.5</w:t>
            </w:r>
          </w:p>
        </w:tc>
        <w:tc>
          <w:tcPr>
            <w:tcW w:w="2565" w:type="dxa"/>
            <w:tcBorders>
              <w:top w:val="nil"/>
              <w:left w:val="nil"/>
              <w:bottom w:val="nil"/>
              <w:right w:val="nil"/>
            </w:tcBorders>
            <w:shd w:val="clear" w:color="auto" w:fill="E2EFD9" w:themeFill="accent6" w:themeFillTint="33"/>
          </w:tcPr>
          <w:p w:rsidR="00CD7572" w:rsidRPr="00CD7572" w:rsidRDefault="0062660D" w:rsidP="00CD7572">
            <w:pPr>
              <w:autoSpaceDE/>
              <w:autoSpaceDN/>
              <w:adjustRightInd/>
              <w:spacing w:after="0"/>
              <w:jc w:val="right"/>
            </w:pPr>
            <w:r w:rsidRPr="00CD7572">
              <w:t>2,639.1</w:t>
            </w:r>
          </w:p>
        </w:tc>
        <w:tc>
          <w:tcPr>
            <w:tcW w:w="2565" w:type="dxa"/>
            <w:tcBorders>
              <w:top w:val="nil"/>
              <w:left w:val="nil"/>
              <w:bottom w:val="nil"/>
              <w:right w:val="nil"/>
            </w:tcBorders>
            <w:shd w:val="clear" w:color="auto" w:fill="E2EFD9" w:themeFill="accent6" w:themeFillTint="33"/>
          </w:tcPr>
          <w:p w:rsidR="00CD7572" w:rsidRPr="00CD7572" w:rsidRDefault="0062660D" w:rsidP="00CD7572">
            <w:pPr>
              <w:autoSpaceDE/>
              <w:autoSpaceDN/>
              <w:adjustRightInd/>
              <w:spacing w:after="0"/>
              <w:jc w:val="right"/>
            </w:pPr>
            <w:r w:rsidRPr="00CD7572">
              <w:t>(2,428.3)</w:t>
            </w:r>
          </w:p>
        </w:tc>
        <w:tc>
          <w:tcPr>
            <w:tcW w:w="2565" w:type="dxa"/>
            <w:tcBorders>
              <w:top w:val="nil"/>
              <w:left w:val="nil"/>
              <w:bottom w:val="nil"/>
              <w:right w:val="nil"/>
            </w:tcBorders>
            <w:shd w:val="clear" w:color="auto" w:fill="E2EFD9" w:themeFill="accent6" w:themeFillTint="33"/>
          </w:tcPr>
          <w:p w:rsidR="00CD7572" w:rsidRPr="00CD7572" w:rsidRDefault="0062660D" w:rsidP="00CD7572">
            <w:pPr>
              <w:autoSpaceDE/>
              <w:autoSpaceDN/>
              <w:adjustRightInd/>
              <w:spacing w:after="0"/>
              <w:jc w:val="right"/>
            </w:pPr>
            <w:r w:rsidRPr="00CD7572">
              <w:t>684.7</w:t>
            </w:r>
          </w:p>
        </w:tc>
        <w:tc>
          <w:tcPr>
            <w:tcW w:w="2565" w:type="dxa"/>
            <w:tcBorders>
              <w:top w:val="nil"/>
              <w:left w:val="nil"/>
              <w:bottom w:val="nil"/>
              <w:right w:val="single" w:sz="4" w:space="0" w:color="auto"/>
            </w:tcBorders>
            <w:shd w:val="clear" w:color="auto" w:fill="E2EFD9" w:themeFill="accent6" w:themeFillTint="33"/>
          </w:tcPr>
          <w:p w:rsidR="00CD7572" w:rsidRPr="00CD7572" w:rsidRDefault="0062660D" w:rsidP="00CD7572">
            <w:pPr>
              <w:autoSpaceDE/>
              <w:autoSpaceDN/>
              <w:adjustRightInd/>
              <w:spacing w:after="0"/>
              <w:jc w:val="right"/>
            </w:pPr>
            <w:r w:rsidRPr="00CD7572">
              <w:t>5,739.0</w:t>
            </w:r>
          </w:p>
        </w:tc>
      </w:tr>
      <w:tr w:rsidR="006A2C17" w:rsidTr="00E245D6">
        <w:trPr>
          <w:trHeight w:val="456"/>
        </w:trPr>
        <w:tc>
          <w:tcPr>
            <w:tcW w:w="3114" w:type="dxa"/>
            <w:gridSpan w:val="2"/>
            <w:tcBorders>
              <w:top w:val="nil"/>
              <w:left w:val="single" w:sz="4" w:space="0" w:color="auto"/>
              <w:bottom w:val="nil"/>
              <w:right w:val="nil"/>
            </w:tcBorders>
          </w:tcPr>
          <w:p w:rsidR="00CD7572" w:rsidRPr="00CD7572" w:rsidRDefault="0062660D" w:rsidP="00CD7572">
            <w:pPr>
              <w:autoSpaceDE/>
              <w:autoSpaceDN/>
              <w:adjustRightInd/>
              <w:spacing w:after="0"/>
              <w:jc w:val="left"/>
            </w:pPr>
            <w:r w:rsidRPr="00CD7572">
              <w:t>Derivative contracts:</w:t>
            </w:r>
          </w:p>
        </w:tc>
        <w:tc>
          <w:tcPr>
            <w:tcW w:w="2016"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single" w:sz="4" w:space="0" w:color="auto"/>
            </w:tcBorders>
          </w:tcPr>
          <w:p w:rsidR="00CD7572" w:rsidRPr="00CD7572" w:rsidRDefault="0062660D" w:rsidP="00CD7572">
            <w:pPr>
              <w:autoSpaceDE/>
              <w:autoSpaceDN/>
              <w:adjustRightInd/>
              <w:spacing w:after="0"/>
              <w:jc w:val="right"/>
            </w:pPr>
          </w:p>
        </w:tc>
      </w:tr>
      <w:tr w:rsidR="006A2C17" w:rsidTr="00E245D6">
        <w:trPr>
          <w:trHeight w:val="744"/>
        </w:trPr>
        <w:tc>
          <w:tcPr>
            <w:tcW w:w="3114" w:type="dxa"/>
            <w:gridSpan w:val="2"/>
            <w:tcBorders>
              <w:top w:val="nil"/>
              <w:left w:val="single" w:sz="4" w:space="0" w:color="auto"/>
              <w:bottom w:val="nil"/>
              <w:right w:val="nil"/>
            </w:tcBorders>
          </w:tcPr>
          <w:p w:rsidR="00CD7572" w:rsidRPr="00CD7572" w:rsidRDefault="0062660D" w:rsidP="00CD7572">
            <w:pPr>
              <w:autoSpaceDE/>
              <w:autoSpaceDN/>
              <w:adjustRightInd/>
              <w:spacing w:after="0"/>
              <w:jc w:val="left"/>
            </w:pPr>
            <w:r w:rsidRPr="00CD7572">
              <w:t>Forward currency contracts asset value</w:t>
            </w:r>
          </w:p>
        </w:tc>
        <w:tc>
          <w:tcPr>
            <w:tcW w:w="2016" w:type="dxa"/>
            <w:tcBorders>
              <w:top w:val="nil"/>
              <w:left w:val="nil"/>
              <w:bottom w:val="nil"/>
              <w:right w:val="nil"/>
            </w:tcBorders>
          </w:tcPr>
          <w:p w:rsidR="00CD7572" w:rsidRPr="00CD7572" w:rsidRDefault="0062660D" w:rsidP="00CD7572">
            <w:pPr>
              <w:autoSpaceDE/>
              <w:autoSpaceDN/>
              <w:adjustRightInd/>
              <w:spacing w:after="0"/>
              <w:jc w:val="right"/>
            </w:pPr>
            <w:r w:rsidRPr="00CD7572">
              <w:t>21.4</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single" w:sz="4" w:space="0" w:color="auto"/>
            </w:tcBorders>
          </w:tcPr>
          <w:p w:rsidR="00CD7572" w:rsidRPr="00CD7572" w:rsidRDefault="0062660D" w:rsidP="00CD7572">
            <w:pPr>
              <w:autoSpaceDE/>
              <w:autoSpaceDN/>
              <w:adjustRightInd/>
              <w:spacing w:after="0"/>
              <w:jc w:val="right"/>
            </w:pPr>
            <w:r w:rsidRPr="00CD7572">
              <w:t>632.4</w:t>
            </w:r>
          </w:p>
        </w:tc>
      </w:tr>
      <w:tr w:rsidR="006A2C17" w:rsidTr="00E245D6">
        <w:trPr>
          <w:trHeight w:val="410"/>
        </w:trPr>
        <w:tc>
          <w:tcPr>
            <w:tcW w:w="3114" w:type="dxa"/>
            <w:gridSpan w:val="2"/>
            <w:tcBorders>
              <w:top w:val="nil"/>
              <w:left w:val="single" w:sz="4" w:space="0" w:color="auto"/>
              <w:bottom w:val="nil"/>
              <w:right w:val="nil"/>
            </w:tcBorders>
          </w:tcPr>
          <w:p w:rsidR="00CD7572" w:rsidRPr="00CD7572" w:rsidRDefault="0062660D" w:rsidP="00CD7572">
            <w:pPr>
              <w:autoSpaceDE/>
              <w:autoSpaceDN/>
              <w:adjustRightInd/>
              <w:spacing w:after="0"/>
              <w:jc w:val="left"/>
            </w:pPr>
            <w:r w:rsidRPr="00CD7572">
              <w:t>Cash deposits</w:t>
            </w:r>
          </w:p>
        </w:tc>
        <w:tc>
          <w:tcPr>
            <w:tcW w:w="2016" w:type="dxa"/>
            <w:tcBorders>
              <w:top w:val="nil"/>
              <w:left w:val="nil"/>
              <w:bottom w:val="nil"/>
              <w:right w:val="nil"/>
            </w:tcBorders>
          </w:tcPr>
          <w:p w:rsidR="00CD7572" w:rsidRPr="00CD7572" w:rsidRDefault="0062660D" w:rsidP="00CD7572">
            <w:pPr>
              <w:autoSpaceDE/>
              <w:autoSpaceDN/>
              <w:adjustRightInd/>
              <w:spacing w:after="0"/>
              <w:jc w:val="right"/>
            </w:pPr>
            <w:r w:rsidRPr="00CD7572">
              <w:t>315.5</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single" w:sz="4" w:space="0" w:color="auto"/>
            </w:tcBorders>
          </w:tcPr>
          <w:p w:rsidR="00CD7572" w:rsidRPr="00CD7572" w:rsidRDefault="0062660D" w:rsidP="00CD7572">
            <w:pPr>
              <w:autoSpaceDE/>
              <w:autoSpaceDN/>
              <w:adjustRightInd/>
              <w:spacing w:after="0"/>
              <w:jc w:val="right"/>
            </w:pPr>
            <w:r w:rsidRPr="00CD7572">
              <w:t>60.0</w:t>
            </w:r>
          </w:p>
        </w:tc>
      </w:tr>
      <w:tr w:rsidR="006A2C17" w:rsidTr="00E245D6">
        <w:trPr>
          <w:trHeight w:val="428"/>
        </w:trPr>
        <w:tc>
          <w:tcPr>
            <w:tcW w:w="3114" w:type="dxa"/>
            <w:gridSpan w:val="2"/>
            <w:tcBorders>
              <w:top w:val="nil"/>
              <w:left w:val="single" w:sz="4" w:space="0" w:color="auto"/>
              <w:bottom w:val="nil"/>
              <w:right w:val="nil"/>
            </w:tcBorders>
          </w:tcPr>
          <w:p w:rsidR="00CD7572" w:rsidRPr="00CD7572" w:rsidRDefault="0062660D" w:rsidP="00CD7572">
            <w:pPr>
              <w:autoSpaceDE/>
              <w:autoSpaceDN/>
              <w:adjustRightInd/>
              <w:spacing w:after="0"/>
              <w:jc w:val="left"/>
            </w:pPr>
            <w:r w:rsidRPr="00CD7572">
              <w:t>Investment accruals</w:t>
            </w:r>
          </w:p>
        </w:tc>
        <w:tc>
          <w:tcPr>
            <w:tcW w:w="2016" w:type="dxa"/>
            <w:tcBorders>
              <w:top w:val="nil"/>
              <w:left w:val="nil"/>
              <w:bottom w:val="nil"/>
              <w:right w:val="nil"/>
            </w:tcBorders>
          </w:tcPr>
          <w:p w:rsidR="00CD7572" w:rsidRPr="00CD7572" w:rsidRDefault="0062660D" w:rsidP="00CD7572">
            <w:pPr>
              <w:autoSpaceDE/>
              <w:autoSpaceDN/>
              <w:adjustRightInd/>
              <w:spacing w:after="0"/>
              <w:jc w:val="right"/>
            </w:pPr>
            <w:r w:rsidRPr="00CD7572">
              <w:t>12.4</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single" w:sz="4" w:space="0" w:color="auto"/>
            </w:tcBorders>
          </w:tcPr>
          <w:p w:rsidR="00CD7572" w:rsidRPr="00CD7572" w:rsidRDefault="0062660D" w:rsidP="00CD7572">
            <w:pPr>
              <w:autoSpaceDE/>
              <w:autoSpaceDN/>
              <w:adjustRightInd/>
              <w:spacing w:after="0"/>
              <w:jc w:val="right"/>
            </w:pPr>
            <w:r w:rsidRPr="00CD7572">
              <w:t>11.7</w:t>
            </w:r>
          </w:p>
        </w:tc>
      </w:tr>
      <w:tr w:rsidR="006A2C17" w:rsidTr="00E245D6">
        <w:trPr>
          <w:trHeight w:val="496"/>
        </w:trPr>
        <w:tc>
          <w:tcPr>
            <w:tcW w:w="3114" w:type="dxa"/>
            <w:gridSpan w:val="2"/>
            <w:tcBorders>
              <w:top w:val="nil"/>
              <w:left w:val="single" w:sz="4" w:space="0" w:color="auto"/>
              <w:bottom w:val="nil"/>
              <w:right w:val="nil"/>
            </w:tcBorders>
            <w:shd w:val="clear" w:color="auto" w:fill="C5E0B3" w:themeFill="accent6" w:themeFillTint="66"/>
          </w:tcPr>
          <w:p w:rsidR="00CD7572" w:rsidRPr="00CD7572" w:rsidRDefault="0062660D" w:rsidP="00CD7572">
            <w:pPr>
              <w:autoSpaceDE/>
              <w:autoSpaceDN/>
              <w:adjustRightInd/>
              <w:spacing w:after="0"/>
              <w:jc w:val="left"/>
            </w:pPr>
            <w:r w:rsidRPr="00CD7572">
              <w:t>Investment assets</w:t>
            </w:r>
          </w:p>
        </w:tc>
        <w:tc>
          <w:tcPr>
            <w:tcW w:w="2016" w:type="dxa"/>
            <w:tcBorders>
              <w:top w:val="nil"/>
              <w:left w:val="nil"/>
              <w:bottom w:val="nil"/>
              <w:right w:val="nil"/>
            </w:tcBorders>
            <w:shd w:val="clear" w:color="auto" w:fill="C5E0B3" w:themeFill="accent6" w:themeFillTint="66"/>
          </w:tcPr>
          <w:p w:rsidR="00CD7572" w:rsidRPr="00CD7572" w:rsidRDefault="0062660D" w:rsidP="00CD7572">
            <w:pPr>
              <w:autoSpaceDE/>
              <w:autoSpaceDN/>
              <w:adjustRightInd/>
              <w:spacing w:after="0"/>
              <w:jc w:val="right"/>
            </w:pPr>
            <w:r w:rsidRPr="00CD7572">
              <w:t>5,192.8</w:t>
            </w:r>
          </w:p>
        </w:tc>
        <w:tc>
          <w:tcPr>
            <w:tcW w:w="2565" w:type="dxa"/>
            <w:tcBorders>
              <w:top w:val="nil"/>
              <w:left w:val="nil"/>
              <w:bottom w:val="nil"/>
              <w:right w:val="nil"/>
            </w:tcBorders>
            <w:shd w:val="clear" w:color="auto" w:fill="C5E0B3" w:themeFill="accent6" w:themeFillTint="66"/>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shd w:val="clear" w:color="auto" w:fill="C5E0B3" w:themeFill="accent6" w:themeFillTint="66"/>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shd w:val="clear" w:color="auto" w:fill="C5E0B3" w:themeFill="accent6" w:themeFillTint="66"/>
          </w:tcPr>
          <w:p w:rsidR="00CD7572" w:rsidRPr="00CD7572" w:rsidRDefault="0062660D" w:rsidP="00CD7572">
            <w:pPr>
              <w:autoSpaceDE/>
              <w:autoSpaceDN/>
              <w:adjustRightInd/>
              <w:spacing w:after="0"/>
              <w:jc w:val="right"/>
            </w:pPr>
          </w:p>
        </w:tc>
        <w:tc>
          <w:tcPr>
            <w:tcW w:w="2565" w:type="dxa"/>
            <w:tcBorders>
              <w:top w:val="nil"/>
              <w:left w:val="nil"/>
              <w:bottom w:val="nil"/>
              <w:right w:val="single" w:sz="4" w:space="0" w:color="auto"/>
            </w:tcBorders>
            <w:shd w:val="clear" w:color="auto" w:fill="C5E0B3" w:themeFill="accent6" w:themeFillTint="66"/>
          </w:tcPr>
          <w:p w:rsidR="00CD7572" w:rsidRPr="00CD7572" w:rsidRDefault="0062660D" w:rsidP="00CD7572">
            <w:pPr>
              <w:autoSpaceDE/>
              <w:autoSpaceDN/>
              <w:adjustRightInd/>
              <w:spacing w:after="0"/>
              <w:jc w:val="right"/>
            </w:pPr>
            <w:r w:rsidRPr="00CD7572">
              <w:t>6,443.1</w:t>
            </w:r>
          </w:p>
        </w:tc>
      </w:tr>
      <w:tr w:rsidR="006A2C17" w:rsidTr="00E245D6">
        <w:trPr>
          <w:trHeight w:val="1061"/>
        </w:trPr>
        <w:tc>
          <w:tcPr>
            <w:tcW w:w="3114" w:type="dxa"/>
            <w:gridSpan w:val="2"/>
            <w:tcBorders>
              <w:top w:val="nil"/>
              <w:left w:val="single" w:sz="4" w:space="0" w:color="auto"/>
              <w:bottom w:val="nil"/>
              <w:right w:val="nil"/>
            </w:tcBorders>
          </w:tcPr>
          <w:p w:rsidR="00CD7572" w:rsidRPr="00CD7572" w:rsidRDefault="0062660D" w:rsidP="00CD7572">
            <w:pPr>
              <w:autoSpaceDE/>
              <w:autoSpaceDN/>
              <w:adjustRightInd/>
              <w:spacing w:after="0"/>
              <w:jc w:val="left"/>
            </w:pPr>
            <w:r w:rsidRPr="00CD7572">
              <w:t>Forward currency contracts liability value</w:t>
            </w:r>
          </w:p>
        </w:tc>
        <w:tc>
          <w:tcPr>
            <w:tcW w:w="2016" w:type="dxa"/>
            <w:tcBorders>
              <w:top w:val="nil"/>
              <w:left w:val="nil"/>
              <w:bottom w:val="nil"/>
              <w:right w:val="nil"/>
            </w:tcBorders>
          </w:tcPr>
          <w:p w:rsidR="00CD7572" w:rsidRPr="00CD7572" w:rsidRDefault="0062660D" w:rsidP="00CD7572">
            <w:pPr>
              <w:autoSpaceDE/>
              <w:autoSpaceDN/>
              <w:adjustRightInd/>
              <w:spacing w:after="0"/>
              <w:jc w:val="right"/>
            </w:pPr>
            <w:r w:rsidRPr="00CD7572">
              <w:t>(21.3)</w:t>
            </w: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nil"/>
            </w:tcBorders>
          </w:tcPr>
          <w:p w:rsidR="00CD7572" w:rsidRPr="00CD7572" w:rsidRDefault="0062660D" w:rsidP="00CD7572">
            <w:pPr>
              <w:autoSpaceDE/>
              <w:autoSpaceDN/>
              <w:adjustRightInd/>
              <w:spacing w:after="0"/>
              <w:jc w:val="right"/>
            </w:pPr>
          </w:p>
        </w:tc>
        <w:tc>
          <w:tcPr>
            <w:tcW w:w="2565" w:type="dxa"/>
            <w:tcBorders>
              <w:top w:val="nil"/>
              <w:left w:val="nil"/>
              <w:bottom w:val="nil"/>
              <w:right w:val="single" w:sz="4" w:space="0" w:color="auto"/>
            </w:tcBorders>
          </w:tcPr>
          <w:p w:rsidR="00CD7572" w:rsidRPr="00CD7572" w:rsidRDefault="0062660D" w:rsidP="00CD7572">
            <w:pPr>
              <w:autoSpaceDE/>
              <w:autoSpaceDN/>
              <w:adjustRightInd/>
              <w:spacing w:after="0"/>
              <w:jc w:val="right"/>
            </w:pPr>
            <w:r w:rsidRPr="00CD7572">
              <w:t>(629.6)</w:t>
            </w:r>
          </w:p>
        </w:tc>
      </w:tr>
      <w:tr w:rsidR="006A2C17" w:rsidTr="00E245D6">
        <w:trPr>
          <w:trHeight w:val="556"/>
        </w:trPr>
        <w:tc>
          <w:tcPr>
            <w:tcW w:w="3114" w:type="dxa"/>
            <w:gridSpan w:val="2"/>
            <w:tcBorders>
              <w:top w:val="nil"/>
              <w:left w:val="single" w:sz="4" w:space="0" w:color="auto"/>
              <w:bottom w:val="single" w:sz="4" w:space="0" w:color="auto"/>
              <w:right w:val="nil"/>
            </w:tcBorders>
            <w:shd w:val="clear" w:color="auto" w:fill="A8D08D" w:themeFill="accent6" w:themeFillTint="99"/>
          </w:tcPr>
          <w:p w:rsidR="00CD7572" w:rsidRPr="00CD7572" w:rsidRDefault="0062660D" w:rsidP="00CD7572">
            <w:pPr>
              <w:autoSpaceDE/>
              <w:autoSpaceDN/>
              <w:adjustRightInd/>
              <w:spacing w:after="0"/>
              <w:jc w:val="left"/>
              <w:rPr>
                <w:b/>
              </w:rPr>
            </w:pPr>
            <w:r w:rsidRPr="00CD7572">
              <w:rPr>
                <w:b/>
              </w:rPr>
              <w:t xml:space="preserve">Portfolio </w:t>
            </w:r>
            <w:r w:rsidRPr="00CD7572">
              <w:rPr>
                <w:b/>
              </w:rPr>
              <w:t>value</w:t>
            </w:r>
          </w:p>
        </w:tc>
        <w:tc>
          <w:tcPr>
            <w:tcW w:w="2016" w:type="dxa"/>
            <w:tcBorders>
              <w:top w:val="nil"/>
              <w:left w:val="nil"/>
              <w:bottom w:val="single" w:sz="4" w:space="0" w:color="auto"/>
              <w:right w:val="nil"/>
            </w:tcBorders>
            <w:shd w:val="clear" w:color="auto" w:fill="A8D08D" w:themeFill="accent6" w:themeFillTint="99"/>
          </w:tcPr>
          <w:p w:rsidR="00CD7572" w:rsidRPr="00CD7572" w:rsidRDefault="0062660D" w:rsidP="00CD7572">
            <w:pPr>
              <w:autoSpaceDE/>
              <w:autoSpaceDN/>
              <w:adjustRightInd/>
              <w:spacing w:after="0"/>
              <w:jc w:val="right"/>
              <w:rPr>
                <w:b/>
              </w:rPr>
            </w:pPr>
            <w:r w:rsidRPr="00CD7572">
              <w:rPr>
                <w:b/>
              </w:rPr>
              <w:t>5,171.5</w:t>
            </w:r>
          </w:p>
        </w:tc>
        <w:tc>
          <w:tcPr>
            <w:tcW w:w="2565" w:type="dxa"/>
            <w:tcBorders>
              <w:top w:val="nil"/>
              <w:left w:val="nil"/>
              <w:bottom w:val="single" w:sz="4" w:space="0" w:color="auto"/>
              <w:right w:val="nil"/>
            </w:tcBorders>
            <w:shd w:val="clear" w:color="auto" w:fill="A8D08D" w:themeFill="accent6" w:themeFillTint="99"/>
          </w:tcPr>
          <w:p w:rsidR="00CD7572" w:rsidRPr="00CD7572" w:rsidRDefault="0062660D" w:rsidP="00CD7572">
            <w:pPr>
              <w:autoSpaceDE/>
              <w:autoSpaceDN/>
              <w:adjustRightInd/>
              <w:spacing w:after="0"/>
              <w:jc w:val="right"/>
              <w:rPr>
                <w:b/>
              </w:rPr>
            </w:pPr>
          </w:p>
        </w:tc>
        <w:tc>
          <w:tcPr>
            <w:tcW w:w="2565" w:type="dxa"/>
            <w:tcBorders>
              <w:top w:val="nil"/>
              <w:left w:val="nil"/>
              <w:bottom w:val="single" w:sz="4" w:space="0" w:color="auto"/>
              <w:right w:val="nil"/>
            </w:tcBorders>
            <w:shd w:val="clear" w:color="auto" w:fill="A8D08D" w:themeFill="accent6" w:themeFillTint="99"/>
          </w:tcPr>
          <w:p w:rsidR="00CD7572" w:rsidRPr="00CD7572" w:rsidRDefault="0062660D" w:rsidP="00CD7572">
            <w:pPr>
              <w:autoSpaceDE/>
              <w:autoSpaceDN/>
              <w:adjustRightInd/>
              <w:spacing w:after="0"/>
              <w:jc w:val="right"/>
              <w:rPr>
                <w:b/>
              </w:rPr>
            </w:pPr>
          </w:p>
        </w:tc>
        <w:tc>
          <w:tcPr>
            <w:tcW w:w="2565" w:type="dxa"/>
            <w:tcBorders>
              <w:top w:val="nil"/>
              <w:left w:val="nil"/>
              <w:bottom w:val="single" w:sz="4" w:space="0" w:color="auto"/>
              <w:right w:val="nil"/>
            </w:tcBorders>
            <w:shd w:val="clear" w:color="auto" w:fill="A8D08D" w:themeFill="accent6" w:themeFillTint="99"/>
          </w:tcPr>
          <w:p w:rsidR="00CD7572" w:rsidRPr="00CD7572" w:rsidRDefault="0062660D" w:rsidP="00CD7572">
            <w:pPr>
              <w:autoSpaceDE/>
              <w:autoSpaceDN/>
              <w:adjustRightInd/>
              <w:spacing w:after="0"/>
              <w:jc w:val="right"/>
              <w:rPr>
                <w:b/>
              </w:rPr>
            </w:pPr>
          </w:p>
        </w:tc>
        <w:tc>
          <w:tcPr>
            <w:tcW w:w="2565" w:type="dxa"/>
            <w:tcBorders>
              <w:top w:val="nil"/>
              <w:left w:val="nil"/>
              <w:bottom w:val="single" w:sz="4" w:space="0" w:color="auto"/>
              <w:right w:val="single" w:sz="4" w:space="0" w:color="auto"/>
            </w:tcBorders>
            <w:shd w:val="clear" w:color="auto" w:fill="A8D08D" w:themeFill="accent6" w:themeFillTint="99"/>
          </w:tcPr>
          <w:p w:rsidR="00CD7572" w:rsidRPr="00CD7572" w:rsidRDefault="0062660D" w:rsidP="00CD7572">
            <w:pPr>
              <w:autoSpaceDE/>
              <w:autoSpaceDN/>
              <w:adjustRightInd/>
              <w:spacing w:after="0"/>
              <w:jc w:val="right"/>
              <w:rPr>
                <w:b/>
              </w:rPr>
            </w:pPr>
            <w:r w:rsidRPr="00CD7572">
              <w:rPr>
                <w:b/>
              </w:rPr>
              <w:t>5,813.5</w:t>
            </w:r>
          </w:p>
        </w:tc>
      </w:tr>
    </w:tbl>
    <w:p w:rsidR="00CD7572" w:rsidRPr="00CD7572" w:rsidRDefault="0062660D" w:rsidP="00CD7572">
      <w:pPr>
        <w:spacing w:after="240"/>
        <w:ind w:left="567"/>
      </w:pPr>
    </w:p>
    <w:p w:rsidR="00CD7572" w:rsidRPr="00CD7572" w:rsidRDefault="0062660D" w:rsidP="00CD7572">
      <w:pPr>
        <w:spacing w:after="240"/>
        <w:ind w:left="567"/>
        <w:sectPr w:rsidR="00CD7572" w:rsidRPr="00CD7572" w:rsidSect="003504ED">
          <w:pgSz w:w="16840" w:h="11900" w:orient="landscape" w:code="9"/>
          <w:pgMar w:top="720" w:right="720" w:bottom="720" w:left="720" w:header="284" w:footer="284" w:gutter="0"/>
          <w:cols w:space="292"/>
          <w:docGrid w:linePitch="326"/>
        </w:sectPr>
      </w:pPr>
    </w:p>
    <w:tbl>
      <w:tblPr>
        <w:tblStyle w:val="TableGrid6"/>
        <w:tblW w:w="11278" w:type="dxa"/>
        <w:tblInd w:w="-176" w:type="dxa"/>
        <w:tblBorders>
          <w:insideH w:val="none" w:sz="0" w:space="0" w:color="auto"/>
          <w:insideV w:val="none" w:sz="0" w:space="0" w:color="auto"/>
        </w:tblBorders>
        <w:tblLayout w:type="fixed"/>
        <w:tblLook w:val="04A0" w:firstRow="1" w:lastRow="0" w:firstColumn="1" w:lastColumn="0" w:noHBand="0" w:noVBand="1"/>
      </w:tblPr>
      <w:tblGrid>
        <w:gridCol w:w="2405"/>
        <w:gridCol w:w="713"/>
        <w:gridCol w:w="1843"/>
        <w:gridCol w:w="142"/>
        <w:gridCol w:w="141"/>
        <w:gridCol w:w="251"/>
        <w:gridCol w:w="32"/>
        <w:gridCol w:w="143"/>
        <w:gridCol w:w="96"/>
        <w:gridCol w:w="756"/>
        <w:gridCol w:w="283"/>
        <w:gridCol w:w="992"/>
        <w:gridCol w:w="283"/>
        <w:gridCol w:w="1277"/>
        <w:gridCol w:w="51"/>
        <w:gridCol w:w="236"/>
        <w:gridCol w:w="1413"/>
        <w:gridCol w:w="221"/>
      </w:tblGrid>
      <w:tr w:rsidR="006A2C17" w:rsidTr="00E245D6">
        <w:trPr>
          <w:trHeight w:val="433"/>
        </w:trPr>
        <w:tc>
          <w:tcPr>
            <w:tcW w:w="5495" w:type="dxa"/>
            <w:gridSpan w:val="6"/>
            <w:tcBorders>
              <w:top w:val="nil"/>
              <w:left w:val="nil"/>
              <w:bottom w:val="nil"/>
            </w:tcBorders>
            <w:shd w:val="clear" w:color="auto" w:fill="auto"/>
          </w:tcPr>
          <w:p w:rsidR="00CD7572" w:rsidRPr="00CD7572" w:rsidRDefault="0062660D" w:rsidP="00CD7572">
            <w:pPr>
              <w:tabs>
                <w:tab w:val="left" w:pos="1080"/>
              </w:tabs>
              <w:spacing w:after="80"/>
              <w:jc w:val="left"/>
              <w:rPr>
                <w:b/>
              </w:rPr>
            </w:pPr>
            <w:r w:rsidRPr="00CD7572">
              <w:rPr>
                <w:b/>
              </w:rPr>
              <w:t>Investments analysed by fund manager</w:t>
            </w:r>
          </w:p>
        </w:tc>
        <w:tc>
          <w:tcPr>
            <w:tcW w:w="271" w:type="dxa"/>
            <w:gridSpan w:val="3"/>
            <w:tcBorders>
              <w:top w:val="nil"/>
              <w:bottom w:val="nil"/>
            </w:tcBorders>
            <w:shd w:val="clear" w:color="auto" w:fill="auto"/>
          </w:tcPr>
          <w:p w:rsidR="00CD7572" w:rsidRPr="00CD7572" w:rsidRDefault="0062660D" w:rsidP="00CD7572">
            <w:pPr>
              <w:tabs>
                <w:tab w:val="left" w:pos="1080"/>
              </w:tabs>
              <w:spacing w:after="80"/>
              <w:jc w:val="left"/>
              <w:rPr>
                <w:b/>
              </w:rPr>
            </w:pPr>
          </w:p>
        </w:tc>
        <w:tc>
          <w:tcPr>
            <w:tcW w:w="3642" w:type="dxa"/>
            <w:gridSpan w:val="6"/>
            <w:tcBorders>
              <w:top w:val="nil"/>
              <w:bottom w:val="nil"/>
            </w:tcBorders>
            <w:shd w:val="clear" w:color="auto" w:fill="auto"/>
          </w:tcPr>
          <w:p w:rsidR="00CD7572" w:rsidRPr="00CD7572" w:rsidRDefault="0062660D" w:rsidP="00CD7572">
            <w:pPr>
              <w:tabs>
                <w:tab w:val="left" w:pos="1080"/>
              </w:tabs>
              <w:spacing w:after="80"/>
              <w:jc w:val="right"/>
              <w:rPr>
                <w:b/>
              </w:rPr>
            </w:pPr>
          </w:p>
        </w:tc>
        <w:tc>
          <w:tcPr>
            <w:tcW w:w="236" w:type="dxa"/>
            <w:tcBorders>
              <w:top w:val="nil"/>
              <w:bottom w:val="nil"/>
            </w:tcBorders>
            <w:shd w:val="clear" w:color="auto" w:fill="auto"/>
          </w:tcPr>
          <w:p w:rsidR="00CD7572" w:rsidRPr="00CD7572" w:rsidRDefault="0062660D" w:rsidP="00CD7572">
            <w:pPr>
              <w:tabs>
                <w:tab w:val="left" w:pos="1080"/>
              </w:tabs>
              <w:spacing w:after="80"/>
              <w:jc w:val="right"/>
              <w:rPr>
                <w:b/>
              </w:rPr>
            </w:pPr>
          </w:p>
        </w:tc>
        <w:tc>
          <w:tcPr>
            <w:tcW w:w="1634" w:type="dxa"/>
            <w:gridSpan w:val="2"/>
            <w:tcBorders>
              <w:top w:val="nil"/>
              <w:bottom w:val="nil"/>
              <w:right w:val="nil"/>
            </w:tcBorders>
            <w:shd w:val="clear" w:color="auto" w:fill="auto"/>
          </w:tcPr>
          <w:p w:rsidR="00CD7572" w:rsidRPr="00CD7572" w:rsidRDefault="0062660D" w:rsidP="00CD7572">
            <w:pPr>
              <w:tabs>
                <w:tab w:val="left" w:pos="1080"/>
              </w:tabs>
              <w:spacing w:after="80"/>
              <w:rPr>
                <w:b/>
              </w:rPr>
            </w:pPr>
          </w:p>
        </w:tc>
      </w:tr>
      <w:tr w:rsidR="006A2C17" w:rsidTr="00E245D6">
        <w:tblPrEx>
          <w:tblBorders>
            <w:insideH w:val="single" w:sz="4" w:space="0" w:color="auto"/>
            <w:insideV w:val="single" w:sz="4" w:space="0" w:color="auto"/>
          </w:tblBorders>
        </w:tblPrEx>
        <w:trPr>
          <w:gridAfter w:val="1"/>
          <w:wAfter w:w="221" w:type="dxa"/>
          <w:trHeight w:val="550"/>
        </w:trPr>
        <w:tc>
          <w:tcPr>
            <w:tcW w:w="3118" w:type="dxa"/>
            <w:gridSpan w:val="2"/>
            <w:tcBorders>
              <w:top w:val="single" w:sz="4" w:space="0" w:color="auto"/>
              <w:left w:val="single" w:sz="4" w:space="0" w:color="auto"/>
              <w:bottom w:val="nil"/>
              <w:right w:val="nil"/>
            </w:tcBorders>
            <w:shd w:val="clear" w:color="auto" w:fill="70AD47" w:themeFill="accent6"/>
          </w:tcPr>
          <w:p w:rsidR="00CD7572" w:rsidRPr="00CD7572" w:rsidRDefault="0062660D" w:rsidP="00CD7572">
            <w:pPr>
              <w:rPr>
                <w:b/>
              </w:rPr>
            </w:pPr>
          </w:p>
        </w:tc>
        <w:tc>
          <w:tcPr>
            <w:tcW w:w="2409" w:type="dxa"/>
            <w:gridSpan w:val="5"/>
            <w:tcBorders>
              <w:top w:val="single" w:sz="4" w:space="0" w:color="auto"/>
              <w:left w:val="nil"/>
              <w:bottom w:val="nil"/>
              <w:right w:val="nil"/>
            </w:tcBorders>
            <w:shd w:val="clear" w:color="auto" w:fill="70AD47" w:themeFill="accent6"/>
          </w:tcPr>
          <w:p w:rsidR="00CD7572" w:rsidRPr="00CD7572" w:rsidRDefault="0062660D" w:rsidP="00CD7572">
            <w:pPr>
              <w:rPr>
                <w:b/>
              </w:rPr>
            </w:pPr>
          </w:p>
        </w:tc>
        <w:tc>
          <w:tcPr>
            <w:tcW w:w="1278" w:type="dxa"/>
            <w:gridSpan w:val="4"/>
            <w:tcBorders>
              <w:top w:val="single" w:sz="4" w:space="0" w:color="auto"/>
              <w:left w:val="nil"/>
              <w:bottom w:val="nil"/>
              <w:right w:val="nil"/>
            </w:tcBorders>
            <w:shd w:val="clear" w:color="auto" w:fill="70AD47" w:themeFill="accent6"/>
          </w:tcPr>
          <w:p w:rsidR="00CD7572" w:rsidRPr="00CD7572" w:rsidRDefault="0062660D" w:rsidP="00CD7572">
            <w:pPr>
              <w:jc w:val="center"/>
              <w:rPr>
                <w:b/>
                <w:sz w:val="22"/>
                <w:szCs w:val="22"/>
              </w:rPr>
            </w:pPr>
          </w:p>
          <w:p w:rsidR="00CD7572" w:rsidRPr="00CD7572" w:rsidRDefault="0062660D" w:rsidP="00CD7572">
            <w:pPr>
              <w:jc w:val="center"/>
              <w:rPr>
                <w:b/>
                <w:sz w:val="22"/>
                <w:szCs w:val="22"/>
              </w:rPr>
            </w:pPr>
            <w:r w:rsidRPr="00CD7572">
              <w:rPr>
                <w:b/>
                <w:sz w:val="22"/>
                <w:szCs w:val="22"/>
              </w:rPr>
              <w:t>31/3/16</w:t>
            </w:r>
          </w:p>
        </w:tc>
        <w:tc>
          <w:tcPr>
            <w:tcW w:w="1275" w:type="dxa"/>
            <w:gridSpan w:val="2"/>
            <w:tcBorders>
              <w:top w:val="single" w:sz="4" w:space="0" w:color="auto"/>
              <w:left w:val="nil"/>
              <w:bottom w:val="nil"/>
              <w:right w:val="nil"/>
            </w:tcBorders>
            <w:shd w:val="clear" w:color="auto" w:fill="70AD47" w:themeFill="accent6"/>
          </w:tcPr>
          <w:p w:rsidR="00CD7572" w:rsidRPr="00CD7572" w:rsidRDefault="0062660D" w:rsidP="00CD7572">
            <w:pPr>
              <w:jc w:val="center"/>
              <w:rPr>
                <w:b/>
                <w:sz w:val="22"/>
                <w:szCs w:val="22"/>
              </w:rPr>
            </w:pPr>
          </w:p>
          <w:p w:rsidR="00CD7572" w:rsidRPr="00CD7572" w:rsidRDefault="0062660D" w:rsidP="00CD7572">
            <w:pPr>
              <w:jc w:val="center"/>
              <w:rPr>
                <w:b/>
                <w:sz w:val="22"/>
                <w:szCs w:val="22"/>
              </w:rPr>
            </w:pPr>
            <w:r w:rsidRPr="00CD7572">
              <w:rPr>
                <w:b/>
                <w:sz w:val="22"/>
                <w:szCs w:val="22"/>
              </w:rPr>
              <w:t>%</w:t>
            </w:r>
          </w:p>
        </w:tc>
        <w:tc>
          <w:tcPr>
            <w:tcW w:w="1564" w:type="dxa"/>
            <w:gridSpan w:val="3"/>
            <w:tcBorders>
              <w:top w:val="single" w:sz="4" w:space="0" w:color="auto"/>
              <w:left w:val="nil"/>
              <w:bottom w:val="nil"/>
              <w:right w:val="nil"/>
            </w:tcBorders>
            <w:shd w:val="clear" w:color="auto" w:fill="70AD47" w:themeFill="accent6"/>
          </w:tcPr>
          <w:p w:rsidR="00CD7572" w:rsidRPr="00CD7572" w:rsidRDefault="0062660D" w:rsidP="00CD7572">
            <w:pPr>
              <w:jc w:val="center"/>
              <w:rPr>
                <w:b/>
                <w:sz w:val="22"/>
                <w:szCs w:val="22"/>
              </w:rPr>
            </w:pPr>
          </w:p>
          <w:p w:rsidR="00CD7572" w:rsidRPr="00CD7572" w:rsidRDefault="0062660D" w:rsidP="00CD7572">
            <w:pPr>
              <w:jc w:val="center"/>
              <w:rPr>
                <w:b/>
                <w:sz w:val="22"/>
                <w:szCs w:val="22"/>
              </w:rPr>
            </w:pPr>
            <w:r w:rsidRPr="00CD7572">
              <w:rPr>
                <w:b/>
                <w:sz w:val="22"/>
                <w:szCs w:val="22"/>
              </w:rPr>
              <w:t>31/3/15</w:t>
            </w:r>
          </w:p>
        </w:tc>
        <w:tc>
          <w:tcPr>
            <w:tcW w:w="1413" w:type="dxa"/>
            <w:tcBorders>
              <w:top w:val="single" w:sz="4" w:space="0" w:color="auto"/>
              <w:left w:val="nil"/>
              <w:bottom w:val="nil"/>
              <w:right w:val="single" w:sz="4" w:space="0" w:color="auto"/>
            </w:tcBorders>
            <w:shd w:val="clear" w:color="auto" w:fill="70AD47" w:themeFill="accent6"/>
          </w:tcPr>
          <w:p w:rsidR="00CD7572" w:rsidRPr="00CD7572" w:rsidRDefault="0062660D" w:rsidP="00CD7572">
            <w:pPr>
              <w:jc w:val="center"/>
              <w:rPr>
                <w:b/>
                <w:sz w:val="22"/>
                <w:szCs w:val="22"/>
              </w:rPr>
            </w:pPr>
          </w:p>
          <w:p w:rsidR="00CD7572" w:rsidRPr="00CD7572" w:rsidRDefault="0062660D" w:rsidP="00CD7572">
            <w:pPr>
              <w:jc w:val="center"/>
              <w:rPr>
                <w:b/>
                <w:sz w:val="22"/>
                <w:szCs w:val="22"/>
              </w:rPr>
            </w:pPr>
            <w:r w:rsidRPr="00CD7572">
              <w:rPr>
                <w:b/>
                <w:sz w:val="22"/>
                <w:szCs w:val="22"/>
              </w:rPr>
              <w:t>%</w:t>
            </w:r>
          </w:p>
        </w:tc>
      </w:tr>
      <w:tr w:rsidR="006A2C17" w:rsidTr="00E245D6">
        <w:tblPrEx>
          <w:tblBorders>
            <w:insideH w:val="single" w:sz="4" w:space="0" w:color="auto"/>
            <w:insideV w:val="single" w:sz="4" w:space="0" w:color="auto"/>
          </w:tblBorders>
        </w:tblPrEx>
        <w:trPr>
          <w:gridAfter w:val="1"/>
          <w:wAfter w:w="221" w:type="dxa"/>
          <w:trHeight w:val="87"/>
        </w:trPr>
        <w:tc>
          <w:tcPr>
            <w:tcW w:w="3118" w:type="dxa"/>
            <w:gridSpan w:val="2"/>
            <w:tcBorders>
              <w:top w:val="nil"/>
              <w:left w:val="single" w:sz="4" w:space="0" w:color="auto"/>
              <w:bottom w:val="nil"/>
              <w:right w:val="nil"/>
            </w:tcBorders>
            <w:shd w:val="clear" w:color="auto" w:fill="70AD47" w:themeFill="accent6"/>
          </w:tcPr>
          <w:p w:rsidR="00CD7572" w:rsidRPr="00CD7572" w:rsidRDefault="0062660D" w:rsidP="00CD7572">
            <w:pPr>
              <w:rPr>
                <w:b/>
              </w:rPr>
            </w:pPr>
          </w:p>
        </w:tc>
        <w:tc>
          <w:tcPr>
            <w:tcW w:w="2409" w:type="dxa"/>
            <w:gridSpan w:val="5"/>
            <w:tcBorders>
              <w:top w:val="nil"/>
              <w:left w:val="nil"/>
              <w:bottom w:val="nil"/>
              <w:right w:val="nil"/>
            </w:tcBorders>
            <w:shd w:val="clear" w:color="auto" w:fill="70AD47" w:themeFill="accent6"/>
          </w:tcPr>
          <w:p w:rsidR="00CD7572" w:rsidRPr="00CD7572" w:rsidRDefault="0062660D" w:rsidP="00CD7572">
            <w:pPr>
              <w:rPr>
                <w:b/>
              </w:rPr>
            </w:pPr>
          </w:p>
        </w:tc>
        <w:tc>
          <w:tcPr>
            <w:tcW w:w="1278" w:type="dxa"/>
            <w:gridSpan w:val="4"/>
            <w:tcBorders>
              <w:top w:val="nil"/>
              <w:left w:val="nil"/>
              <w:bottom w:val="nil"/>
              <w:right w:val="nil"/>
            </w:tcBorders>
            <w:shd w:val="clear" w:color="auto" w:fill="70AD47" w:themeFill="accent6"/>
          </w:tcPr>
          <w:p w:rsidR="00CD7572" w:rsidRPr="00CD7572" w:rsidRDefault="0062660D" w:rsidP="00CD7572">
            <w:pPr>
              <w:jc w:val="center"/>
              <w:rPr>
                <w:b/>
                <w:sz w:val="22"/>
                <w:szCs w:val="22"/>
              </w:rPr>
            </w:pPr>
            <w:r w:rsidRPr="00CD7572">
              <w:rPr>
                <w:b/>
                <w:sz w:val="22"/>
                <w:szCs w:val="22"/>
              </w:rPr>
              <w:t>£m</w:t>
            </w:r>
          </w:p>
        </w:tc>
        <w:tc>
          <w:tcPr>
            <w:tcW w:w="1275" w:type="dxa"/>
            <w:gridSpan w:val="2"/>
            <w:tcBorders>
              <w:top w:val="nil"/>
              <w:left w:val="nil"/>
              <w:bottom w:val="nil"/>
              <w:right w:val="nil"/>
            </w:tcBorders>
            <w:shd w:val="clear" w:color="auto" w:fill="70AD47" w:themeFill="accent6"/>
          </w:tcPr>
          <w:p w:rsidR="00CD7572" w:rsidRPr="00CD7572" w:rsidRDefault="0062660D" w:rsidP="00CD7572">
            <w:pPr>
              <w:rPr>
                <w:b/>
                <w:sz w:val="22"/>
                <w:szCs w:val="22"/>
              </w:rPr>
            </w:pPr>
          </w:p>
        </w:tc>
        <w:tc>
          <w:tcPr>
            <w:tcW w:w="1564" w:type="dxa"/>
            <w:gridSpan w:val="3"/>
            <w:tcBorders>
              <w:top w:val="nil"/>
              <w:left w:val="nil"/>
              <w:bottom w:val="nil"/>
              <w:right w:val="nil"/>
            </w:tcBorders>
            <w:shd w:val="clear" w:color="auto" w:fill="70AD47" w:themeFill="accent6"/>
          </w:tcPr>
          <w:p w:rsidR="00CD7572" w:rsidRPr="00CD7572" w:rsidRDefault="0062660D" w:rsidP="00CD7572">
            <w:pPr>
              <w:jc w:val="center"/>
              <w:rPr>
                <w:b/>
                <w:sz w:val="22"/>
                <w:szCs w:val="22"/>
              </w:rPr>
            </w:pPr>
            <w:r w:rsidRPr="00CD7572">
              <w:rPr>
                <w:b/>
                <w:sz w:val="22"/>
                <w:szCs w:val="22"/>
              </w:rPr>
              <w:t>£m</w:t>
            </w:r>
          </w:p>
        </w:tc>
        <w:tc>
          <w:tcPr>
            <w:tcW w:w="1413" w:type="dxa"/>
            <w:tcBorders>
              <w:top w:val="nil"/>
              <w:left w:val="nil"/>
              <w:bottom w:val="nil"/>
              <w:right w:val="single" w:sz="4" w:space="0" w:color="auto"/>
            </w:tcBorders>
            <w:shd w:val="clear" w:color="auto" w:fill="70AD47" w:themeFill="accent6"/>
          </w:tcPr>
          <w:p w:rsidR="00CD7572" w:rsidRPr="00CD7572" w:rsidRDefault="0062660D" w:rsidP="00CD7572">
            <w:pPr>
              <w:jc w:val="center"/>
              <w:rPr>
                <w:b/>
                <w:sz w:val="22"/>
                <w:szCs w:val="22"/>
              </w:rPr>
            </w:pPr>
          </w:p>
        </w:tc>
      </w:tr>
      <w:tr w:rsidR="006A2C17" w:rsidTr="00E245D6">
        <w:tblPrEx>
          <w:tblBorders>
            <w:insideH w:val="single" w:sz="4" w:space="0" w:color="auto"/>
            <w:insideV w:val="single" w:sz="4" w:space="0" w:color="auto"/>
          </w:tblBorders>
        </w:tblPrEx>
        <w:trPr>
          <w:gridAfter w:val="1"/>
          <w:wAfter w:w="221" w:type="dxa"/>
        </w:trPr>
        <w:tc>
          <w:tcPr>
            <w:tcW w:w="11057" w:type="dxa"/>
            <w:gridSpan w:val="17"/>
            <w:tcBorders>
              <w:top w:val="single" w:sz="4" w:space="0" w:color="auto"/>
              <w:bottom w:val="single" w:sz="4" w:space="0" w:color="auto"/>
            </w:tcBorders>
            <w:shd w:val="clear" w:color="auto" w:fill="C5E0B3" w:themeFill="accent6" w:themeFillTint="66"/>
          </w:tcPr>
          <w:p w:rsidR="00CD7572" w:rsidRPr="00CD7572" w:rsidRDefault="0062660D" w:rsidP="00CD7572">
            <w:pPr>
              <w:tabs>
                <w:tab w:val="left" w:pos="1080"/>
              </w:tabs>
              <w:spacing w:after="80"/>
              <w:jc w:val="left"/>
              <w:rPr>
                <w:rFonts w:cs="Arial"/>
                <w:sz w:val="22"/>
                <w:szCs w:val="22"/>
              </w:rPr>
            </w:pPr>
            <w:r w:rsidRPr="00CD7572">
              <w:rPr>
                <w:rFonts w:cs="Arial"/>
                <w:b/>
                <w:sz w:val="22"/>
                <w:szCs w:val="22"/>
              </w:rPr>
              <w:t>Public equity</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single" w:sz="4" w:space="0" w:color="auto"/>
              <w:left w:val="single" w:sz="4" w:space="0" w:color="auto"/>
              <w:bottom w:val="nil"/>
              <w:right w:val="nil"/>
            </w:tcBorders>
          </w:tcPr>
          <w:p w:rsidR="00CD7572" w:rsidRPr="00CD7572" w:rsidRDefault="0062660D" w:rsidP="00CD7572">
            <w:pPr>
              <w:tabs>
                <w:tab w:val="left" w:pos="1080"/>
              </w:tabs>
              <w:spacing w:after="80"/>
              <w:rPr>
                <w:rFonts w:cs="Arial"/>
                <w:sz w:val="22"/>
                <w:szCs w:val="22"/>
              </w:rPr>
            </w:pPr>
            <w:r w:rsidRPr="00CD7572">
              <w:rPr>
                <w:rFonts w:cs="Arial"/>
                <w:sz w:val="22"/>
                <w:szCs w:val="22"/>
              </w:rPr>
              <w:t>External managers</w:t>
            </w:r>
          </w:p>
        </w:tc>
        <w:tc>
          <w:tcPr>
            <w:tcW w:w="2839" w:type="dxa"/>
            <w:gridSpan w:val="4"/>
            <w:tcBorders>
              <w:top w:val="single" w:sz="4" w:space="0" w:color="auto"/>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Baillie Gifford</w:t>
            </w:r>
          </w:p>
        </w:tc>
        <w:tc>
          <w:tcPr>
            <w:tcW w:w="1278" w:type="dxa"/>
            <w:gridSpan w:val="5"/>
            <w:tcBorders>
              <w:top w:val="single" w:sz="4" w:space="0" w:color="auto"/>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733.3</w:t>
            </w:r>
          </w:p>
        </w:tc>
        <w:tc>
          <w:tcPr>
            <w:tcW w:w="1275" w:type="dxa"/>
            <w:gridSpan w:val="2"/>
            <w:tcBorders>
              <w:top w:val="single" w:sz="4" w:space="0" w:color="auto"/>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12.1%</w:t>
            </w:r>
          </w:p>
        </w:tc>
        <w:tc>
          <w:tcPr>
            <w:tcW w:w="1560" w:type="dxa"/>
            <w:gridSpan w:val="2"/>
            <w:tcBorders>
              <w:top w:val="single" w:sz="4" w:space="0" w:color="auto"/>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734.1</w:t>
            </w:r>
          </w:p>
        </w:tc>
        <w:tc>
          <w:tcPr>
            <w:tcW w:w="1700" w:type="dxa"/>
            <w:gridSpan w:val="3"/>
            <w:tcBorders>
              <w:top w:val="single" w:sz="4" w:space="0" w:color="auto"/>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12.6%</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MFS</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350.1</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5.8%</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334.2</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5.7%</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Morgan Stanley</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324.6</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5.4%</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283.5</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4.9%</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NGAM</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209.7</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 xml:space="preserve"> 3.5%</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230.8</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4.0%</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proofErr w:type="spellStart"/>
            <w:r w:rsidRPr="00CD7572">
              <w:rPr>
                <w:rFonts w:cs="Arial"/>
                <w:sz w:val="22"/>
                <w:szCs w:val="22"/>
              </w:rPr>
              <w:t>Robeco</w:t>
            </w:r>
            <w:proofErr w:type="spellEnd"/>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496.0</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8.2%</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448.5</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7.7%</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r w:rsidRPr="00CD7572">
              <w:rPr>
                <w:rFonts w:cs="Arial"/>
                <w:sz w:val="22"/>
                <w:szCs w:val="22"/>
              </w:rPr>
              <w:t>UCITS funds</w:t>
            </w: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AGF</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234.5</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3.9%</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266.9</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4.6%</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MFG (Magellan)</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251.2</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4.2%</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238.1</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4.1%</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jc w:val="left"/>
              <w:rPr>
                <w:rFonts w:cs="Arial"/>
                <w:sz w:val="22"/>
                <w:szCs w:val="22"/>
              </w:rPr>
            </w:pPr>
          </w:p>
        </w:tc>
        <w:tc>
          <w:tcPr>
            <w:tcW w:w="1278" w:type="dxa"/>
            <w:gridSpan w:val="5"/>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2,599.4</w:t>
            </w:r>
          </w:p>
        </w:tc>
        <w:tc>
          <w:tcPr>
            <w:tcW w:w="1275" w:type="dxa"/>
            <w:gridSpan w:val="2"/>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43.1%</w:t>
            </w:r>
          </w:p>
        </w:tc>
        <w:tc>
          <w:tcPr>
            <w:tcW w:w="1560" w:type="dxa"/>
            <w:gridSpan w:val="2"/>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2,536.1</w:t>
            </w:r>
          </w:p>
        </w:tc>
        <w:tc>
          <w:tcPr>
            <w:tcW w:w="1700" w:type="dxa"/>
            <w:gridSpan w:val="3"/>
            <w:tcBorders>
              <w:top w:val="nil"/>
              <w:left w:val="nil"/>
              <w:bottom w:val="single" w:sz="4" w:space="0" w:color="auto"/>
              <w:right w:val="single" w:sz="4" w:space="0" w:color="auto"/>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43.6%</w:t>
            </w:r>
          </w:p>
        </w:tc>
      </w:tr>
      <w:tr w:rsidR="006A2C17" w:rsidTr="00E245D6">
        <w:tblPrEx>
          <w:tblBorders>
            <w:insideH w:val="single" w:sz="4" w:space="0" w:color="auto"/>
            <w:insideV w:val="single" w:sz="4" w:space="0" w:color="auto"/>
          </w:tblBorders>
        </w:tblPrEx>
        <w:trPr>
          <w:gridAfter w:val="1"/>
          <w:wAfter w:w="221" w:type="dxa"/>
        </w:trPr>
        <w:tc>
          <w:tcPr>
            <w:tcW w:w="11057" w:type="dxa"/>
            <w:gridSpan w:val="17"/>
            <w:tcBorders>
              <w:top w:val="single" w:sz="4" w:space="0" w:color="auto"/>
              <w:bottom w:val="single" w:sz="4" w:space="0" w:color="auto"/>
            </w:tcBorders>
            <w:shd w:val="clear" w:color="auto" w:fill="C5E0B3" w:themeFill="accent6" w:themeFillTint="66"/>
          </w:tcPr>
          <w:p w:rsidR="00CD7572" w:rsidRPr="00CD7572" w:rsidRDefault="0062660D" w:rsidP="00CD7572">
            <w:pPr>
              <w:tabs>
                <w:tab w:val="left" w:pos="1080"/>
              </w:tabs>
              <w:spacing w:after="80"/>
              <w:jc w:val="left"/>
              <w:rPr>
                <w:rFonts w:cs="Arial"/>
                <w:b/>
                <w:sz w:val="22"/>
                <w:szCs w:val="22"/>
              </w:rPr>
            </w:pPr>
            <w:r w:rsidRPr="00CD7572">
              <w:rPr>
                <w:rFonts w:cs="Arial"/>
                <w:b/>
                <w:sz w:val="22"/>
                <w:szCs w:val="22"/>
              </w:rPr>
              <w:t>Private equity</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single" w:sz="4" w:space="0" w:color="auto"/>
              <w:left w:val="single" w:sz="4" w:space="0" w:color="auto"/>
              <w:bottom w:val="nil"/>
              <w:right w:val="nil"/>
            </w:tcBorders>
            <w:shd w:val="clear" w:color="auto" w:fill="auto"/>
          </w:tcPr>
          <w:p w:rsidR="00CD7572" w:rsidRPr="00CD7572" w:rsidRDefault="0062660D" w:rsidP="00CD7572">
            <w:pPr>
              <w:tabs>
                <w:tab w:val="left" w:pos="1080"/>
              </w:tabs>
              <w:spacing w:after="80"/>
              <w:rPr>
                <w:rFonts w:cs="Arial"/>
                <w:sz w:val="22"/>
                <w:szCs w:val="22"/>
              </w:rPr>
            </w:pPr>
            <w:r w:rsidRPr="00CD7572">
              <w:rPr>
                <w:rFonts w:cs="Arial"/>
                <w:sz w:val="22"/>
                <w:szCs w:val="22"/>
              </w:rPr>
              <w:t>External managers</w:t>
            </w:r>
          </w:p>
        </w:tc>
        <w:tc>
          <w:tcPr>
            <w:tcW w:w="2839" w:type="dxa"/>
            <w:gridSpan w:val="4"/>
            <w:tcBorders>
              <w:top w:val="single" w:sz="4" w:space="0" w:color="auto"/>
              <w:left w:val="nil"/>
              <w:bottom w:val="nil"/>
              <w:right w:val="nil"/>
            </w:tcBorders>
            <w:shd w:val="clear" w:color="auto" w:fill="auto"/>
          </w:tcPr>
          <w:p w:rsidR="00CD7572" w:rsidRPr="00CD7572" w:rsidRDefault="0062660D" w:rsidP="00CD7572">
            <w:pPr>
              <w:tabs>
                <w:tab w:val="left" w:pos="1080"/>
              </w:tabs>
              <w:spacing w:after="80"/>
              <w:jc w:val="left"/>
              <w:rPr>
                <w:rFonts w:cs="Arial"/>
                <w:sz w:val="22"/>
                <w:szCs w:val="22"/>
              </w:rPr>
            </w:pPr>
            <w:r w:rsidRPr="00CD7572">
              <w:rPr>
                <w:rFonts w:cs="Arial"/>
                <w:sz w:val="22"/>
                <w:szCs w:val="22"/>
              </w:rPr>
              <w:t>Capital Dynamics</w:t>
            </w:r>
          </w:p>
        </w:tc>
        <w:tc>
          <w:tcPr>
            <w:tcW w:w="1278" w:type="dxa"/>
            <w:gridSpan w:val="5"/>
            <w:tcBorders>
              <w:top w:val="single" w:sz="4" w:space="0" w:color="auto"/>
              <w:left w:val="nil"/>
              <w:bottom w:val="nil"/>
              <w:right w:val="nil"/>
            </w:tcBorders>
            <w:shd w:val="clear" w:color="auto" w:fill="auto"/>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336.5</w:t>
            </w:r>
          </w:p>
        </w:tc>
        <w:tc>
          <w:tcPr>
            <w:tcW w:w="1275" w:type="dxa"/>
            <w:gridSpan w:val="2"/>
            <w:tcBorders>
              <w:top w:val="single" w:sz="4" w:space="0" w:color="auto"/>
              <w:left w:val="nil"/>
              <w:bottom w:val="nil"/>
              <w:right w:val="nil"/>
            </w:tcBorders>
            <w:shd w:val="clear" w:color="auto" w:fill="auto"/>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5.6%</w:t>
            </w:r>
          </w:p>
        </w:tc>
        <w:tc>
          <w:tcPr>
            <w:tcW w:w="1560" w:type="dxa"/>
            <w:gridSpan w:val="2"/>
            <w:tcBorders>
              <w:top w:val="single" w:sz="4" w:space="0" w:color="auto"/>
              <w:left w:val="nil"/>
              <w:bottom w:val="nil"/>
              <w:right w:val="nil"/>
            </w:tcBorders>
            <w:shd w:val="clear" w:color="auto" w:fill="auto"/>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269.9</w:t>
            </w:r>
          </w:p>
        </w:tc>
        <w:tc>
          <w:tcPr>
            <w:tcW w:w="1700" w:type="dxa"/>
            <w:gridSpan w:val="3"/>
            <w:tcBorders>
              <w:top w:val="single" w:sz="4" w:space="0" w:color="auto"/>
              <w:left w:val="nil"/>
              <w:bottom w:val="nil"/>
              <w:right w:val="single" w:sz="4" w:space="0" w:color="auto"/>
            </w:tcBorders>
            <w:shd w:val="clear" w:color="auto" w:fill="auto"/>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4.7%</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r w:rsidRPr="00CD7572">
              <w:rPr>
                <w:rFonts w:cs="Arial"/>
                <w:sz w:val="22"/>
                <w:szCs w:val="22"/>
              </w:rPr>
              <w:t>Direct</w:t>
            </w:r>
          </w:p>
        </w:tc>
        <w:tc>
          <w:tcPr>
            <w:tcW w:w="2839" w:type="dxa"/>
            <w:gridSpan w:val="4"/>
            <w:tcBorders>
              <w:top w:val="nil"/>
              <w:left w:val="nil"/>
              <w:bottom w:val="nil"/>
              <w:right w:val="nil"/>
            </w:tcBorders>
            <w:shd w:val="clear" w:color="auto" w:fill="auto"/>
          </w:tcPr>
          <w:p w:rsidR="00CD7572" w:rsidRPr="00CD7572" w:rsidRDefault="0062660D" w:rsidP="00CD7572">
            <w:pPr>
              <w:tabs>
                <w:tab w:val="left" w:pos="1080"/>
              </w:tabs>
              <w:spacing w:after="80"/>
              <w:jc w:val="left"/>
              <w:rPr>
                <w:rFonts w:cs="Arial"/>
                <w:sz w:val="22"/>
                <w:szCs w:val="22"/>
                <w:highlight w:val="yellow"/>
              </w:rPr>
            </w:pPr>
            <w:r w:rsidRPr="00CD7572">
              <w:rPr>
                <w:rFonts w:cs="Arial"/>
                <w:sz w:val="22"/>
                <w:szCs w:val="22"/>
              </w:rPr>
              <w:t>Standard Life</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11.7</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0.2%</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7.6</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0.1%</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jc w:val="left"/>
              <w:rPr>
                <w:rFonts w:cs="Arial"/>
                <w:sz w:val="22"/>
                <w:szCs w:val="22"/>
              </w:rPr>
            </w:pPr>
          </w:p>
        </w:tc>
        <w:tc>
          <w:tcPr>
            <w:tcW w:w="1278" w:type="dxa"/>
            <w:gridSpan w:val="5"/>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348.2</w:t>
            </w:r>
          </w:p>
        </w:tc>
        <w:tc>
          <w:tcPr>
            <w:tcW w:w="1275" w:type="dxa"/>
            <w:gridSpan w:val="2"/>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5.8%</w:t>
            </w:r>
          </w:p>
        </w:tc>
        <w:tc>
          <w:tcPr>
            <w:tcW w:w="1560" w:type="dxa"/>
            <w:gridSpan w:val="2"/>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277.5</w:t>
            </w:r>
          </w:p>
        </w:tc>
        <w:tc>
          <w:tcPr>
            <w:tcW w:w="1700" w:type="dxa"/>
            <w:gridSpan w:val="3"/>
            <w:tcBorders>
              <w:top w:val="nil"/>
              <w:left w:val="nil"/>
              <w:bottom w:val="single" w:sz="4" w:space="0" w:color="auto"/>
              <w:right w:val="single" w:sz="4" w:space="0" w:color="auto"/>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4.8%</w:t>
            </w:r>
          </w:p>
        </w:tc>
      </w:tr>
      <w:tr w:rsidR="006A2C17" w:rsidTr="00E245D6">
        <w:tblPrEx>
          <w:tblBorders>
            <w:insideH w:val="single" w:sz="4" w:space="0" w:color="auto"/>
            <w:insideV w:val="single" w:sz="4" w:space="0" w:color="auto"/>
          </w:tblBorders>
        </w:tblPrEx>
        <w:trPr>
          <w:gridAfter w:val="1"/>
          <w:wAfter w:w="221" w:type="dxa"/>
        </w:trPr>
        <w:tc>
          <w:tcPr>
            <w:tcW w:w="11057" w:type="dxa"/>
            <w:gridSpan w:val="17"/>
            <w:tcBorders>
              <w:top w:val="single" w:sz="4" w:space="0" w:color="auto"/>
              <w:bottom w:val="single" w:sz="4" w:space="0" w:color="auto"/>
            </w:tcBorders>
            <w:shd w:val="clear" w:color="auto" w:fill="C5E0B3" w:themeFill="accent6" w:themeFillTint="66"/>
          </w:tcPr>
          <w:p w:rsidR="00CD7572" w:rsidRPr="00CD7572" w:rsidRDefault="0062660D" w:rsidP="00CD7572">
            <w:pPr>
              <w:tabs>
                <w:tab w:val="left" w:pos="1080"/>
              </w:tabs>
              <w:spacing w:after="80"/>
              <w:jc w:val="left"/>
              <w:rPr>
                <w:rFonts w:cs="Arial"/>
                <w:b/>
                <w:sz w:val="22"/>
                <w:szCs w:val="22"/>
              </w:rPr>
            </w:pPr>
            <w:r w:rsidRPr="00CD7572">
              <w:rPr>
                <w:rFonts w:cs="Arial"/>
                <w:b/>
                <w:sz w:val="22"/>
                <w:szCs w:val="22"/>
              </w:rPr>
              <w:t>Long-term credit investments</w:t>
            </w:r>
          </w:p>
        </w:tc>
      </w:tr>
      <w:tr w:rsidR="006A2C17" w:rsidTr="00E245D6">
        <w:tblPrEx>
          <w:tblBorders>
            <w:insideH w:val="single" w:sz="4" w:space="0" w:color="auto"/>
            <w:insideV w:val="single" w:sz="4" w:space="0" w:color="auto"/>
          </w:tblBorders>
        </w:tblPrEx>
        <w:trPr>
          <w:gridAfter w:val="1"/>
          <w:wAfter w:w="221" w:type="dxa"/>
          <w:trHeight w:val="324"/>
        </w:trPr>
        <w:tc>
          <w:tcPr>
            <w:tcW w:w="2405" w:type="dxa"/>
            <w:tcBorders>
              <w:top w:val="single" w:sz="4" w:space="0" w:color="auto"/>
              <w:left w:val="single" w:sz="4" w:space="0" w:color="auto"/>
              <w:bottom w:val="nil"/>
              <w:right w:val="nil"/>
            </w:tcBorders>
          </w:tcPr>
          <w:p w:rsidR="00CD7572" w:rsidRPr="00CD7572" w:rsidRDefault="0062660D" w:rsidP="00CD7572">
            <w:pPr>
              <w:tabs>
                <w:tab w:val="left" w:pos="1080"/>
              </w:tabs>
              <w:spacing w:after="80"/>
              <w:rPr>
                <w:rFonts w:cs="Arial"/>
                <w:sz w:val="22"/>
                <w:szCs w:val="22"/>
              </w:rPr>
            </w:pPr>
            <w:r w:rsidRPr="00CD7572">
              <w:rPr>
                <w:rFonts w:cs="Arial"/>
                <w:sz w:val="22"/>
                <w:szCs w:val="22"/>
              </w:rPr>
              <w:t>Senior secured loans</w:t>
            </w:r>
          </w:p>
        </w:tc>
        <w:tc>
          <w:tcPr>
            <w:tcW w:w="2839" w:type="dxa"/>
            <w:gridSpan w:val="4"/>
            <w:tcBorders>
              <w:top w:val="single" w:sz="4" w:space="0" w:color="auto"/>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Ares Institutional</w:t>
            </w:r>
          </w:p>
        </w:tc>
        <w:tc>
          <w:tcPr>
            <w:tcW w:w="1278" w:type="dxa"/>
            <w:gridSpan w:val="5"/>
            <w:tcBorders>
              <w:top w:val="single" w:sz="4" w:space="0" w:color="auto"/>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56.0</w:t>
            </w:r>
          </w:p>
        </w:tc>
        <w:tc>
          <w:tcPr>
            <w:tcW w:w="1275" w:type="dxa"/>
            <w:gridSpan w:val="2"/>
            <w:tcBorders>
              <w:top w:val="single" w:sz="4" w:space="0" w:color="auto"/>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0.9%</w:t>
            </w:r>
          </w:p>
        </w:tc>
        <w:tc>
          <w:tcPr>
            <w:tcW w:w="1560" w:type="dxa"/>
            <w:gridSpan w:val="2"/>
            <w:tcBorders>
              <w:top w:val="single" w:sz="4" w:space="0" w:color="auto"/>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123.2</w:t>
            </w:r>
          </w:p>
        </w:tc>
        <w:tc>
          <w:tcPr>
            <w:tcW w:w="1700" w:type="dxa"/>
            <w:gridSpan w:val="3"/>
            <w:tcBorders>
              <w:top w:val="single" w:sz="4" w:space="0" w:color="auto"/>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2.1%</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Babson</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74.5</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1.2%</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72.8</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1.3%</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proofErr w:type="spellStart"/>
            <w:r w:rsidRPr="00CD7572">
              <w:rPr>
                <w:rFonts w:cs="Arial"/>
                <w:sz w:val="22"/>
                <w:szCs w:val="22"/>
              </w:rPr>
              <w:t>Hayfin</w:t>
            </w:r>
            <w:proofErr w:type="spellEnd"/>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73.0</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1.2%</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44.2</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0.8%</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Highbridge</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57.1</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1.0%</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 xml:space="preserve">Kreos </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4.9</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0.1%</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Muzinich Private Debt Fund</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5.9</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0.1%</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Permira Credit Solutions</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47.3</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0.8%</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THL</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57.0</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0.9%</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55.8</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1.0%</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White Oak</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18.4</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0.3%</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r>
      <w:tr w:rsidR="006A2C17" w:rsidTr="00E245D6">
        <w:tblPrEx>
          <w:tblBorders>
            <w:insideH w:val="single" w:sz="4" w:space="0" w:color="auto"/>
            <w:insideV w:val="single" w:sz="4" w:space="0" w:color="auto"/>
          </w:tblBorders>
        </w:tblPrEx>
        <w:trPr>
          <w:gridAfter w:val="1"/>
          <w:wAfter w:w="221" w:type="dxa"/>
          <w:trHeight w:val="466"/>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Loans secured on real assets</w:t>
            </w: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Heylo Housing</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83.6</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1.4%</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42.6</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0.7%</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Prima</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214.6</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3.5%</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153.5</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2.6%</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Venn Commercial Real Estate</w:t>
            </w:r>
          </w:p>
        </w:tc>
        <w:tc>
          <w:tcPr>
            <w:tcW w:w="1278" w:type="dxa"/>
            <w:gridSpan w:val="5"/>
            <w:tcBorders>
              <w:top w:val="nil"/>
              <w:left w:val="nil"/>
              <w:bottom w:val="nil"/>
              <w:right w:val="nil"/>
            </w:tcBorders>
          </w:tcPr>
          <w:p w:rsidR="00CD7572" w:rsidRPr="00CD7572" w:rsidRDefault="0062660D" w:rsidP="00CD7572">
            <w:pPr>
              <w:tabs>
                <w:tab w:val="left" w:pos="1080"/>
              </w:tabs>
              <w:spacing w:after="80"/>
              <w:ind w:left="176"/>
              <w:jc w:val="right"/>
              <w:rPr>
                <w:rFonts w:cs="Arial"/>
                <w:sz w:val="22"/>
                <w:szCs w:val="22"/>
              </w:rPr>
            </w:pPr>
            <w:r w:rsidRPr="00CD7572">
              <w:rPr>
                <w:rFonts w:cs="Arial"/>
                <w:sz w:val="22"/>
                <w:szCs w:val="22"/>
              </w:rPr>
              <w:t>83.0</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1.4%</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proofErr w:type="spellStart"/>
            <w:r w:rsidRPr="00CD7572">
              <w:rPr>
                <w:rFonts w:cs="Arial"/>
                <w:sz w:val="22"/>
                <w:szCs w:val="22"/>
              </w:rPr>
              <w:t>Westmill</w:t>
            </w:r>
            <w:proofErr w:type="spellEnd"/>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11.4</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0.2%</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11.7</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0.2%</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r w:rsidRPr="00CD7572">
              <w:rPr>
                <w:rFonts w:cs="Arial"/>
                <w:sz w:val="22"/>
                <w:szCs w:val="22"/>
              </w:rPr>
              <w:t>Emerging market debt</w:t>
            </w: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proofErr w:type="spellStart"/>
            <w:r w:rsidRPr="00CD7572">
              <w:rPr>
                <w:rFonts w:cs="Arial"/>
                <w:sz w:val="22"/>
                <w:szCs w:val="22"/>
              </w:rPr>
              <w:t>Bluebay</w:t>
            </w:r>
            <w:proofErr w:type="spellEnd"/>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125.0</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2.1%</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128.8</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2.2%</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HSBC</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60.0</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1.0%</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58.2</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1.0%</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Investec</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83.1</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1.4%</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83.5</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1.4%</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proofErr w:type="spellStart"/>
            <w:r w:rsidRPr="00CD7572">
              <w:rPr>
                <w:rFonts w:cs="Arial"/>
                <w:sz w:val="22"/>
                <w:szCs w:val="22"/>
              </w:rPr>
              <w:t>Pictet</w:t>
            </w:r>
            <w:proofErr w:type="spellEnd"/>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134.0</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2.2%</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129.6</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2.2%</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r w:rsidRPr="00CD7572">
              <w:rPr>
                <w:rFonts w:cs="Arial"/>
                <w:sz w:val="22"/>
                <w:szCs w:val="22"/>
              </w:rPr>
              <w:t xml:space="preserve">Credit </w:t>
            </w:r>
            <w:r w:rsidRPr="00CD7572">
              <w:rPr>
                <w:rFonts w:cs="Arial"/>
                <w:sz w:val="22"/>
                <w:szCs w:val="22"/>
              </w:rPr>
              <w:t>opportunities</w:t>
            </w: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 xml:space="preserve">CRC- </w:t>
            </w:r>
            <w:proofErr w:type="spellStart"/>
            <w:r w:rsidRPr="00CD7572">
              <w:rPr>
                <w:rFonts w:cs="Arial"/>
                <w:sz w:val="22"/>
                <w:szCs w:val="22"/>
              </w:rPr>
              <w:t>Christofferson</w:t>
            </w:r>
            <w:proofErr w:type="spellEnd"/>
            <w:r w:rsidRPr="00CD7572">
              <w:rPr>
                <w:rFonts w:cs="Arial"/>
                <w:sz w:val="22"/>
                <w:szCs w:val="22"/>
              </w:rPr>
              <w:t xml:space="preserve"> Robb &amp; Co</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89.2</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1.5%</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34.4</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0.6%</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EQT</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53.0</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0.9%</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44.3</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0.8%</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MFO King Street</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109.9</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1.8%</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54.8</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1.0%</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Monarch</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52.4</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0.9%</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53.8</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0.9%</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Neuberger Berman</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54.0</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0.9%</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58.8</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1.0%</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proofErr w:type="spellStart"/>
            <w:r w:rsidRPr="00CD7572">
              <w:rPr>
                <w:rFonts w:cs="Arial"/>
                <w:sz w:val="22"/>
                <w:szCs w:val="22"/>
              </w:rPr>
              <w:t>Pimco</w:t>
            </w:r>
            <w:proofErr w:type="spellEnd"/>
            <w:r w:rsidRPr="00CD7572">
              <w:rPr>
                <w:rFonts w:cs="Arial"/>
                <w:sz w:val="22"/>
                <w:szCs w:val="22"/>
              </w:rPr>
              <w:t xml:space="preserve"> Bravo</w:t>
            </w:r>
          </w:p>
        </w:tc>
        <w:tc>
          <w:tcPr>
            <w:tcW w:w="1278" w:type="dxa"/>
            <w:gridSpan w:val="5"/>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47.6</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0.8%</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28.9</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0.5%</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rPr>
                <w:rFonts w:cs="Arial"/>
                <w:sz w:val="22"/>
                <w:szCs w:val="22"/>
              </w:rPr>
            </w:pPr>
          </w:p>
        </w:tc>
        <w:tc>
          <w:tcPr>
            <w:tcW w:w="1278" w:type="dxa"/>
            <w:gridSpan w:val="5"/>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1,537.8</w:t>
            </w:r>
          </w:p>
        </w:tc>
        <w:tc>
          <w:tcPr>
            <w:tcW w:w="1275" w:type="dxa"/>
            <w:gridSpan w:val="2"/>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25.5%</w:t>
            </w:r>
          </w:p>
        </w:tc>
        <w:tc>
          <w:tcPr>
            <w:tcW w:w="1560" w:type="dxa"/>
            <w:gridSpan w:val="2"/>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1,236.0</w:t>
            </w:r>
          </w:p>
        </w:tc>
        <w:tc>
          <w:tcPr>
            <w:tcW w:w="1700" w:type="dxa"/>
            <w:gridSpan w:val="3"/>
            <w:tcBorders>
              <w:top w:val="nil"/>
              <w:left w:val="nil"/>
              <w:bottom w:val="single" w:sz="4" w:space="0" w:color="auto"/>
              <w:right w:val="single" w:sz="4" w:space="0" w:color="auto"/>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21.3%</w:t>
            </w:r>
          </w:p>
        </w:tc>
      </w:tr>
      <w:tr w:rsidR="006A2C17" w:rsidTr="00E245D6">
        <w:tblPrEx>
          <w:tblBorders>
            <w:insideH w:val="single" w:sz="4" w:space="0" w:color="auto"/>
            <w:insideV w:val="single" w:sz="4" w:space="0" w:color="auto"/>
          </w:tblBorders>
        </w:tblPrEx>
        <w:trPr>
          <w:gridAfter w:val="1"/>
          <w:wAfter w:w="221" w:type="dxa"/>
        </w:trPr>
        <w:tc>
          <w:tcPr>
            <w:tcW w:w="11057" w:type="dxa"/>
            <w:gridSpan w:val="17"/>
            <w:tcBorders>
              <w:top w:val="single" w:sz="4" w:space="0" w:color="auto"/>
              <w:bottom w:val="single" w:sz="4" w:space="0" w:color="auto"/>
            </w:tcBorders>
            <w:shd w:val="clear" w:color="auto" w:fill="C5E0B3" w:themeFill="accent6" w:themeFillTint="66"/>
          </w:tcPr>
          <w:tbl>
            <w:tblPr>
              <w:tblStyle w:val="TableGrid6"/>
              <w:tblW w:w="11458" w:type="dxa"/>
              <w:tblLayout w:type="fixed"/>
              <w:tblLook w:val="04A0" w:firstRow="1" w:lastRow="0" w:firstColumn="1" w:lastColumn="0" w:noHBand="0" w:noVBand="1"/>
            </w:tblPr>
            <w:tblGrid>
              <w:gridCol w:w="3232"/>
              <w:gridCol w:w="2409"/>
              <w:gridCol w:w="1278"/>
              <w:gridCol w:w="1275"/>
              <w:gridCol w:w="1564"/>
              <w:gridCol w:w="1700"/>
            </w:tblGrid>
            <w:tr w:rsidR="006A2C17" w:rsidTr="00E245D6">
              <w:trPr>
                <w:trHeight w:val="550"/>
              </w:trPr>
              <w:tc>
                <w:tcPr>
                  <w:tcW w:w="3232" w:type="dxa"/>
                  <w:tcBorders>
                    <w:top w:val="single" w:sz="4" w:space="0" w:color="auto"/>
                    <w:left w:val="single" w:sz="4" w:space="0" w:color="auto"/>
                    <w:bottom w:val="nil"/>
                    <w:right w:val="nil"/>
                  </w:tcBorders>
                  <w:shd w:val="clear" w:color="auto" w:fill="70AD47" w:themeFill="accent6"/>
                </w:tcPr>
                <w:p w:rsidR="00CD7572" w:rsidRPr="00CD7572" w:rsidRDefault="0062660D" w:rsidP="00CD7572">
                  <w:pPr>
                    <w:rPr>
                      <w:b/>
                    </w:rPr>
                  </w:pPr>
                </w:p>
              </w:tc>
              <w:tc>
                <w:tcPr>
                  <w:tcW w:w="2409" w:type="dxa"/>
                  <w:tcBorders>
                    <w:top w:val="single" w:sz="4" w:space="0" w:color="auto"/>
                    <w:left w:val="nil"/>
                    <w:bottom w:val="nil"/>
                    <w:right w:val="nil"/>
                  </w:tcBorders>
                  <w:shd w:val="clear" w:color="auto" w:fill="70AD47" w:themeFill="accent6"/>
                </w:tcPr>
                <w:p w:rsidR="00CD7572" w:rsidRPr="00CD7572" w:rsidRDefault="0062660D" w:rsidP="00CD7572">
                  <w:pPr>
                    <w:rPr>
                      <w:b/>
                    </w:rPr>
                  </w:pPr>
                </w:p>
              </w:tc>
              <w:tc>
                <w:tcPr>
                  <w:tcW w:w="1278" w:type="dxa"/>
                  <w:tcBorders>
                    <w:top w:val="single" w:sz="4" w:space="0" w:color="auto"/>
                    <w:left w:val="nil"/>
                    <w:bottom w:val="nil"/>
                    <w:right w:val="nil"/>
                  </w:tcBorders>
                  <w:shd w:val="clear" w:color="auto" w:fill="70AD47" w:themeFill="accent6"/>
                </w:tcPr>
                <w:p w:rsidR="00CD7572" w:rsidRPr="00CD7572" w:rsidRDefault="0062660D" w:rsidP="00CD7572">
                  <w:pPr>
                    <w:jc w:val="center"/>
                    <w:rPr>
                      <w:b/>
                      <w:sz w:val="22"/>
                      <w:szCs w:val="22"/>
                    </w:rPr>
                  </w:pPr>
                </w:p>
                <w:p w:rsidR="00CD7572" w:rsidRPr="00CD7572" w:rsidRDefault="0062660D" w:rsidP="00CD7572">
                  <w:pPr>
                    <w:jc w:val="center"/>
                    <w:rPr>
                      <w:b/>
                      <w:sz w:val="22"/>
                      <w:szCs w:val="22"/>
                    </w:rPr>
                  </w:pPr>
                  <w:r w:rsidRPr="00CD7572">
                    <w:rPr>
                      <w:b/>
                      <w:sz w:val="22"/>
                      <w:szCs w:val="22"/>
                    </w:rPr>
                    <w:t>31/3/16</w:t>
                  </w:r>
                </w:p>
              </w:tc>
              <w:tc>
                <w:tcPr>
                  <w:tcW w:w="1275" w:type="dxa"/>
                  <w:tcBorders>
                    <w:top w:val="single" w:sz="4" w:space="0" w:color="auto"/>
                    <w:left w:val="nil"/>
                    <w:bottom w:val="nil"/>
                    <w:right w:val="nil"/>
                  </w:tcBorders>
                  <w:shd w:val="clear" w:color="auto" w:fill="70AD47" w:themeFill="accent6"/>
                </w:tcPr>
                <w:p w:rsidR="00CD7572" w:rsidRPr="00CD7572" w:rsidRDefault="0062660D" w:rsidP="00CD7572">
                  <w:pPr>
                    <w:jc w:val="center"/>
                    <w:rPr>
                      <w:b/>
                      <w:sz w:val="22"/>
                      <w:szCs w:val="22"/>
                    </w:rPr>
                  </w:pPr>
                </w:p>
                <w:p w:rsidR="00CD7572" w:rsidRPr="00CD7572" w:rsidRDefault="0062660D" w:rsidP="00CD7572">
                  <w:pPr>
                    <w:jc w:val="center"/>
                    <w:rPr>
                      <w:b/>
                      <w:sz w:val="22"/>
                      <w:szCs w:val="22"/>
                    </w:rPr>
                  </w:pPr>
                  <w:r w:rsidRPr="00CD7572">
                    <w:rPr>
                      <w:b/>
                      <w:sz w:val="22"/>
                      <w:szCs w:val="22"/>
                    </w:rPr>
                    <w:t>%</w:t>
                  </w:r>
                </w:p>
              </w:tc>
              <w:tc>
                <w:tcPr>
                  <w:tcW w:w="1564" w:type="dxa"/>
                  <w:tcBorders>
                    <w:top w:val="single" w:sz="4" w:space="0" w:color="auto"/>
                    <w:left w:val="nil"/>
                    <w:bottom w:val="nil"/>
                    <w:right w:val="nil"/>
                  </w:tcBorders>
                  <w:shd w:val="clear" w:color="auto" w:fill="70AD47" w:themeFill="accent6"/>
                </w:tcPr>
                <w:p w:rsidR="00CD7572" w:rsidRPr="00CD7572" w:rsidRDefault="0062660D" w:rsidP="00CD7572">
                  <w:pPr>
                    <w:jc w:val="center"/>
                    <w:rPr>
                      <w:b/>
                      <w:sz w:val="22"/>
                      <w:szCs w:val="22"/>
                    </w:rPr>
                  </w:pPr>
                </w:p>
                <w:p w:rsidR="00CD7572" w:rsidRPr="00CD7572" w:rsidRDefault="0062660D" w:rsidP="00CD7572">
                  <w:pPr>
                    <w:jc w:val="center"/>
                    <w:rPr>
                      <w:b/>
                      <w:sz w:val="22"/>
                      <w:szCs w:val="22"/>
                    </w:rPr>
                  </w:pPr>
                  <w:r w:rsidRPr="00CD7572">
                    <w:rPr>
                      <w:b/>
                      <w:sz w:val="22"/>
                      <w:szCs w:val="22"/>
                    </w:rPr>
                    <w:t>31/3/15</w:t>
                  </w:r>
                </w:p>
              </w:tc>
              <w:tc>
                <w:tcPr>
                  <w:tcW w:w="1700" w:type="dxa"/>
                  <w:tcBorders>
                    <w:top w:val="single" w:sz="4" w:space="0" w:color="auto"/>
                    <w:left w:val="nil"/>
                    <w:bottom w:val="nil"/>
                    <w:right w:val="single" w:sz="4" w:space="0" w:color="auto"/>
                  </w:tcBorders>
                  <w:shd w:val="clear" w:color="auto" w:fill="70AD47" w:themeFill="accent6"/>
                </w:tcPr>
                <w:p w:rsidR="00CD7572" w:rsidRPr="00CD7572" w:rsidRDefault="0062660D" w:rsidP="00CD7572">
                  <w:pPr>
                    <w:jc w:val="center"/>
                    <w:rPr>
                      <w:b/>
                      <w:sz w:val="22"/>
                      <w:szCs w:val="22"/>
                    </w:rPr>
                  </w:pPr>
                </w:p>
                <w:p w:rsidR="00CD7572" w:rsidRPr="00CD7572" w:rsidRDefault="0062660D" w:rsidP="00CD7572">
                  <w:pPr>
                    <w:jc w:val="center"/>
                    <w:rPr>
                      <w:b/>
                      <w:sz w:val="22"/>
                      <w:szCs w:val="22"/>
                    </w:rPr>
                  </w:pPr>
                  <w:r w:rsidRPr="00CD7572">
                    <w:rPr>
                      <w:b/>
                      <w:sz w:val="22"/>
                      <w:szCs w:val="22"/>
                    </w:rPr>
                    <w:t>%</w:t>
                  </w:r>
                </w:p>
              </w:tc>
            </w:tr>
            <w:tr w:rsidR="006A2C17" w:rsidTr="00E245D6">
              <w:trPr>
                <w:trHeight w:val="87"/>
              </w:trPr>
              <w:tc>
                <w:tcPr>
                  <w:tcW w:w="3232" w:type="dxa"/>
                  <w:tcBorders>
                    <w:top w:val="nil"/>
                    <w:left w:val="single" w:sz="4" w:space="0" w:color="auto"/>
                    <w:bottom w:val="nil"/>
                    <w:right w:val="nil"/>
                  </w:tcBorders>
                  <w:shd w:val="clear" w:color="auto" w:fill="70AD47" w:themeFill="accent6"/>
                </w:tcPr>
                <w:p w:rsidR="00CD7572" w:rsidRPr="00CD7572" w:rsidRDefault="0062660D" w:rsidP="00CD7572">
                  <w:pPr>
                    <w:rPr>
                      <w:b/>
                    </w:rPr>
                  </w:pPr>
                </w:p>
              </w:tc>
              <w:tc>
                <w:tcPr>
                  <w:tcW w:w="2409" w:type="dxa"/>
                  <w:tcBorders>
                    <w:top w:val="nil"/>
                    <w:left w:val="nil"/>
                    <w:bottom w:val="nil"/>
                    <w:right w:val="nil"/>
                  </w:tcBorders>
                  <w:shd w:val="clear" w:color="auto" w:fill="70AD47" w:themeFill="accent6"/>
                </w:tcPr>
                <w:p w:rsidR="00CD7572" w:rsidRPr="00CD7572" w:rsidRDefault="0062660D" w:rsidP="00CD7572">
                  <w:pPr>
                    <w:rPr>
                      <w:b/>
                    </w:rPr>
                  </w:pPr>
                </w:p>
              </w:tc>
              <w:tc>
                <w:tcPr>
                  <w:tcW w:w="1278" w:type="dxa"/>
                  <w:tcBorders>
                    <w:top w:val="nil"/>
                    <w:left w:val="nil"/>
                    <w:bottom w:val="nil"/>
                    <w:right w:val="nil"/>
                  </w:tcBorders>
                  <w:shd w:val="clear" w:color="auto" w:fill="70AD47" w:themeFill="accent6"/>
                </w:tcPr>
                <w:p w:rsidR="00CD7572" w:rsidRPr="00CD7572" w:rsidRDefault="0062660D" w:rsidP="00CD7572">
                  <w:pPr>
                    <w:jc w:val="center"/>
                    <w:rPr>
                      <w:b/>
                      <w:sz w:val="22"/>
                      <w:szCs w:val="22"/>
                    </w:rPr>
                  </w:pPr>
                  <w:r w:rsidRPr="00CD7572">
                    <w:rPr>
                      <w:b/>
                      <w:sz w:val="22"/>
                      <w:szCs w:val="22"/>
                    </w:rPr>
                    <w:t>£m</w:t>
                  </w:r>
                </w:p>
              </w:tc>
              <w:tc>
                <w:tcPr>
                  <w:tcW w:w="1275" w:type="dxa"/>
                  <w:tcBorders>
                    <w:top w:val="nil"/>
                    <w:left w:val="nil"/>
                    <w:bottom w:val="nil"/>
                    <w:right w:val="nil"/>
                  </w:tcBorders>
                  <w:shd w:val="clear" w:color="auto" w:fill="70AD47" w:themeFill="accent6"/>
                </w:tcPr>
                <w:p w:rsidR="00CD7572" w:rsidRPr="00CD7572" w:rsidRDefault="0062660D" w:rsidP="00CD7572">
                  <w:pPr>
                    <w:rPr>
                      <w:b/>
                      <w:sz w:val="22"/>
                      <w:szCs w:val="22"/>
                    </w:rPr>
                  </w:pPr>
                </w:p>
              </w:tc>
              <w:tc>
                <w:tcPr>
                  <w:tcW w:w="1564" w:type="dxa"/>
                  <w:tcBorders>
                    <w:top w:val="nil"/>
                    <w:left w:val="nil"/>
                    <w:bottom w:val="nil"/>
                    <w:right w:val="nil"/>
                  </w:tcBorders>
                  <w:shd w:val="clear" w:color="auto" w:fill="70AD47" w:themeFill="accent6"/>
                </w:tcPr>
                <w:p w:rsidR="00CD7572" w:rsidRPr="00CD7572" w:rsidRDefault="0062660D" w:rsidP="00CD7572">
                  <w:pPr>
                    <w:jc w:val="center"/>
                    <w:rPr>
                      <w:b/>
                      <w:sz w:val="22"/>
                      <w:szCs w:val="22"/>
                    </w:rPr>
                  </w:pPr>
                  <w:r w:rsidRPr="00CD7572">
                    <w:rPr>
                      <w:b/>
                      <w:sz w:val="22"/>
                      <w:szCs w:val="22"/>
                    </w:rPr>
                    <w:t>£m</w:t>
                  </w:r>
                </w:p>
              </w:tc>
              <w:tc>
                <w:tcPr>
                  <w:tcW w:w="1700" w:type="dxa"/>
                  <w:tcBorders>
                    <w:top w:val="nil"/>
                    <w:left w:val="nil"/>
                    <w:bottom w:val="nil"/>
                    <w:right w:val="single" w:sz="4" w:space="0" w:color="auto"/>
                  </w:tcBorders>
                  <w:shd w:val="clear" w:color="auto" w:fill="70AD47" w:themeFill="accent6"/>
                </w:tcPr>
                <w:p w:rsidR="00CD7572" w:rsidRPr="00CD7572" w:rsidRDefault="0062660D" w:rsidP="00CD7572">
                  <w:pPr>
                    <w:jc w:val="center"/>
                    <w:rPr>
                      <w:b/>
                      <w:sz w:val="22"/>
                      <w:szCs w:val="22"/>
                    </w:rPr>
                  </w:pPr>
                </w:p>
              </w:tc>
            </w:tr>
          </w:tbl>
          <w:p w:rsidR="00CD7572" w:rsidRPr="00CD7572" w:rsidRDefault="0062660D" w:rsidP="00CD7572">
            <w:pPr>
              <w:tabs>
                <w:tab w:val="left" w:pos="1080"/>
              </w:tabs>
              <w:spacing w:after="80"/>
              <w:ind w:left="-108"/>
              <w:jc w:val="left"/>
              <w:rPr>
                <w:rFonts w:cs="Arial"/>
                <w:b/>
                <w:sz w:val="22"/>
                <w:szCs w:val="22"/>
              </w:rPr>
            </w:pPr>
          </w:p>
        </w:tc>
      </w:tr>
      <w:tr w:rsidR="006A2C17" w:rsidTr="00E245D6">
        <w:tblPrEx>
          <w:tblBorders>
            <w:insideH w:val="single" w:sz="4" w:space="0" w:color="auto"/>
            <w:insideV w:val="single" w:sz="4" w:space="0" w:color="auto"/>
          </w:tblBorders>
        </w:tblPrEx>
        <w:trPr>
          <w:gridAfter w:val="1"/>
          <w:wAfter w:w="221" w:type="dxa"/>
        </w:trPr>
        <w:tc>
          <w:tcPr>
            <w:tcW w:w="11057" w:type="dxa"/>
            <w:gridSpan w:val="17"/>
            <w:tcBorders>
              <w:top w:val="single" w:sz="4" w:space="0" w:color="auto"/>
              <w:bottom w:val="single" w:sz="4" w:space="0" w:color="auto"/>
            </w:tcBorders>
            <w:shd w:val="clear" w:color="auto" w:fill="C5E0B3" w:themeFill="accent6" w:themeFillTint="66"/>
          </w:tcPr>
          <w:p w:rsidR="00CD7572" w:rsidRPr="00CD7572" w:rsidRDefault="0062660D" w:rsidP="00CD7572">
            <w:pPr>
              <w:tabs>
                <w:tab w:val="left" w:pos="1080"/>
              </w:tabs>
              <w:spacing w:after="80"/>
              <w:jc w:val="left"/>
              <w:rPr>
                <w:rFonts w:cs="Arial"/>
                <w:b/>
                <w:sz w:val="22"/>
                <w:szCs w:val="22"/>
              </w:rPr>
            </w:pPr>
            <w:r w:rsidRPr="00CD7572">
              <w:rPr>
                <w:rFonts w:cs="Arial"/>
                <w:b/>
                <w:sz w:val="22"/>
                <w:szCs w:val="22"/>
              </w:rPr>
              <w:t>Liquid credit (cash and bonds)</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r w:rsidRPr="00CD7572">
              <w:rPr>
                <w:rFonts w:cs="Arial"/>
                <w:sz w:val="22"/>
                <w:szCs w:val="22"/>
              </w:rPr>
              <w:t>External managers</w:t>
            </w:r>
          </w:p>
        </w:tc>
        <w:tc>
          <w:tcPr>
            <w:tcW w:w="2698" w:type="dxa"/>
            <w:gridSpan w:val="3"/>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Babson</w:t>
            </w:r>
          </w:p>
        </w:tc>
        <w:tc>
          <w:tcPr>
            <w:tcW w:w="1419" w:type="dxa"/>
            <w:gridSpan w:val="6"/>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226.9</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3.9%</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698" w:type="dxa"/>
            <w:gridSpan w:val="3"/>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ING</w:t>
            </w:r>
          </w:p>
        </w:tc>
        <w:tc>
          <w:tcPr>
            <w:tcW w:w="1419" w:type="dxa"/>
            <w:gridSpan w:val="6"/>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181.9</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3.1%</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698" w:type="dxa"/>
            <w:gridSpan w:val="3"/>
            <w:tcBorders>
              <w:top w:val="nil"/>
              <w:left w:val="nil"/>
              <w:bottom w:val="nil"/>
              <w:right w:val="nil"/>
            </w:tcBorders>
          </w:tcPr>
          <w:p w:rsidR="00CD7572" w:rsidRPr="00CD7572" w:rsidRDefault="0062660D" w:rsidP="00CD7572">
            <w:pPr>
              <w:tabs>
                <w:tab w:val="left" w:pos="1080"/>
              </w:tabs>
              <w:spacing w:after="80"/>
              <w:jc w:val="left"/>
              <w:rPr>
                <w:rFonts w:cs="Arial"/>
                <w:sz w:val="22"/>
                <w:szCs w:val="22"/>
                <w:highlight w:val="yellow"/>
              </w:rPr>
            </w:pPr>
            <w:r w:rsidRPr="00CD7572">
              <w:rPr>
                <w:rFonts w:cs="Arial"/>
                <w:sz w:val="22"/>
                <w:szCs w:val="22"/>
              </w:rPr>
              <w:t>In-house</w:t>
            </w:r>
          </w:p>
        </w:tc>
        <w:tc>
          <w:tcPr>
            <w:tcW w:w="1419" w:type="dxa"/>
            <w:gridSpan w:val="6"/>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283.8</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4.7%</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457.0</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7.9%</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rPr>
                <w:rFonts w:cs="Arial"/>
                <w:sz w:val="22"/>
                <w:szCs w:val="22"/>
              </w:rPr>
            </w:pPr>
          </w:p>
        </w:tc>
        <w:tc>
          <w:tcPr>
            <w:tcW w:w="1278" w:type="dxa"/>
            <w:gridSpan w:val="5"/>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283.8</w:t>
            </w:r>
          </w:p>
        </w:tc>
        <w:tc>
          <w:tcPr>
            <w:tcW w:w="1275" w:type="dxa"/>
            <w:gridSpan w:val="2"/>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4.7%</w:t>
            </w:r>
          </w:p>
        </w:tc>
        <w:tc>
          <w:tcPr>
            <w:tcW w:w="1560" w:type="dxa"/>
            <w:gridSpan w:val="2"/>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865.8</w:t>
            </w:r>
          </w:p>
        </w:tc>
        <w:tc>
          <w:tcPr>
            <w:tcW w:w="1700" w:type="dxa"/>
            <w:gridSpan w:val="3"/>
            <w:tcBorders>
              <w:top w:val="nil"/>
              <w:left w:val="nil"/>
              <w:bottom w:val="single" w:sz="4" w:space="0" w:color="auto"/>
              <w:right w:val="single" w:sz="4" w:space="0" w:color="auto"/>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14.9%</w:t>
            </w:r>
          </w:p>
        </w:tc>
      </w:tr>
      <w:tr w:rsidR="006A2C17" w:rsidTr="00E245D6">
        <w:tblPrEx>
          <w:tblBorders>
            <w:insideH w:val="single" w:sz="4" w:space="0" w:color="auto"/>
            <w:insideV w:val="single" w:sz="4" w:space="0" w:color="auto"/>
          </w:tblBorders>
        </w:tblPrEx>
        <w:trPr>
          <w:gridAfter w:val="1"/>
          <w:wAfter w:w="221" w:type="dxa"/>
        </w:trPr>
        <w:tc>
          <w:tcPr>
            <w:tcW w:w="11057" w:type="dxa"/>
            <w:gridSpan w:val="17"/>
            <w:tcBorders>
              <w:bottom w:val="single" w:sz="4" w:space="0" w:color="auto"/>
            </w:tcBorders>
            <w:shd w:val="clear" w:color="auto" w:fill="C5E0B3" w:themeFill="accent6" w:themeFillTint="66"/>
          </w:tcPr>
          <w:p w:rsidR="00CD7572" w:rsidRPr="00CD7572" w:rsidRDefault="0062660D" w:rsidP="00CD7572">
            <w:pPr>
              <w:tabs>
                <w:tab w:val="left" w:pos="1080"/>
              </w:tabs>
              <w:spacing w:after="80"/>
              <w:jc w:val="left"/>
              <w:rPr>
                <w:rFonts w:cs="Arial"/>
                <w:b/>
                <w:sz w:val="22"/>
                <w:szCs w:val="22"/>
              </w:rPr>
            </w:pPr>
            <w:r w:rsidRPr="00CD7572">
              <w:rPr>
                <w:rFonts w:cs="Arial"/>
                <w:b/>
                <w:sz w:val="22"/>
                <w:szCs w:val="22"/>
              </w:rPr>
              <w:t>Infrastructure</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single" w:sz="4" w:space="0" w:color="auto"/>
              <w:left w:val="single" w:sz="4" w:space="0" w:color="auto"/>
              <w:bottom w:val="nil"/>
              <w:right w:val="nil"/>
            </w:tcBorders>
          </w:tcPr>
          <w:p w:rsidR="00CD7572" w:rsidRPr="00CD7572" w:rsidRDefault="0062660D" w:rsidP="00CD7572">
            <w:pPr>
              <w:tabs>
                <w:tab w:val="left" w:pos="1080"/>
              </w:tabs>
              <w:spacing w:after="80"/>
              <w:rPr>
                <w:rFonts w:cs="Arial"/>
                <w:sz w:val="22"/>
                <w:szCs w:val="22"/>
              </w:rPr>
            </w:pPr>
            <w:r w:rsidRPr="00CD7572">
              <w:rPr>
                <w:rFonts w:cs="Arial"/>
                <w:sz w:val="22"/>
                <w:szCs w:val="22"/>
              </w:rPr>
              <w:t>Direct</w:t>
            </w:r>
          </w:p>
        </w:tc>
        <w:tc>
          <w:tcPr>
            <w:tcW w:w="2556" w:type="dxa"/>
            <w:gridSpan w:val="2"/>
            <w:tcBorders>
              <w:top w:val="single" w:sz="4" w:space="0" w:color="auto"/>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Arclight Energy</w:t>
            </w:r>
          </w:p>
        </w:tc>
        <w:tc>
          <w:tcPr>
            <w:tcW w:w="1561" w:type="dxa"/>
            <w:gridSpan w:val="7"/>
            <w:tcBorders>
              <w:top w:val="single" w:sz="4" w:space="0" w:color="auto"/>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62.6</w:t>
            </w:r>
          </w:p>
        </w:tc>
        <w:tc>
          <w:tcPr>
            <w:tcW w:w="1275" w:type="dxa"/>
            <w:gridSpan w:val="2"/>
            <w:tcBorders>
              <w:top w:val="single" w:sz="4" w:space="0" w:color="auto"/>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1.0%</w:t>
            </w:r>
          </w:p>
        </w:tc>
        <w:tc>
          <w:tcPr>
            <w:tcW w:w="1560" w:type="dxa"/>
            <w:gridSpan w:val="2"/>
            <w:tcBorders>
              <w:top w:val="single" w:sz="4" w:space="0" w:color="auto"/>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35.9</w:t>
            </w:r>
          </w:p>
        </w:tc>
        <w:tc>
          <w:tcPr>
            <w:tcW w:w="1700" w:type="dxa"/>
            <w:gridSpan w:val="3"/>
            <w:tcBorders>
              <w:top w:val="single" w:sz="4" w:space="0" w:color="auto"/>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0.6%</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highlight w:val="yellow"/>
              </w:rPr>
            </w:pPr>
          </w:p>
        </w:tc>
        <w:tc>
          <w:tcPr>
            <w:tcW w:w="2556" w:type="dxa"/>
            <w:gridSpan w:val="2"/>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Capital Dynamics Cape Byron</w:t>
            </w:r>
          </w:p>
        </w:tc>
        <w:tc>
          <w:tcPr>
            <w:tcW w:w="1561" w:type="dxa"/>
            <w:gridSpan w:val="7"/>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66.4</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1.1%</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65.6</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1.1%</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highlight w:val="yellow"/>
              </w:rPr>
            </w:pPr>
          </w:p>
        </w:tc>
        <w:tc>
          <w:tcPr>
            <w:tcW w:w="2556" w:type="dxa"/>
            <w:gridSpan w:val="2"/>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Capital Dynamics Clean Energy</w:t>
            </w:r>
          </w:p>
        </w:tc>
        <w:tc>
          <w:tcPr>
            <w:tcW w:w="1561" w:type="dxa"/>
            <w:gridSpan w:val="7"/>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31.7</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0.5%</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32.9</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0.6%</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highlight w:val="yellow"/>
              </w:rPr>
            </w:pPr>
          </w:p>
        </w:tc>
        <w:tc>
          <w:tcPr>
            <w:tcW w:w="2556" w:type="dxa"/>
            <w:gridSpan w:val="2"/>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Capital Dynamics Red Rose</w:t>
            </w:r>
          </w:p>
        </w:tc>
        <w:tc>
          <w:tcPr>
            <w:tcW w:w="1561" w:type="dxa"/>
            <w:gridSpan w:val="7"/>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76.0</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1.3%</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92.8</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1.6%</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highlight w:val="yellow"/>
              </w:rPr>
            </w:pPr>
          </w:p>
        </w:tc>
        <w:tc>
          <w:tcPr>
            <w:tcW w:w="2556" w:type="dxa"/>
            <w:gridSpan w:val="2"/>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Capital Dynamics US Solar</w:t>
            </w:r>
          </w:p>
        </w:tc>
        <w:tc>
          <w:tcPr>
            <w:tcW w:w="1561" w:type="dxa"/>
            <w:gridSpan w:val="7"/>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0.7</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highlight w:val="yellow"/>
              </w:rPr>
            </w:pPr>
          </w:p>
        </w:tc>
        <w:tc>
          <w:tcPr>
            <w:tcW w:w="2556" w:type="dxa"/>
            <w:gridSpan w:val="2"/>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EQT Infrastructure</w:t>
            </w:r>
          </w:p>
        </w:tc>
        <w:tc>
          <w:tcPr>
            <w:tcW w:w="1561" w:type="dxa"/>
            <w:gridSpan w:val="7"/>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9.6</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0.2%</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13.1</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0.2%</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highlight w:val="yellow"/>
              </w:rPr>
            </w:pPr>
          </w:p>
        </w:tc>
        <w:tc>
          <w:tcPr>
            <w:tcW w:w="2556" w:type="dxa"/>
            <w:gridSpan w:val="2"/>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Global Infrastructure Partners</w:t>
            </w:r>
          </w:p>
        </w:tc>
        <w:tc>
          <w:tcPr>
            <w:tcW w:w="1561" w:type="dxa"/>
            <w:gridSpan w:val="7"/>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34.3</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0.6%</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15.9</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0.3%</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highlight w:val="yellow"/>
              </w:rPr>
            </w:pPr>
          </w:p>
        </w:tc>
        <w:tc>
          <w:tcPr>
            <w:tcW w:w="2556" w:type="dxa"/>
            <w:gridSpan w:val="2"/>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Guild Investments Ltd</w:t>
            </w:r>
          </w:p>
        </w:tc>
        <w:tc>
          <w:tcPr>
            <w:tcW w:w="1561" w:type="dxa"/>
            <w:gridSpan w:val="7"/>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70.4</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1.1%</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highlight w:val="yellow"/>
              </w:rPr>
            </w:pPr>
          </w:p>
        </w:tc>
        <w:tc>
          <w:tcPr>
            <w:tcW w:w="2556" w:type="dxa"/>
            <w:gridSpan w:val="2"/>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Highstar Capital</w:t>
            </w:r>
          </w:p>
        </w:tc>
        <w:tc>
          <w:tcPr>
            <w:tcW w:w="1561" w:type="dxa"/>
            <w:gridSpan w:val="7"/>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35.2</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0.6%</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33.4</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0.6%</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highlight w:val="yellow"/>
              </w:rPr>
            </w:pPr>
          </w:p>
        </w:tc>
        <w:tc>
          <w:tcPr>
            <w:tcW w:w="2556" w:type="dxa"/>
            <w:gridSpan w:val="2"/>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Icon Infrastructure</w:t>
            </w:r>
          </w:p>
        </w:tc>
        <w:tc>
          <w:tcPr>
            <w:tcW w:w="1561" w:type="dxa"/>
            <w:gridSpan w:val="7"/>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34.0</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0.6%</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29.8</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0.5%</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highlight w:val="yellow"/>
              </w:rPr>
            </w:pPr>
          </w:p>
        </w:tc>
        <w:tc>
          <w:tcPr>
            <w:tcW w:w="2556" w:type="dxa"/>
            <w:gridSpan w:val="2"/>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ISQ Global Infrastructure</w:t>
            </w:r>
          </w:p>
        </w:tc>
        <w:tc>
          <w:tcPr>
            <w:tcW w:w="1561" w:type="dxa"/>
            <w:gridSpan w:val="7"/>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7.5</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0.1%</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4.3</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0.1%</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highlight w:val="yellow"/>
              </w:rPr>
            </w:pPr>
          </w:p>
        </w:tc>
        <w:tc>
          <w:tcPr>
            <w:tcW w:w="2556" w:type="dxa"/>
            <w:gridSpan w:val="2"/>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proofErr w:type="spellStart"/>
            <w:r w:rsidRPr="00CD7572">
              <w:rPr>
                <w:rFonts w:cs="Arial"/>
                <w:sz w:val="22"/>
                <w:szCs w:val="22"/>
              </w:rPr>
              <w:t>Madrilena</w:t>
            </w:r>
            <w:proofErr w:type="spellEnd"/>
            <w:r w:rsidRPr="00CD7572">
              <w:rPr>
                <w:rFonts w:cs="Arial"/>
                <w:sz w:val="22"/>
                <w:szCs w:val="22"/>
              </w:rPr>
              <w:t xml:space="preserve"> Red de Gas (MRG)</w:t>
            </w:r>
          </w:p>
        </w:tc>
        <w:tc>
          <w:tcPr>
            <w:tcW w:w="1561" w:type="dxa"/>
            <w:gridSpan w:val="7"/>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135.9</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2.3%</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highlight w:val="yellow"/>
              </w:rPr>
            </w:pPr>
          </w:p>
        </w:tc>
        <w:tc>
          <w:tcPr>
            <w:tcW w:w="2556" w:type="dxa"/>
            <w:gridSpan w:val="2"/>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Stonepeak Infrastructure</w:t>
            </w:r>
          </w:p>
        </w:tc>
        <w:tc>
          <w:tcPr>
            <w:tcW w:w="1561" w:type="dxa"/>
            <w:gridSpan w:val="7"/>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5.2</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0.1%</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rPr>
                <w:rFonts w:cs="Arial"/>
                <w:sz w:val="22"/>
                <w:szCs w:val="22"/>
              </w:rPr>
            </w:pPr>
          </w:p>
        </w:tc>
        <w:tc>
          <w:tcPr>
            <w:tcW w:w="2839" w:type="dxa"/>
            <w:gridSpan w:val="4"/>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rPr>
                <w:rFonts w:cs="Arial"/>
                <w:sz w:val="22"/>
                <w:szCs w:val="22"/>
              </w:rPr>
            </w:pPr>
          </w:p>
        </w:tc>
        <w:tc>
          <w:tcPr>
            <w:tcW w:w="1278" w:type="dxa"/>
            <w:gridSpan w:val="5"/>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569.5</w:t>
            </w:r>
          </w:p>
        </w:tc>
        <w:tc>
          <w:tcPr>
            <w:tcW w:w="1275" w:type="dxa"/>
            <w:gridSpan w:val="2"/>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9.5%</w:t>
            </w:r>
          </w:p>
        </w:tc>
        <w:tc>
          <w:tcPr>
            <w:tcW w:w="1560" w:type="dxa"/>
            <w:gridSpan w:val="2"/>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323.7</w:t>
            </w:r>
          </w:p>
        </w:tc>
        <w:tc>
          <w:tcPr>
            <w:tcW w:w="1700" w:type="dxa"/>
            <w:gridSpan w:val="3"/>
            <w:tcBorders>
              <w:top w:val="nil"/>
              <w:left w:val="nil"/>
              <w:bottom w:val="single" w:sz="4" w:space="0" w:color="auto"/>
              <w:right w:val="single" w:sz="4" w:space="0" w:color="auto"/>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5.6%</w:t>
            </w:r>
          </w:p>
        </w:tc>
      </w:tr>
      <w:tr w:rsidR="006A2C17" w:rsidTr="00E245D6">
        <w:tblPrEx>
          <w:tblBorders>
            <w:insideH w:val="single" w:sz="4" w:space="0" w:color="auto"/>
            <w:insideV w:val="single" w:sz="4" w:space="0" w:color="auto"/>
          </w:tblBorders>
        </w:tblPrEx>
        <w:trPr>
          <w:gridAfter w:val="1"/>
          <w:wAfter w:w="221" w:type="dxa"/>
        </w:trPr>
        <w:tc>
          <w:tcPr>
            <w:tcW w:w="11057" w:type="dxa"/>
            <w:gridSpan w:val="17"/>
            <w:tcBorders>
              <w:top w:val="single" w:sz="4" w:space="0" w:color="auto"/>
              <w:bottom w:val="single" w:sz="4" w:space="0" w:color="auto"/>
            </w:tcBorders>
            <w:shd w:val="clear" w:color="auto" w:fill="C5E0B3" w:themeFill="accent6" w:themeFillTint="66"/>
          </w:tcPr>
          <w:p w:rsidR="00CD7572" w:rsidRPr="00CD7572" w:rsidRDefault="0062660D" w:rsidP="00CD7572">
            <w:pPr>
              <w:tabs>
                <w:tab w:val="left" w:pos="1080"/>
              </w:tabs>
              <w:spacing w:after="80"/>
              <w:jc w:val="left"/>
              <w:rPr>
                <w:rFonts w:cs="Arial"/>
                <w:sz w:val="22"/>
                <w:szCs w:val="22"/>
              </w:rPr>
            </w:pPr>
            <w:r w:rsidRPr="00CD7572">
              <w:rPr>
                <w:rFonts w:cs="Arial"/>
                <w:b/>
                <w:sz w:val="22"/>
                <w:szCs w:val="22"/>
              </w:rPr>
              <w:t>Property</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single" w:sz="4" w:space="0" w:color="auto"/>
              <w:left w:val="single" w:sz="4" w:space="0" w:color="auto"/>
              <w:bottom w:val="nil"/>
              <w:right w:val="nil"/>
            </w:tcBorders>
          </w:tcPr>
          <w:p w:rsidR="00CD7572" w:rsidRPr="00CD7572" w:rsidRDefault="0062660D" w:rsidP="00CD7572">
            <w:pPr>
              <w:tabs>
                <w:tab w:val="left" w:pos="1080"/>
              </w:tabs>
              <w:spacing w:after="80"/>
              <w:rPr>
                <w:rFonts w:cs="Arial"/>
                <w:sz w:val="22"/>
                <w:szCs w:val="22"/>
              </w:rPr>
            </w:pPr>
            <w:r w:rsidRPr="00CD7572">
              <w:rPr>
                <w:rFonts w:cs="Arial"/>
                <w:sz w:val="22"/>
                <w:szCs w:val="22"/>
              </w:rPr>
              <w:t>Direct</w:t>
            </w:r>
          </w:p>
        </w:tc>
        <w:tc>
          <w:tcPr>
            <w:tcW w:w="2698" w:type="dxa"/>
            <w:gridSpan w:val="3"/>
            <w:tcBorders>
              <w:top w:val="single" w:sz="4" w:space="0" w:color="auto"/>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Knight Frank</w:t>
            </w:r>
          </w:p>
        </w:tc>
        <w:tc>
          <w:tcPr>
            <w:tcW w:w="1419" w:type="dxa"/>
            <w:gridSpan w:val="6"/>
            <w:tcBorders>
              <w:top w:val="single" w:sz="4" w:space="0" w:color="auto"/>
              <w:left w:val="nil"/>
              <w:bottom w:val="nil"/>
              <w:right w:val="nil"/>
            </w:tcBorders>
          </w:tcPr>
          <w:p w:rsidR="00CD7572" w:rsidRPr="00CD7572" w:rsidRDefault="0062660D" w:rsidP="00CD7572">
            <w:pPr>
              <w:tabs>
                <w:tab w:val="left" w:pos="1593"/>
              </w:tabs>
              <w:spacing w:after="80"/>
              <w:jc w:val="right"/>
              <w:rPr>
                <w:rFonts w:cs="Arial"/>
                <w:sz w:val="22"/>
                <w:szCs w:val="22"/>
              </w:rPr>
            </w:pPr>
            <w:r w:rsidRPr="00CD7572">
              <w:rPr>
                <w:rFonts w:cs="Arial"/>
                <w:sz w:val="22"/>
                <w:szCs w:val="22"/>
              </w:rPr>
              <w:t xml:space="preserve">  608.1</w:t>
            </w:r>
          </w:p>
        </w:tc>
        <w:tc>
          <w:tcPr>
            <w:tcW w:w="1275" w:type="dxa"/>
            <w:gridSpan w:val="2"/>
            <w:tcBorders>
              <w:top w:val="single" w:sz="4" w:space="0" w:color="auto"/>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10.1%</w:t>
            </w:r>
          </w:p>
        </w:tc>
        <w:tc>
          <w:tcPr>
            <w:tcW w:w="1560" w:type="dxa"/>
            <w:gridSpan w:val="2"/>
            <w:tcBorders>
              <w:top w:val="single" w:sz="4" w:space="0" w:color="auto"/>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531.4</w:t>
            </w:r>
          </w:p>
        </w:tc>
        <w:tc>
          <w:tcPr>
            <w:tcW w:w="1700" w:type="dxa"/>
            <w:gridSpan w:val="3"/>
            <w:tcBorders>
              <w:top w:val="single" w:sz="4" w:space="0" w:color="auto"/>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9.1%</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r w:rsidRPr="00CD7572">
              <w:rPr>
                <w:rFonts w:cs="Arial"/>
                <w:sz w:val="22"/>
                <w:szCs w:val="22"/>
              </w:rPr>
              <w:t>Indirect</w:t>
            </w:r>
          </w:p>
        </w:tc>
        <w:tc>
          <w:tcPr>
            <w:tcW w:w="2698" w:type="dxa"/>
            <w:gridSpan w:val="3"/>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Gatefold Hayes</w:t>
            </w:r>
          </w:p>
        </w:tc>
        <w:tc>
          <w:tcPr>
            <w:tcW w:w="1419" w:type="dxa"/>
            <w:gridSpan w:val="6"/>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30.4</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0.5%</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12.9</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0.2%</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698" w:type="dxa"/>
            <w:gridSpan w:val="3"/>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 xml:space="preserve">Kames Target </w:t>
            </w:r>
          </w:p>
        </w:tc>
        <w:tc>
          <w:tcPr>
            <w:tcW w:w="1419" w:type="dxa"/>
            <w:gridSpan w:val="6"/>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14.0</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0.2%</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0.0%</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nil"/>
              <w:right w:val="nil"/>
            </w:tcBorders>
          </w:tcPr>
          <w:p w:rsidR="00CD7572" w:rsidRPr="00CD7572" w:rsidRDefault="0062660D" w:rsidP="00CD7572">
            <w:pPr>
              <w:tabs>
                <w:tab w:val="left" w:pos="1080"/>
              </w:tabs>
              <w:spacing w:after="80"/>
              <w:rPr>
                <w:rFonts w:cs="Arial"/>
                <w:sz w:val="22"/>
                <w:szCs w:val="22"/>
              </w:rPr>
            </w:pPr>
          </w:p>
        </w:tc>
        <w:tc>
          <w:tcPr>
            <w:tcW w:w="2698" w:type="dxa"/>
            <w:gridSpan w:val="3"/>
            <w:tcBorders>
              <w:top w:val="nil"/>
              <w:left w:val="nil"/>
              <w:bottom w:val="nil"/>
              <w:right w:val="nil"/>
            </w:tcBorders>
          </w:tcPr>
          <w:p w:rsidR="00CD7572" w:rsidRPr="00CD7572" w:rsidRDefault="0062660D" w:rsidP="00CD7572">
            <w:pPr>
              <w:tabs>
                <w:tab w:val="left" w:pos="1080"/>
              </w:tabs>
              <w:spacing w:after="80"/>
              <w:jc w:val="left"/>
              <w:rPr>
                <w:rFonts w:cs="Arial"/>
                <w:sz w:val="22"/>
                <w:szCs w:val="22"/>
              </w:rPr>
            </w:pPr>
            <w:r w:rsidRPr="00CD7572">
              <w:rPr>
                <w:rFonts w:cs="Arial"/>
                <w:sz w:val="22"/>
                <w:szCs w:val="22"/>
              </w:rPr>
              <w:t>M&amp;G Europe fund</w:t>
            </w:r>
          </w:p>
        </w:tc>
        <w:tc>
          <w:tcPr>
            <w:tcW w:w="1419" w:type="dxa"/>
            <w:gridSpan w:val="6"/>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36.1</w:t>
            </w:r>
          </w:p>
        </w:tc>
        <w:tc>
          <w:tcPr>
            <w:tcW w:w="1275"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0.6%</w:t>
            </w:r>
          </w:p>
        </w:tc>
        <w:tc>
          <w:tcPr>
            <w:tcW w:w="1560" w:type="dxa"/>
            <w:gridSpan w:val="2"/>
            <w:tcBorders>
              <w:top w:val="nil"/>
              <w:left w:val="nil"/>
              <w:bottom w:val="nil"/>
              <w:right w:val="nil"/>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30.1</w:t>
            </w:r>
          </w:p>
        </w:tc>
        <w:tc>
          <w:tcPr>
            <w:tcW w:w="1700" w:type="dxa"/>
            <w:gridSpan w:val="3"/>
            <w:tcBorders>
              <w:top w:val="nil"/>
              <w:left w:val="nil"/>
              <w:bottom w:val="nil"/>
              <w:right w:val="single" w:sz="4" w:space="0" w:color="auto"/>
            </w:tcBorders>
          </w:tcPr>
          <w:p w:rsidR="00CD7572" w:rsidRPr="00CD7572" w:rsidRDefault="0062660D" w:rsidP="00CD7572">
            <w:pPr>
              <w:tabs>
                <w:tab w:val="left" w:pos="1080"/>
              </w:tabs>
              <w:spacing w:after="80"/>
              <w:jc w:val="right"/>
              <w:rPr>
                <w:rFonts w:cs="Arial"/>
                <w:sz w:val="22"/>
                <w:szCs w:val="22"/>
              </w:rPr>
            </w:pPr>
            <w:r w:rsidRPr="00CD7572">
              <w:rPr>
                <w:rFonts w:cs="Arial"/>
                <w:sz w:val="22"/>
                <w:szCs w:val="22"/>
              </w:rPr>
              <w:t>0.5%</w:t>
            </w:r>
          </w:p>
        </w:tc>
      </w:tr>
      <w:tr w:rsidR="006A2C17" w:rsidTr="00E245D6">
        <w:tblPrEx>
          <w:tblBorders>
            <w:insideH w:val="single" w:sz="4" w:space="0" w:color="auto"/>
            <w:insideV w:val="single" w:sz="4" w:space="0" w:color="auto"/>
          </w:tblBorders>
        </w:tblPrEx>
        <w:trPr>
          <w:gridAfter w:val="1"/>
          <w:wAfter w:w="221" w:type="dxa"/>
        </w:trPr>
        <w:tc>
          <w:tcPr>
            <w:tcW w:w="2405" w:type="dxa"/>
            <w:tcBorders>
              <w:top w:val="nil"/>
              <w:left w:val="single" w:sz="4" w:space="0" w:color="auto"/>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rPr>
                <w:rFonts w:cs="Arial"/>
                <w:sz w:val="22"/>
                <w:szCs w:val="22"/>
              </w:rPr>
            </w:pPr>
          </w:p>
        </w:tc>
        <w:tc>
          <w:tcPr>
            <w:tcW w:w="3265" w:type="dxa"/>
            <w:gridSpan w:val="7"/>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rPr>
                <w:rFonts w:cs="Arial"/>
                <w:sz w:val="22"/>
                <w:szCs w:val="22"/>
              </w:rPr>
            </w:pPr>
          </w:p>
        </w:tc>
        <w:tc>
          <w:tcPr>
            <w:tcW w:w="852" w:type="dxa"/>
            <w:gridSpan w:val="2"/>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688.6</w:t>
            </w:r>
          </w:p>
        </w:tc>
        <w:tc>
          <w:tcPr>
            <w:tcW w:w="1275" w:type="dxa"/>
            <w:gridSpan w:val="2"/>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11.4%</w:t>
            </w:r>
          </w:p>
        </w:tc>
        <w:tc>
          <w:tcPr>
            <w:tcW w:w="1560" w:type="dxa"/>
            <w:gridSpan w:val="2"/>
            <w:tcBorders>
              <w:top w:val="nil"/>
              <w:left w:val="nil"/>
              <w:bottom w:val="single" w:sz="4" w:space="0" w:color="auto"/>
              <w:right w:val="nil"/>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574.4</w:t>
            </w:r>
          </w:p>
        </w:tc>
        <w:tc>
          <w:tcPr>
            <w:tcW w:w="1700" w:type="dxa"/>
            <w:gridSpan w:val="3"/>
            <w:tcBorders>
              <w:top w:val="nil"/>
              <w:left w:val="nil"/>
              <w:bottom w:val="single" w:sz="4" w:space="0" w:color="auto"/>
              <w:right w:val="single" w:sz="4" w:space="0" w:color="auto"/>
            </w:tcBorders>
            <w:shd w:val="clear" w:color="auto" w:fill="E2EFD9" w:themeFill="accent6" w:themeFillTint="33"/>
          </w:tcPr>
          <w:p w:rsidR="00CD7572" w:rsidRPr="00CD7572" w:rsidRDefault="0062660D" w:rsidP="00CD7572">
            <w:pPr>
              <w:tabs>
                <w:tab w:val="left" w:pos="1080"/>
              </w:tabs>
              <w:spacing w:after="80"/>
              <w:jc w:val="right"/>
              <w:rPr>
                <w:rFonts w:cs="Arial"/>
                <w:b/>
                <w:sz w:val="22"/>
                <w:szCs w:val="22"/>
              </w:rPr>
            </w:pPr>
            <w:r w:rsidRPr="00CD7572">
              <w:rPr>
                <w:rFonts w:cs="Arial"/>
                <w:b/>
                <w:sz w:val="22"/>
                <w:szCs w:val="22"/>
              </w:rPr>
              <w:t>9.8%</w:t>
            </w:r>
          </w:p>
        </w:tc>
      </w:tr>
      <w:tr w:rsidR="006A2C17" w:rsidTr="00E245D6">
        <w:tblPrEx>
          <w:tblBorders>
            <w:insideH w:val="single" w:sz="4" w:space="0" w:color="auto"/>
            <w:insideV w:val="single" w:sz="4" w:space="0" w:color="auto"/>
          </w:tblBorders>
        </w:tblPrEx>
        <w:trPr>
          <w:gridAfter w:val="1"/>
          <w:wAfter w:w="221" w:type="dxa"/>
          <w:trHeight w:val="554"/>
        </w:trPr>
        <w:tc>
          <w:tcPr>
            <w:tcW w:w="2405" w:type="dxa"/>
            <w:tcBorders>
              <w:top w:val="single" w:sz="4" w:space="0" w:color="auto"/>
              <w:left w:val="single" w:sz="4" w:space="0" w:color="auto"/>
              <w:bottom w:val="single" w:sz="4" w:space="0" w:color="auto"/>
              <w:right w:val="nil"/>
            </w:tcBorders>
            <w:shd w:val="clear" w:color="auto" w:fill="70AD47" w:themeFill="accent6"/>
          </w:tcPr>
          <w:p w:rsidR="00CD7572" w:rsidRPr="00CD7572" w:rsidRDefault="0062660D" w:rsidP="00CD7572">
            <w:pPr>
              <w:tabs>
                <w:tab w:val="left" w:pos="1080"/>
              </w:tabs>
              <w:spacing w:after="80"/>
              <w:rPr>
                <w:b/>
                <w:sz w:val="22"/>
                <w:szCs w:val="22"/>
              </w:rPr>
            </w:pPr>
            <w:r w:rsidRPr="00CD7572">
              <w:rPr>
                <w:b/>
                <w:sz w:val="22"/>
                <w:szCs w:val="22"/>
              </w:rPr>
              <w:t>Portfolio Value</w:t>
            </w:r>
          </w:p>
        </w:tc>
        <w:tc>
          <w:tcPr>
            <w:tcW w:w="2698" w:type="dxa"/>
            <w:gridSpan w:val="3"/>
            <w:tcBorders>
              <w:top w:val="single" w:sz="4" w:space="0" w:color="auto"/>
              <w:left w:val="nil"/>
              <w:bottom w:val="single" w:sz="4" w:space="0" w:color="auto"/>
              <w:right w:val="nil"/>
            </w:tcBorders>
            <w:shd w:val="clear" w:color="auto" w:fill="70AD47" w:themeFill="accent6"/>
          </w:tcPr>
          <w:p w:rsidR="00CD7572" w:rsidRPr="00CD7572" w:rsidRDefault="0062660D" w:rsidP="00CD7572">
            <w:pPr>
              <w:tabs>
                <w:tab w:val="left" w:pos="1080"/>
              </w:tabs>
              <w:spacing w:after="80"/>
              <w:rPr>
                <w:b/>
                <w:sz w:val="22"/>
                <w:szCs w:val="22"/>
              </w:rPr>
            </w:pPr>
          </w:p>
        </w:tc>
        <w:tc>
          <w:tcPr>
            <w:tcW w:w="1419" w:type="dxa"/>
            <w:gridSpan w:val="6"/>
            <w:tcBorders>
              <w:top w:val="single" w:sz="4" w:space="0" w:color="auto"/>
              <w:left w:val="nil"/>
              <w:bottom w:val="single" w:sz="4" w:space="0" w:color="auto"/>
              <w:right w:val="nil"/>
            </w:tcBorders>
            <w:shd w:val="clear" w:color="auto" w:fill="70AD47" w:themeFill="accent6"/>
          </w:tcPr>
          <w:p w:rsidR="00CD7572" w:rsidRPr="00CD7572" w:rsidRDefault="0062660D" w:rsidP="00CD7572">
            <w:pPr>
              <w:tabs>
                <w:tab w:val="left" w:pos="1080"/>
              </w:tabs>
              <w:spacing w:after="80"/>
              <w:jc w:val="right"/>
              <w:rPr>
                <w:b/>
                <w:sz w:val="22"/>
                <w:szCs w:val="22"/>
              </w:rPr>
            </w:pPr>
            <w:r w:rsidRPr="00CD7572">
              <w:rPr>
                <w:b/>
                <w:sz w:val="22"/>
                <w:szCs w:val="22"/>
              </w:rPr>
              <w:t>6,027.3</w:t>
            </w:r>
          </w:p>
        </w:tc>
        <w:tc>
          <w:tcPr>
            <w:tcW w:w="1275" w:type="dxa"/>
            <w:gridSpan w:val="2"/>
            <w:tcBorders>
              <w:top w:val="single" w:sz="4" w:space="0" w:color="auto"/>
              <w:left w:val="nil"/>
              <w:bottom w:val="single" w:sz="4" w:space="0" w:color="auto"/>
              <w:right w:val="nil"/>
            </w:tcBorders>
            <w:shd w:val="clear" w:color="auto" w:fill="70AD47" w:themeFill="accent6"/>
          </w:tcPr>
          <w:p w:rsidR="00CD7572" w:rsidRPr="00CD7572" w:rsidRDefault="0062660D" w:rsidP="00CD7572">
            <w:pPr>
              <w:tabs>
                <w:tab w:val="left" w:pos="1080"/>
              </w:tabs>
              <w:spacing w:after="80"/>
              <w:jc w:val="right"/>
              <w:rPr>
                <w:b/>
                <w:sz w:val="22"/>
                <w:szCs w:val="22"/>
              </w:rPr>
            </w:pPr>
            <w:r w:rsidRPr="00CD7572">
              <w:rPr>
                <w:b/>
                <w:sz w:val="22"/>
                <w:szCs w:val="22"/>
              </w:rPr>
              <w:t>100.0%</w:t>
            </w:r>
          </w:p>
        </w:tc>
        <w:tc>
          <w:tcPr>
            <w:tcW w:w="1560" w:type="dxa"/>
            <w:gridSpan w:val="2"/>
            <w:tcBorders>
              <w:top w:val="single" w:sz="4" w:space="0" w:color="auto"/>
              <w:left w:val="nil"/>
              <w:bottom w:val="single" w:sz="4" w:space="0" w:color="auto"/>
              <w:right w:val="nil"/>
            </w:tcBorders>
            <w:shd w:val="clear" w:color="auto" w:fill="70AD47" w:themeFill="accent6"/>
          </w:tcPr>
          <w:p w:rsidR="00CD7572" w:rsidRPr="00CD7572" w:rsidRDefault="0062660D" w:rsidP="00CD7572">
            <w:pPr>
              <w:tabs>
                <w:tab w:val="left" w:pos="918"/>
              </w:tabs>
              <w:spacing w:after="80"/>
              <w:jc w:val="right"/>
              <w:rPr>
                <w:b/>
                <w:sz w:val="22"/>
                <w:szCs w:val="22"/>
              </w:rPr>
            </w:pPr>
            <w:r w:rsidRPr="00CD7572">
              <w:rPr>
                <w:b/>
                <w:sz w:val="22"/>
                <w:szCs w:val="22"/>
              </w:rPr>
              <w:t>5,813.5</w:t>
            </w:r>
          </w:p>
        </w:tc>
        <w:tc>
          <w:tcPr>
            <w:tcW w:w="1700" w:type="dxa"/>
            <w:gridSpan w:val="3"/>
            <w:tcBorders>
              <w:top w:val="single" w:sz="4" w:space="0" w:color="auto"/>
              <w:left w:val="nil"/>
              <w:bottom w:val="single" w:sz="4" w:space="0" w:color="auto"/>
              <w:right w:val="single" w:sz="4" w:space="0" w:color="auto"/>
            </w:tcBorders>
            <w:shd w:val="clear" w:color="auto" w:fill="70AD47" w:themeFill="accent6"/>
          </w:tcPr>
          <w:p w:rsidR="00CD7572" w:rsidRPr="00CD7572" w:rsidRDefault="0062660D" w:rsidP="00CD7572">
            <w:pPr>
              <w:tabs>
                <w:tab w:val="left" w:pos="1080"/>
              </w:tabs>
              <w:spacing w:after="80"/>
              <w:ind w:left="-108"/>
              <w:jc w:val="right"/>
              <w:rPr>
                <w:b/>
                <w:sz w:val="22"/>
                <w:szCs w:val="22"/>
              </w:rPr>
            </w:pPr>
            <w:r w:rsidRPr="00CD7572">
              <w:rPr>
                <w:b/>
                <w:sz w:val="22"/>
                <w:szCs w:val="22"/>
              </w:rPr>
              <w:t>100.0%</w:t>
            </w:r>
          </w:p>
        </w:tc>
      </w:tr>
    </w:tbl>
    <w:tbl>
      <w:tblPr>
        <w:tblStyle w:val="TableGrid1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6A2C17" w:rsidTr="00E245D6">
        <w:tc>
          <w:tcPr>
            <w:tcW w:w="5058" w:type="dxa"/>
          </w:tcPr>
          <w:p w:rsidR="00CD7572" w:rsidRPr="00CD7572" w:rsidRDefault="0062660D" w:rsidP="00CD7572">
            <w:pPr>
              <w:spacing w:after="0"/>
              <w:rPr>
                <w:rFonts w:ascii="Arial" w:hAnsi="Arial" w:cs="Arial"/>
                <w:b/>
              </w:rPr>
            </w:pPr>
          </w:p>
          <w:p w:rsidR="00CD7572" w:rsidRPr="00CD7572" w:rsidRDefault="0062660D" w:rsidP="00CD7572">
            <w:pPr>
              <w:spacing w:after="0"/>
              <w:rPr>
                <w:rFonts w:ascii="Arial" w:hAnsi="Arial" w:cs="Arial"/>
                <w:b/>
              </w:rPr>
            </w:pPr>
          </w:p>
          <w:p w:rsidR="00CD7572" w:rsidRPr="00CD7572" w:rsidRDefault="0062660D" w:rsidP="00CD7572">
            <w:pPr>
              <w:spacing w:after="0"/>
              <w:rPr>
                <w:rFonts w:ascii="Arial" w:hAnsi="Arial" w:cs="Arial"/>
                <w:b/>
              </w:rPr>
            </w:pPr>
          </w:p>
          <w:p w:rsidR="00CD7572" w:rsidRPr="00CD7572" w:rsidRDefault="0062660D" w:rsidP="00CD7572">
            <w:pPr>
              <w:spacing w:after="0"/>
              <w:rPr>
                <w:rFonts w:ascii="Arial" w:hAnsi="Arial" w:cs="Arial"/>
                <w:b/>
              </w:rPr>
            </w:pPr>
          </w:p>
        </w:tc>
        <w:tc>
          <w:tcPr>
            <w:tcW w:w="1559" w:type="dxa"/>
          </w:tcPr>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r w:rsidRPr="00CD7572">
              <w:rPr>
                <w:rFonts w:ascii="Arial" w:hAnsi="Arial" w:cs="Arial"/>
                <w:b/>
              </w:rPr>
              <w:t>31/03/16</w:t>
            </w:r>
          </w:p>
          <w:p w:rsidR="00CD7572" w:rsidRPr="00CD7572" w:rsidRDefault="0062660D" w:rsidP="00CD7572">
            <w:pPr>
              <w:spacing w:after="0"/>
              <w:jc w:val="right"/>
              <w:rPr>
                <w:rFonts w:ascii="Arial" w:hAnsi="Arial" w:cs="Arial"/>
                <w:b/>
              </w:rPr>
            </w:pPr>
            <w:r w:rsidRPr="00CD7572">
              <w:rPr>
                <w:rFonts w:ascii="Arial" w:hAnsi="Arial" w:cs="Arial"/>
                <w:b/>
              </w:rPr>
              <w:t>£m</w:t>
            </w:r>
          </w:p>
        </w:tc>
        <w:tc>
          <w:tcPr>
            <w:tcW w:w="430" w:type="dxa"/>
            <w:tcBorders>
              <w:right w:val="single" w:sz="4" w:space="0" w:color="FFFFFF" w:themeColor="background1"/>
            </w:tcBorders>
          </w:tcPr>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p>
        </w:tc>
        <w:tc>
          <w:tcPr>
            <w:tcW w:w="1696" w:type="dxa"/>
            <w:tcBorders>
              <w:left w:val="single" w:sz="4" w:space="0" w:color="FFFFFF" w:themeColor="background1"/>
            </w:tcBorders>
          </w:tcPr>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r w:rsidRPr="00CD7572">
              <w:rPr>
                <w:rFonts w:ascii="Arial" w:hAnsi="Arial" w:cs="Arial"/>
                <w:b/>
              </w:rPr>
              <w:t>31/03/15</w:t>
            </w:r>
          </w:p>
          <w:p w:rsidR="00CD7572" w:rsidRPr="00CD7572" w:rsidRDefault="0062660D" w:rsidP="00CD7572">
            <w:pPr>
              <w:spacing w:after="0"/>
              <w:jc w:val="right"/>
              <w:rPr>
                <w:rFonts w:ascii="Arial" w:hAnsi="Arial" w:cs="Arial"/>
                <w:b/>
              </w:rPr>
            </w:pPr>
            <w:r w:rsidRPr="00CD7572">
              <w:rPr>
                <w:rFonts w:ascii="Arial" w:hAnsi="Arial" w:cs="Arial"/>
                <w:b/>
              </w:rPr>
              <w:t>£m</w:t>
            </w:r>
          </w:p>
        </w:tc>
      </w:tr>
      <w:tr w:rsidR="006A2C17" w:rsidTr="00E245D6">
        <w:tc>
          <w:tcPr>
            <w:tcW w:w="5058" w:type="dxa"/>
          </w:tcPr>
          <w:p w:rsidR="00CD7572" w:rsidRPr="00CD7572" w:rsidRDefault="0062660D" w:rsidP="00CD7572">
            <w:pPr>
              <w:rPr>
                <w:rFonts w:ascii="Arial" w:hAnsi="Arial" w:cs="Arial"/>
                <w:b/>
              </w:rPr>
            </w:pPr>
            <w:r w:rsidRPr="00CD7572">
              <w:rPr>
                <w:rFonts w:ascii="Arial" w:hAnsi="Arial" w:cs="Arial"/>
                <w:b/>
              </w:rPr>
              <w:t>Fixed interest securities</w:t>
            </w:r>
          </w:p>
        </w:tc>
        <w:tc>
          <w:tcPr>
            <w:tcW w:w="1559" w:type="dxa"/>
          </w:tcPr>
          <w:p w:rsidR="00CD7572" w:rsidRPr="00CD7572" w:rsidRDefault="0062660D" w:rsidP="00CD7572">
            <w:pPr>
              <w:jc w:val="right"/>
              <w:rPr>
                <w:rFonts w:ascii="Arial" w:hAnsi="Arial" w:cs="Arial"/>
              </w:rPr>
            </w:pP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tcBorders>
          </w:tcPr>
          <w:p w:rsidR="00CD7572" w:rsidRPr="00CD7572" w:rsidRDefault="0062660D" w:rsidP="00CD7572">
            <w:pPr>
              <w:jc w:val="right"/>
              <w:rPr>
                <w:rFonts w:ascii="Arial" w:hAnsi="Arial" w:cs="Arial"/>
              </w:rPr>
            </w:pP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UK corporate bonds quoted</w:t>
            </w:r>
          </w:p>
        </w:tc>
        <w:tc>
          <w:tcPr>
            <w:tcW w:w="1559" w:type="dxa"/>
          </w:tcPr>
          <w:p w:rsidR="00CD7572" w:rsidRPr="00CD7572" w:rsidRDefault="0062660D" w:rsidP="00CD7572">
            <w:pPr>
              <w:jc w:val="right"/>
              <w:rPr>
                <w:rFonts w:ascii="Arial" w:hAnsi="Arial" w:cs="Arial"/>
              </w:rPr>
            </w:pPr>
            <w:r w:rsidRPr="00CD7572">
              <w:rPr>
                <w:rFonts w:ascii="Arial" w:hAnsi="Arial" w:cs="Arial"/>
              </w:rPr>
              <w:t>85.3</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Pr>
          <w:p w:rsidR="00CD7572" w:rsidRPr="00CD7572" w:rsidRDefault="0062660D" w:rsidP="00CD7572">
            <w:pPr>
              <w:jc w:val="right"/>
              <w:rPr>
                <w:rFonts w:ascii="Arial" w:hAnsi="Arial" w:cs="Arial"/>
              </w:rPr>
            </w:pPr>
            <w:r w:rsidRPr="00CD7572">
              <w:rPr>
                <w:rFonts w:ascii="Arial" w:hAnsi="Arial" w:cs="Arial"/>
              </w:rPr>
              <w:t>94.2</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Overseas corporate bonds quoted</w:t>
            </w:r>
          </w:p>
        </w:tc>
        <w:tc>
          <w:tcPr>
            <w:tcW w:w="1559" w:type="dxa"/>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37.8</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54.6</w:t>
            </w:r>
          </w:p>
        </w:tc>
      </w:tr>
      <w:tr w:rsidR="006A2C17" w:rsidTr="00E245D6">
        <w:tc>
          <w:tcPr>
            <w:tcW w:w="5058" w:type="dxa"/>
          </w:tcPr>
          <w:p w:rsidR="00CD7572" w:rsidRPr="00CD7572" w:rsidRDefault="0062660D" w:rsidP="00CD7572">
            <w:pPr>
              <w:rPr>
                <w:rFonts w:ascii="Arial" w:hAnsi="Arial" w:cs="Arial"/>
              </w:rPr>
            </w:pPr>
          </w:p>
        </w:tc>
        <w:tc>
          <w:tcPr>
            <w:tcW w:w="1559"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123.1</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148.8</w:t>
            </w:r>
          </w:p>
        </w:tc>
      </w:tr>
    </w:tbl>
    <w:p w:rsidR="00CD7572" w:rsidRPr="00CD7572" w:rsidRDefault="0062660D" w:rsidP="00CD7572">
      <w:pPr>
        <w:rPr>
          <w:rFonts w:cs="Arial"/>
        </w:rPr>
      </w:pPr>
    </w:p>
    <w:p w:rsidR="00CD7572" w:rsidRPr="00CD7572" w:rsidRDefault="0062660D" w:rsidP="00CD7572">
      <w:pPr>
        <w:rPr>
          <w:rFonts w:cs="Arial"/>
        </w:rPr>
      </w:pPr>
    </w:p>
    <w:tbl>
      <w:tblPr>
        <w:tblStyle w:val="TableGrid1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6A2C17" w:rsidTr="00E245D6">
        <w:tc>
          <w:tcPr>
            <w:tcW w:w="5058" w:type="dxa"/>
          </w:tcPr>
          <w:p w:rsidR="00CD7572" w:rsidRPr="00CD7572" w:rsidRDefault="0062660D" w:rsidP="00CD7572">
            <w:pPr>
              <w:spacing w:after="0"/>
              <w:rPr>
                <w:rFonts w:ascii="Arial" w:hAnsi="Arial" w:cs="Arial"/>
                <w:b/>
              </w:rPr>
            </w:pPr>
          </w:p>
          <w:p w:rsidR="00CD7572" w:rsidRPr="00CD7572" w:rsidRDefault="0062660D" w:rsidP="00CD7572">
            <w:pPr>
              <w:spacing w:after="0"/>
              <w:rPr>
                <w:rFonts w:ascii="Arial" w:hAnsi="Arial" w:cs="Arial"/>
                <w:b/>
              </w:rPr>
            </w:pPr>
          </w:p>
        </w:tc>
        <w:tc>
          <w:tcPr>
            <w:tcW w:w="1559" w:type="dxa"/>
          </w:tcPr>
          <w:p w:rsidR="00CD7572" w:rsidRPr="00CD7572" w:rsidRDefault="0062660D" w:rsidP="00CD7572">
            <w:pPr>
              <w:spacing w:after="0"/>
              <w:jc w:val="right"/>
              <w:rPr>
                <w:rFonts w:ascii="Arial" w:hAnsi="Arial" w:cs="Arial"/>
                <w:b/>
              </w:rPr>
            </w:pPr>
            <w:r w:rsidRPr="00CD7572">
              <w:rPr>
                <w:rFonts w:ascii="Arial" w:hAnsi="Arial" w:cs="Arial"/>
                <w:b/>
              </w:rPr>
              <w:t>31/03/16</w:t>
            </w:r>
          </w:p>
          <w:p w:rsidR="00CD7572" w:rsidRPr="00CD7572" w:rsidRDefault="0062660D" w:rsidP="00CD7572">
            <w:pPr>
              <w:spacing w:after="0"/>
              <w:jc w:val="right"/>
              <w:rPr>
                <w:rFonts w:ascii="Arial" w:hAnsi="Arial" w:cs="Arial"/>
                <w:b/>
              </w:rPr>
            </w:pPr>
            <w:r w:rsidRPr="00CD7572">
              <w:rPr>
                <w:rFonts w:ascii="Arial" w:hAnsi="Arial" w:cs="Arial"/>
                <w:b/>
              </w:rPr>
              <w:t>£m</w:t>
            </w:r>
          </w:p>
        </w:tc>
        <w:tc>
          <w:tcPr>
            <w:tcW w:w="430" w:type="dxa"/>
            <w:tcBorders>
              <w:right w:val="single" w:sz="4" w:space="0" w:color="FFFFFF" w:themeColor="background1"/>
            </w:tcBorders>
          </w:tcPr>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p>
        </w:tc>
        <w:tc>
          <w:tcPr>
            <w:tcW w:w="1696" w:type="dxa"/>
            <w:tcBorders>
              <w:left w:val="single" w:sz="4" w:space="0" w:color="FFFFFF" w:themeColor="background1"/>
            </w:tcBorders>
          </w:tcPr>
          <w:p w:rsidR="00CD7572" w:rsidRPr="00CD7572" w:rsidRDefault="0062660D" w:rsidP="00CD7572">
            <w:pPr>
              <w:spacing w:after="0"/>
              <w:jc w:val="right"/>
              <w:rPr>
                <w:rFonts w:ascii="Arial" w:hAnsi="Arial" w:cs="Arial"/>
                <w:b/>
              </w:rPr>
            </w:pPr>
            <w:r w:rsidRPr="00CD7572">
              <w:rPr>
                <w:rFonts w:ascii="Arial" w:hAnsi="Arial" w:cs="Arial"/>
                <w:b/>
              </w:rPr>
              <w:t>31/03/15</w:t>
            </w:r>
          </w:p>
          <w:p w:rsidR="00CD7572" w:rsidRPr="00CD7572" w:rsidRDefault="0062660D" w:rsidP="00CD7572">
            <w:pPr>
              <w:spacing w:after="0"/>
              <w:jc w:val="right"/>
              <w:rPr>
                <w:rFonts w:ascii="Arial" w:hAnsi="Arial" w:cs="Arial"/>
                <w:b/>
              </w:rPr>
            </w:pPr>
            <w:r w:rsidRPr="00CD7572">
              <w:rPr>
                <w:rFonts w:ascii="Arial" w:hAnsi="Arial" w:cs="Arial"/>
                <w:b/>
              </w:rPr>
              <w:t>£m</w:t>
            </w:r>
          </w:p>
        </w:tc>
      </w:tr>
      <w:tr w:rsidR="006A2C17" w:rsidTr="00E245D6">
        <w:tc>
          <w:tcPr>
            <w:tcW w:w="5058" w:type="dxa"/>
          </w:tcPr>
          <w:p w:rsidR="00CD7572" w:rsidRPr="00CD7572" w:rsidRDefault="0062660D" w:rsidP="00CD7572">
            <w:pPr>
              <w:rPr>
                <w:rFonts w:ascii="Arial" w:hAnsi="Arial" w:cs="Arial"/>
                <w:b/>
              </w:rPr>
            </w:pPr>
            <w:r w:rsidRPr="00CD7572">
              <w:rPr>
                <w:rFonts w:ascii="Arial" w:hAnsi="Arial" w:cs="Arial"/>
                <w:b/>
              </w:rPr>
              <w:t>Equities</w:t>
            </w:r>
          </w:p>
        </w:tc>
        <w:tc>
          <w:tcPr>
            <w:tcW w:w="1559" w:type="dxa"/>
          </w:tcPr>
          <w:p w:rsidR="00CD7572" w:rsidRPr="00CD7572" w:rsidRDefault="0062660D" w:rsidP="00CD7572">
            <w:pPr>
              <w:jc w:val="right"/>
              <w:rPr>
                <w:rFonts w:ascii="Arial" w:hAnsi="Arial" w:cs="Arial"/>
              </w:rPr>
            </w:pP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tcBorders>
          </w:tcPr>
          <w:p w:rsidR="00CD7572" w:rsidRPr="00CD7572" w:rsidRDefault="0062660D" w:rsidP="00CD7572">
            <w:pPr>
              <w:jc w:val="right"/>
              <w:rPr>
                <w:rFonts w:ascii="Arial" w:hAnsi="Arial" w:cs="Arial"/>
              </w:rPr>
            </w:pP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UK quoted</w:t>
            </w:r>
          </w:p>
        </w:tc>
        <w:tc>
          <w:tcPr>
            <w:tcW w:w="1559" w:type="dxa"/>
          </w:tcPr>
          <w:p w:rsidR="00CD7572" w:rsidRPr="00CD7572" w:rsidRDefault="0062660D" w:rsidP="00CD7572">
            <w:pPr>
              <w:jc w:val="right"/>
              <w:rPr>
                <w:rFonts w:ascii="Arial" w:hAnsi="Arial" w:cs="Arial"/>
              </w:rPr>
            </w:pPr>
            <w:r w:rsidRPr="00CD7572">
              <w:rPr>
                <w:rFonts w:ascii="Arial" w:hAnsi="Arial" w:cs="Arial"/>
              </w:rPr>
              <w:t>191.3</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Pr>
          <w:p w:rsidR="00CD7572" w:rsidRPr="00CD7572" w:rsidRDefault="0062660D" w:rsidP="00CD7572">
            <w:pPr>
              <w:jc w:val="right"/>
              <w:rPr>
                <w:rFonts w:ascii="Arial" w:hAnsi="Arial" w:cs="Arial"/>
              </w:rPr>
            </w:pPr>
            <w:r w:rsidRPr="00CD7572">
              <w:rPr>
                <w:rFonts w:ascii="Arial" w:hAnsi="Arial" w:cs="Arial"/>
              </w:rPr>
              <w:t>212.3</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Overseas quoted</w:t>
            </w:r>
          </w:p>
        </w:tc>
        <w:tc>
          <w:tcPr>
            <w:tcW w:w="1559" w:type="dxa"/>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1,878.6</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1,788.4</w:t>
            </w:r>
          </w:p>
        </w:tc>
      </w:tr>
      <w:tr w:rsidR="006A2C17" w:rsidTr="00E245D6">
        <w:tc>
          <w:tcPr>
            <w:tcW w:w="5058" w:type="dxa"/>
          </w:tcPr>
          <w:p w:rsidR="00CD7572" w:rsidRPr="00CD7572" w:rsidRDefault="0062660D" w:rsidP="00CD7572">
            <w:pPr>
              <w:rPr>
                <w:rFonts w:ascii="Arial" w:hAnsi="Arial" w:cs="Arial"/>
              </w:rPr>
            </w:pPr>
          </w:p>
        </w:tc>
        <w:tc>
          <w:tcPr>
            <w:tcW w:w="1559"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2,069.9</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2,000.7</w:t>
            </w:r>
          </w:p>
        </w:tc>
      </w:tr>
      <w:tr w:rsidR="006A2C17" w:rsidTr="00E245D6">
        <w:tc>
          <w:tcPr>
            <w:tcW w:w="5058" w:type="dxa"/>
          </w:tcPr>
          <w:p w:rsidR="00CD7572" w:rsidRPr="00CD7572" w:rsidRDefault="0062660D" w:rsidP="00CD7572">
            <w:pPr>
              <w:rPr>
                <w:rFonts w:ascii="Arial" w:hAnsi="Arial" w:cs="Arial"/>
              </w:rPr>
            </w:pPr>
          </w:p>
        </w:tc>
        <w:tc>
          <w:tcPr>
            <w:tcW w:w="1559" w:type="dxa"/>
            <w:tcBorders>
              <w:top w:val="single" w:sz="18" w:space="0" w:color="auto"/>
            </w:tcBorders>
          </w:tcPr>
          <w:p w:rsidR="00CD7572" w:rsidRPr="00CD7572" w:rsidRDefault="0062660D" w:rsidP="00CD7572">
            <w:pPr>
              <w:jc w:val="right"/>
              <w:rPr>
                <w:rFonts w:ascii="Arial" w:hAnsi="Arial" w:cs="Arial"/>
              </w:rPr>
            </w:pPr>
          </w:p>
          <w:p w:rsidR="00CD7572" w:rsidRPr="00CD7572" w:rsidRDefault="0062660D" w:rsidP="00CD7572">
            <w:pPr>
              <w:jc w:val="right"/>
              <w:rPr>
                <w:rFonts w:ascii="Arial" w:hAnsi="Arial" w:cs="Arial"/>
              </w:rPr>
            </w:pPr>
          </w:p>
        </w:tc>
        <w:tc>
          <w:tcPr>
            <w:tcW w:w="430" w:type="dxa"/>
          </w:tcPr>
          <w:p w:rsidR="00CD7572" w:rsidRPr="00CD7572" w:rsidRDefault="0062660D" w:rsidP="00CD7572">
            <w:pPr>
              <w:jc w:val="right"/>
              <w:rPr>
                <w:rFonts w:ascii="Arial" w:hAnsi="Arial" w:cs="Arial"/>
              </w:rPr>
            </w:pPr>
          </w:p>
        </w:tc>
        <w:tc>
          <w:tcPr>
            <w:tcW w:w="1696" w:type="dxa"/>
            <w:tcBorders>
              <w:top w:val="single" w:sz="18" w:space="0" w:color="auto"/>
            </w:tcBorders>
          </w:tcPr>
          <w:p w:rsidR="00CD7572" w:rsidRPr="00CD7572" w:rsidRDefault="0062660D" w:rsidP="00CD7572">
            <w:pPr>
              <w:jc w:val="right"/>
              <w:rPr>
                <w:rFonts w:ascii="Arial" w:hAnsi="Arial" w:cs="Arial"/>
              </w:rPr>
            </w:pPr>
          </w:p>
        </w:tc>
      </w:tr>
      <w:tr w:rsidR="006A2C17" w:rsidTr="00E245D6">
        <w:tc>
          <w:tcPr>
            <w:tcW w:w="5058" w:type="dxa"/>
          </w:tcPr>
          <w:p w:rsidR="00CD7572" w:rsidRPr="00CD7572" w:rsidRDefault="0062660D" w:rsidP="00CD7572">
            <w:pPr>
              <w:spacing w:after="0"/>
              <w:rPr>
                <w:rFonts w:ascii="Arial" w:hAnsi="Arial" w:cs="Arial"/>
                <w:b/>
              </w:rPr>
            </w:pPr>
          </w:p>
          <w:p w:rsidR="00CD7572" w:rsidRPr="00CD7572" w:rsidRDefault="0062660D" w:rsidP="00CD7572">
            <w:pPr>
              <w:spacing w:after="0"/>
              <w:rPr>
                <w:rFonts w:ascii="Arial" w:hAnsi="Arial" w:cs="Arial"/>
                <w:b/>
              </w:rPr>
            </w:pPr>
          </w:p>
        </w:tc>
        <w:tc>
          <w:tcPr>
            <w:tcW w:w="1559" w:type="dxa"/>
          </w:tcPr>
          <w:p w:rsidR="00CD7572" w:rsidRPr="00CD7572" w:rsidRDefault="0062660D" w:rsidP="00CD7572">
            <w:pPr>
              <w:spacing w:after="0"/>
              <w:jc w:val="right"/>
              <w:rPr>
                <w:rFonts w:ascii="Arial" w:hAnsi="Arial" w:cs="Arial"/>
                <w:b/>
              </w:rPr>
            </w:pPr>
            <w:r w:rsidRPr="00CD7572">
              <w:rPr>
                <w:rFonts w:ascii="Arial" w:hAnsi="Arial" w:cs="Arial"/>
                <w:b/>
              </w:rPr>
              <w:t>31/03/16</w:t>
            </w:r>
          </w:p>
          <w:p w:rsidR="00CD7572" w:rsidRPr="00CD7572" w:rsidRDefault="0062660D" w:rsidP="00CD7572">
            <w:pPr>
              <w:spacing w:after="0"/>
              <w:jc w:val="right"/>
              <w:rPr>
                <w:rFonts w:ascii="Arial" w:hAnsi="Arial" w:cs="Arial"/>
                <w:b/>
              </w:rPr>
            </w:pPr>
            <w:r w:rsidRPr="00CD7572">
              <w:rPr>
                <w:rFonts w:ascii="Arial" w:hAnsi="Arial" w:cs="Arial"/>
                <w:b/>
              </w:rPr>
              <w:t>£m</w:t>
            </w:r>
          </w:p>
        </w:tc>
        <w:tc>
          <w:tcPr>
            <w:tcW w:w="430" w:type="dxa"/>
            <w:tcBorders>
              <w:right w:val="single" w:sz="4" w:space="0" w:color="FFFFFF" w:themeColor="background1"/>
            </w:tcBorders>
          </w:tcPr>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p>
        </w:tc>
        <w:tc>
          <w:tcPr>
            <w:tcW w:w="1696" w:type="dxa"/>
            <w:tcBorders>
              <w:left w:val="single" w:sz="4" w:space="0" w:color="FFFFFF" w:themeColor="background1"/>
            </w:tcBorders>
          </w:tcPr>
          <w:p w:rsidR="00CD7572" w:rsidRPr="00CD7572" w:rsidRDefault="0062660D" w:rsidP="00CD7572">
            <w:pPr>
              <w:spacing w:after="0"/>
              <w:jc w:val="right"/>
              <w:rPr>
                <w:rFonts w:ascii="Arial" w:hAnsi="Arial" w:cs="Arial"/>
                <w:b/>
              </w:rPr>
            </w:pPr>
            <w:r w:rsidRPr="00CD7572">
              <w:rPr>
                <w:rFonts w:ascii="Arial" w:hAnsi="Arial" w:cs="Arial"/>
                <w:b/>
              </w:rPr>
              <w:t>31/03/15</w:t>
            </w:r>
          </w:p>
          <w:p w:rsidR="00CD7572" w:rsidRPr="00CD7572" w:rsidRDefault="0062660D" w:rsidP="00CD7572">
            <w:pPr>
              <w:spacing w:after="0"/>
              <w:jc w:val="right"/>
              <w:rPr>
                <w:rFonts w:ascii="Arial" w:hAnsi="Arial" w:cs="Arial"/>
                <w:b/>
              </w:rPr>
            </w:pPr>
            <w:r w:rsidRPr="00CD7572">
              <w:rPr>
                <w:rFonts w:ascii="Arial" w:hAnsi="Arial" w:cs="Arial"/>
                <w:b/>
              </w:rPr>
              <w:t>£m</w:t>
            </w:r>
          </w:p>
        </w:tc>
      </w:tr>
      <w:tr w:rsidR="006A2C17" w:rsidTr="00E245D6">
        <w:tc>
          <w:tcPr>
            <w:tcW w:w="5058" w:type="dxa"/>
          </w:tcPr>
          <w:p w:rsidR="00CD7572" w:rsidRPr="00CD7572" w:rsidRDefault="0062660D" w:rsidP="00CD7572">
            <w:pPr>
              <w:rPr>
                <w:rFonts w:ascii="Arial" w:hAnsi="Arial" w:cs="Arial"/>
                <w:b/>
              </w:rPr>
            </w:pPr>
            <w:r w:rsidRPr="00CD7572">
              <w:rPr>
                <w:rFonts w:ascii="Arial" w:hAnsi="Arial" w:cs="Arial"/>
                <w:b/>
              </w:rPr>
              <w:t>Index linked securities</w:t>
            </w:r>
          </w:p>
        </w:tc>
        <w:tc>
          <w:tcPr>
            <w:tcW w:w="1559" w:type="dxa"/>
          </w:tcPr>
          <w:p w:rsidR="00CD7572" w:rsidRPr="00CD7572" w:rsidRDefault="0062660D" w:rsidP="00CD7572">
            <w:pPr>
              <w:jc w:val="right"/>
              <w:rPr>
                <w:rFonts w:ascii="Arial" w:hAnsi="Arial" w:cs="Arial"/>
              </w:rPr>
            </w:pP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tcBorders>
          </w:tcPr>
          <w:p w:rsidR="00CD7572" w:rsidRPr="00CD7572" w:rsidRDefault="0062660D" w:rsidP="00CD7572">
            <w:pPr>
              <w:jc w:val="right"/>
              <w:rPr>
                <w:rFonts w:ascii="Arial" w:hAnsi="Arial" w:cs="Arial"/>
              </w:rPr>
            </w:pP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UK quoted</w:t>
            </w:r>
          </w:p>
        </w:tc>
        <w:tc>
          <w:tcPr>
            <w:tcW w:w="1559" w:type="dxa"/>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63.7</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317.9</w:t>
            </w:r>
          </w:p>
        </w:tc>
      </w:tr>
      <w:tr w:rsidR="006A2C17" w:rsidTr="00E245D6">
        <w:tc>
          <w:tcPr>
            <w:tcW w:w="5058" w:type="dxa"/>
          </w:tcPr>
          <w:p w:rsidR="00CD7572" w:rsidRPr="00CD7572" w:rsidRDefault="0062660D" w:rsidP="00CD7572">
            <w:pPr>
              <w:rPr>
                <w:rFonts w:ascii="Arial" w:hAnsi="Arial" w:cs="Arial"/>
              </w:rPr>
            </w:pPr>
          </w:p>
        </w:tc>
        <w:tc>
          <w:tcPr>
            <w:tcW w:w="1559"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63.7</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317.9</w:t>
            </w:r>
          </w:p>
        </w:tc>
      </w:tr>
    </w:tbl>
    <w:p w:rsidR="00CD7572" w:rsidRPr="00CD7572" w:rsidRDefault="0062660D" w:rsidP="00CD7572">
      <w:pPr>
        <w:rPr>
          <w:rFonts w:cs="Arial"/>
        </w:rPr>
      </w:pPr>
    </w:p>
    <w:tbl>
      <w:tblPr>
        <w:tblStyle w:val="TableGrid11"/>
        <w:tblW w:w="0" w:type="auto"/>
        <w:tblInd w:w="720" w:type="dxa"/>
        <w:tblLook w:val="04A0" w:firstRow="1" w:lastRow="0" w:firstColumn="1" w:lastColumn="0" w:noHBand="0" w:noVBand="1"/>
      </w:tblPr>
      <w:tblGrid>
        <w:gridCol w:w="5227"/>
        <w:gridCol w:w="1424"/>
        <w:gridCol w:w="432"/>
        <w:gridCol w:w="1705"/>
      </w:tblGrid>
      <w:tr w:rsidR="006A2C17" w:rsidTr="00E245D6">
        <w:trPr>
          <w:trHeight w:val="277"/>
        </w:trPr>
        <w:tc>
          <w:tcPr>
            <w:tcW w:w="5227" w:type="dxa"/>
            <w:tcBorders>
              <w:top w:val="nil"/>
              <w:left w:val="nil"/>
              <w:bottom w:val="nil"/>
              <w:right w:val="nil"/>
            </w:tcBorders>
          </w:tcPr>
          <w:p w:rsidR="00CD7572" w:rsidRPr="00CD7572" w:rsidRDefault="0062660D" w:rsidP="00CD7572">
            <w:pPr>
              <w:rPr>
                <w:rFonts w:ascii="Arial" w:hAnsi="Arial" w:cs="Arial"/>
                <w:b/>
              </w:rPr>
            </w:pPr>
          </w:p>
        </w:tc>
        <w:tc>
          <w:tcPr>
            <w:tcW w:w="1424" w:type="dxa"/>
            <w:tcBorders>
              <w:top w:val="nil"/>
              <w:left w:val="nil"/>
              <w:bottom w:val="nil"/>
              <w:right w:val="nil"/>
            </w:tcBorders>
          </w:tcPr>
          <w:p w:rsidR="00CD7572" w:rsidRPr="00CD7572" w:rsidRDefault="0062660D" w:rsidP="00CD7572">
            <w:pPr>
              <w:jc w:val="right"/>
              <w:rPr>
                <w:rFonts w:ascii="Arial" w:hAnsi="Arial" w:cs="Arial"/>
                <w:b/>
              </w:rPr>
            </w:pPr>
          </w:p>
        </w:tc>
        <w:tc>
          <w:tcPr>
            <w:tcW w:w="432" w:type="dxa"/>
            <w:tcBorders>
              <w:top w:val="nil"/>
              <w:left w:val="nil"/>
              <w:bottom w:val="nil"/>
              <w:right w:val="nil"/>
            </w:tcBorders>
          </w:tcPr>
          <w:p w:rsidR="00CD7572" w:rsidRPr="00CD7572" w:rsidRDefault="0062660D" w:rsidP="00CD7572">
            <w:pPr>
              <w:jc w:val="right"/>
              <w:rPr>
                <w:rFonts w:ascii="Arial" w:hAnsi="Arial" w:cs="Arial"/>
                <w:b/>
              </w:rPr>
            </w:pPr>
          </w:p>
        </w:tc>
        <w:tc>
          <w:tcPr>
            <w:tcW w:w="1705" w:type="dxa"/>
            <w:tcBorders>
              <w:top w:val="nil"/>
              <w:left w:val="nil"/>
              <w:bottom w:val="nil"/>
              <w:right w:val="nil"/>
            </w:tcBorders>
          </w:tcPr>
          <w:p w:rsidR="00CD7572" w:rsidRPr="00CD7572" w:rsidRDefault="0062660D" w:rsidP="00CD7572">
            <w:pPr>
              <w:jc w:val="right"/>
              <w:rPr>
                <w:rFonts w:ascii="Arial" w:hAnsi="Arial" w:cs="Arial"/>
                <w:b/>
              </w:rPr>
            </w:pPr>
          </w:p>
        </w:tc>
      </w:tr>
      <w:tr w:rsidR="006A2C17" w:rsidTr="00E245D6">
        <w:trPr>
          <w:trHeight w:val="277"/>
        </w:trPr>
        <w:tc>
          <w:tcPr>
            <w:tcW w:w="5227" w:type="dxa"/>
            <w:tcBorders>
              <w:top w:val="nil"/>
              <w:left w:val="nil"/>
              <w:bottom w:val="nil"/>
              <w:right w:val="nil"/>
            </w:tcBorders>
          </w:tcPr>
          <w:p w:rsidR="00CD7572" w:rsidRPr="00CD7572" w:rsidRDefault="0062660D" w:rsidP="00CD7572">
            <w:pPr>
              <w:spacing w:after="0"/>
              <w:rPr>
                <w:rFonts w:ascii="Arial" w:hAnsi="Arial" w:cs="Arial"/>
                <w:b/>
              </w:rPr>
            </w:pPr>
          </w:p>
        </w:tc>
        <w:tc>
          <w:tcPr>
            <w:tcW w:w="1424" w:type="dxa"/>
            <w:tcBorders>
              <w:top w:val="nil"/>
              <w:left w:val="nil"/>
              <w:bottom w:val="nil"/>
              <w:right w:val="nil"/>
            </w:tcBorders>
          </w:tcPr>
          <w:p w:rsidR="00CD7572" w:rsidRPr="00CD7572" w:rsidRDefault="0062660D" w:rsidP="00CD7572">
            <w:pPr>
              <w:spacing w:after="0"/>
              <w:jc w:val="right"/>
              <w:rPr>
                <w:rFonts w:ascii="Arial" w:hAnsi="Arial" w:cs="Arial"/>
                <w:b/>
              </w:rPr>
            </w:pPr>
            <w:r w:rsidRPr="00CD7572">
              <w:rPr>
                <w:rFonts w:ascii="Arial" w:hAnsi="Arial" w:cs="Arial"/>
                <w:b/>
              </w:rPr>
              <w:t>31/03/16</w:t>
            </w:r>
          </w:p>
        </w:tc>
        <w:tc>
          <w:tcPr>
            <w:tcW w:w="432" w:type="dxa"/>
            <w:tcBorders>
              <w:top w:val="nil"/>
              <w:left w:val="nil"/>
              <w:bottom w:val="nil"/>
              <w:right w:val="nil"/>
            </w:tcBorders>
          </w:tcPr>
          <w:p w:rsidR="00CD7572" w:rsidRPr="00CD7572" w:rsidRDefault="0062660D" w:rsidP="00CD7572">
            <w:pPr>
              <w:spacing w:after="0"/>
              <w:jc w:val="right"/>
              <w:rPr>
                <w:rFonts w:ascii="Arial" w:hAnsi="Arial" w:cs="Arial"/>
                <w:b/>
              </w:rPr>
            </w:pPr>
          </w:p>
        </w:tc>
        <w:tc>
          <w:tcPr>
            <w:tcW w:w="1705" w:type="dxa"/>
            <w:tcBorders>
              <w:top w:val="nil"/>
              <w:left w:val="nil"/>
              <w:bottom w:val="nil"/>
              <w:right w:val="nil"/>
            </w:tcBorders>
          </w:tcPr>
          <w:p w:rsidR="00CD7572" w:rsidRPr="00CD7572" w:rsidRDefault="0062660D" w:rsidP="00CD7572">
            <w:pPr>
              <w:spacing w:after="0"/>
              <w:jc w:val="right"/>
              <w:rPr>
                <w:rFonts w:ascii="Arial" w:hAnsi="Arial" w:cs="Arial"/>
                <w:b/>
              </w:rPr>
            </w:pPr>
            <w:r w:rsidRPr="00CD7572">
              <w:rPr>
                <w:rFonts w:ascii="Arial" w:hAnsi="Arial" w:cs="Arial"/>
                <w:b/>
              </w:rPr>
              <w:t>31/03/15</w:t>
            </w:r>
          </w:p>
        </w:tc>
      </w:tr>
      <w:tr w:rsidR="006A2C17" w:rsidTr="00E245D6">
        <w:trPr>
          <w:trHeight w:val="262"/>
        </w:trPr>
        <w:tc>
          <w:tcPr>
            <w:tcW w:w="5227" w:type="dxa"/>
            <w:tcBorders>
              <w:top w:val="nil"/>
              <w:left w:val="nil"/>
              <w:bottom w:val="nil"/>
              <w:right w:val="nil"/>
            </w:tcBorders>
          </w:tcPr>
          <w:p w:rsidR="00CD7572" w:rsidRPr="00CD7572" w:rsidRDefault="0062660D" w:rsidP="00CD7572">
            <w:pPr>
              <w:spacing w:after="0"/>
              <w:rPr>
                <w:rFonts w:ascii="Arial" w:hAnsi="Arial" w:cs="Arial"/>
                <w:b/>
              </w:rPr>
            </w:pPr>
          </w:p>
        </w:tc>
        <w:tc>
          <w:tcPr>
            <w:tcW w:w="1424" w:type="dxa"/>
            <w:tcBorders>
              <w:top w:val="nil"/>
              <w:left w:val="nil"/>
              <w:bottom w:val="nil"/>
              <w:right w:val="nil"/>
            </w:tcBorders>
          </w:tcPr>
          <w:p w:rsidR="00CD7572" w:rsidRPr="00CD7572" w:rsidRDefault="0062660D" w:rsidP="00CD7572">
            <w:pPr>
              <w:spacing w:after="0"/>
              <w:jc w:val="right"/>
              <w:rPr>
                <w:rFonts w:ascii="Arial" w:hAnsi="Arial" w:cs="Arial"/>
                <w:b/>
              </w:rPr>
            </w:pPr>
            <w:r w:rsidRPr="00CD7572">
              <w:rPr>
                <w:rFonts w:ascii="Arial" w:hAnsi="Arial" w:cs="Arial"/>
                <w:b/>
              </w:rPr>
              <w:t>£m</w:t>
            </w:r>
          </w:p>
        </w:tc>
        <w:tc>
          <w:tcPr>
            <w:tcW w:w="432" w:type="dxa"/>
            <w:tcBorders>
              <w:top w:val="nil"/>
              <w:left w:val="nil"/>
              <w:bottom w:val="nil"/>
              <w:right w:val="nil"/>
            </w:tcBorders>
          </w:tcPr>
          <w:p w:rsidR="00CD7572" w:rsidRPr="00CD7572" w:rsidRDefault="0062660D" w:rsidP="00CD7572">
            <w:pPr>
              <w:spacing w:after="0"/>
              <w:jc w:val="right"/>
              <w:rPr>
                <w:rFonts w:ascii="Arial" w:hAnsi="Arial" w:cs="Arial"/>
                <w:b/>
              </w:rPr>
            </w:pPr>
          </w:p>
        </w:tc>
        <w:tc>
          <w:tcPr>
            <w:tcW w:w="1705" w:type="dxa"/>
            <w:tcBorders>
              <w:top w:val="nil"/>
              <w:left w:val="nil"/>
              <w:bottom w:val="nil"/>
              <w:right w:val="nil"/>
            </w:tcBorders>
          </w:tcPr>
          <w:p w:rsidR="00CD7572" w:rsidRPr="00CD7572" w:rsidRDefault="0062660D" w:rsidP="00CD7572">
            <w:pPr>
              <w:spacing w:after="0"/>
              <w:jc w:val="right"/>
              <w:rPr>
                <w:rFonts w:ascii="Arial" w:hAnsi="Arial" w:cs="Arial"/>
                <w:b/>
              </w:rPr>
            </w:pPr>
            <w:r w:rsidRPr="00CD7572">
              <w:rPr>
                <w:rFonts w:ascii="Arial" w:hAnsi="Arial" w:cs="Arial"/>
                <w:b/>
              </w:rPr>
              <w:t>£m</w:t>
            </w:r>
          </w:p>
        </w:tc>
      </w:tr>
      <w:tr w:rsidR="006A2C17" w:rsidTr="00E245D6">
        <w:trPr>
          <w:trHeight w:val="277"/>
        </w:trPr>
        <w:tc>
          <w:tcPr>
            <w:tcW w:w="5227" w:type="dxa"/>
            <w:tcBorders>
              <w:top w:val="nil"/>
              <w:left w:val="nil"/>
              <w:bottom w:val="nil"/>
              <w:right w:val="nil"/>
            </w:tcBorders>
          </w:tcPr>
          <w:p w:rsidR="00CD7572" w:rsidRPr="00CD7572" w:rsidRDefault="0062660D" w:rsidP="00CD7572">
            <w:pPr>
              <w:rPr>
                <w:rFonts w:ascii="Arial" w:hAnsi="Arial" w:cs="Arial"/>
                <w:b/>
              </w:rPr>
            </w:pPr>
            <w:r w:rsidRPr="00CD7572">
              <w:rPr>
                <w:rFonts w:ascii="Arial" w:hAnsi="Arial" w:cs="Arial"/>
                <w:b/>
              </w:rPr>
              <w:t xml:space="preserve">Pooled </w:t>
            </w:r>
            <w:r w:rsidRPr="00CD7572">
              <w:rPr>
                <w:rFonts w:ascii="Arial" w:hAnsi="Arial" w:cs="Arial"/>
                <w:b/>
              </w:rPr>
              <w:t>investment vehicles</w:t>
            </w:r>
          </w:p>
          <w:p w:rsidR="00CD7572" w:rsidRPr="00CD7572" w:rsidRDefault="0062660D" w:rsidP="00CD7572">
            <w:pPr>
              <w:rPr>
                <w:rFonts w:ascii="Arial" w:hAnsi="Arial" w:cs="Arial"/>
                <w:b/>
              </w:rPr>
            </w:pPr>
            <w:r w:rsidRPr="00CD7572">
              <w:rPr>
                <w:rFonts w:ascii="Arial" w:hAnsi="Arial" w:cs="Arial"/>
                <w:b/>
              </w:rPr>
              <w:t>UK managed funds:</w:t>
            </w:r>
          </w:p>
        </w:tc>
        <w:tc>
          <w:tcPr>
            <w:tcW w:w="1424" w:type="dxa"/>
            <w:tcBorders>
              <w:top w:val="nil"/>
              <w:left w:val="nil"/>
              <w:bottom w:val="nil"/>
              <w:right w:val="nil"/>
            </w:tcBorders>
          </w:tcPr>
          <w:p w:rsidR="00CD7572" w:rsidRPr="00CD7572" w:rsidRDefault="0062660D" w:rsidP="00CD7572">
            <w:pPr>
              <w:jc w:val="right"/>
              <w:rPr>
                <w:rFonts w:ascii="Arial" w:hAnsi="Arial" w:cs="Arial"/>
              </w:rPr>
            </w:pPr>
          </w:p>
        </w:tc>
        <w:tc>
          <w:tcPr>
            <w:tcW w:w="432" w:type="dxa"/>
            <w:tcBorders>
              <w:top w:val="nil"/>
              <w:left w:val="nil"/>
              <w:bottom w:val="nil"/>
              <w:right w:val="nil"/>
            </w:tcBorders>
          </w:tcPr>
          <w:p w:rsidR="00CD7572" w:rsidRPr="00CD7572" w:rsidRDefault="0062660D" w:rsidP="00CD7572">
            <w:pPr>
              <w:jc w:val="right"/>
              <w:rPr>
                <w:rFonts w:ascii="Arial" w:hAnsi="Arial" w:cs="Arial"/>
              </w:rPr>
            </w:pPr>
          </w:p>
        </w:tc>
        <w:tc>
          <w:tcPr>
            <w:tcW w:w="1705" w:type="dxa"/>
            <w:tcBorders>
              <w:top w:val="nil"/>
              <w:left w:val="nil"/>
              <w:bottom w:val="nil"/>
              <w:right w:val="nil"/>
            </w:tcBorders>
          </w:tcPr>
          <w:p w:rsidR="00CD7572" w:rsidRPr="00CD7572" w:rsidRDefault="0062660D" w:rsidP="00CD7572">
            <w:pPr>
              <w:jc w:val="right"/>
              <w:rPr>
                <w:rFonts w:ascii="Arial" w:hAnsi="Arial" w:cs="Arial"/>
              </w:rPr>
            </w:pPr>
          </w:p>
        </w:tc>
      </w:tr>
      <w:tr w:rsidR="006A2C17" w:rsidTr="00E245D6">
        <w:trPr>
          <w:trHeight w:val="277"/>
        </w:trPr>
        <w:tc>
          <w:tcPr>
            <w:tcW w:w="5227" w:type="dxa"/>
            <w:tcBorders>
              <w:top w:val="nil"/>
              <w:left w:val="nil"/>
              <w:bottom w:val="nil"/>
              <w:right w:val="nil"/>
            </w:tcBorders>
          </w:tcPr>
          <w:p w:rsidR="00CD7572" w:rsidRPr="00CD7572" w:rsidRDefault="0062660D" w:rsidP="00CD7572">
            <w:pPr>
              <w:rPr>
                <w:rFonts w:ascii="Arial" w:hAnsi="Arial" w:cs="Arial"/>
              </w:rPr>
            </w:pPr>
            <w:r w:rsidRPr="00CD7572">
              <w:rPr>
                <w:rFonts w:ascii="Arial" w:hAnsi="Arial" w:cs="Arial"/>
              </w:rPr>
              <w:t>Fixed income funds</w:t>
            </w:r>
          </w:p>
        </w:tc>
        <w:tc>
          <w:tcPr>
            <w:tcW w:w="1424" w:type="dxa"/>
            <w:tcBorders>
              <w:top w:val="nil"/>
              <w:left w:val="nil"/>
              <w:bottom w:val="nil"/>
              <w:right w:val="nil"/>
            </w:tcBorders>
          </w:tcPr>
          <w:p w:rsidR="00CD7572" w:rsidRPr="00CD7572" w:rsidRDefault="0062660D" w:rsidP="00CD7572">
            <w:pPr>
              <w:jc w:val="right"/>
              <w:rPr>
                <w:rFonts w:ascii="Arial" w:hAnsi="Arial" w:cs="Arial"/>
              </w:rPr>
            </w:pPr>
            <w:r w:rsidRPr="00CD7572">
              <w:rPr>
                <w:rFonts w:ascii="Arial" w:hAnsi="Arial" w:cs="Arial"/>
              </w:rPr>
              <w:t>60.0</w:t>
            </w:r>
          </w:p>
        </w:tc>
        <w:tc>
          <w:tcPr>
            <w:tcW w:w="432" w:type="dxa"/>
            <w:tcBorders>
              <w:top w:val="nil"/>
              <w:left w:val="nil"/>
              <w:bottom w:val="nil"/>
              <w:right w:val="nil"/>
            </w:tcBorders>
          </w:tcPr>
          <w:p w:rsidR="00CD7572" w:rsidRPr="00CD7572" w:rsidRDefault="0062660D" w:rsidP="00CD7572">
            <w:pPr>
              <w:jc w:val="right"/>
              <w:rPr>
                <w:rFonts w:ascii="Arial" w:hAnsi="Arial" w:cs="Arial"/>
              </w:rPr>
            </w:pPr>
          </w:p>
        </w:tc>
        <w:tc>
          <w:tcPr>
            <w:tcW w:w="1705" w:type="dxa"/>
            <w:tcBorders>
              <w:top w:val="nil"/>
              <w:left w:val="nil"/>
              <w:bottom w:val="nil"/>
              <w:right w:val="nil"/>
            </w:tcBorders>
          </w:tcPr>
          <w:p w:rsidR="00CD7572" w:rsidRPr="00CD7572" w:rsidRDefault="0062660D" w:rsidP="00CD7572">
            <w:pPr>
              <w:jc w:val="right"/>
              <w:rPr>
                <w:rFonts w:ascii="Arial" w:hAnsi="Arial" w:cs="Arial"/>
              </w:rPr>
            </w:pPr>
            <w:r w:rsidRPr="00CD7572">
              <w:rPr>
                <w:rFonts w:ascii="Arial" w:hAnsi="Arial" w:cs="Arial"/>
              </w:rPr>
              <w:t>58.2</w:t>
            </w:r>
          </w:p>
        </w:tc>
      </w:tr>
      <w:tr w:rsidR="006A2C17" w:rsidTr="00E245D6">
        <w:trPr>
          <w:trHeight w:val="277"/>
        </w:trPr>
        <w:tc>
          <w:tcPr>
            <w:tcW w:w="5227" w:type="dxa"/>
            <w:tcBorders>
              <w:top w:val="nil"/>
              <w:left w:val="nil"/>
              <w:bottom w:val="nil"/>
              <w:right w:val="nil"/>
            </w:tcBorders>
          </w:tcPr>
          <w:p w:rsidR="00CD7572" w:rsidRPr="00CD7572" w:rsidRDefault="0062660D" w:rsidP="00CD7572">
            <w:pPr>
              <w:rPr>
                <w:rFonts w:ascii="Arial" w:hAnsi="Arial" w:cs="Arial"/>
              </w:rPr>
            </w:pPr>
            <w:r w:rsidRPr="00CD7572">
              <w:rPr>
                <w:rFonts w:ascii="Arial" w:hAnsi="Arial" w:cs="Arial"/>
              </w:rPr>
              <w:t>Venture capital</w:t>
            </w:r>
          </w:p>
        </w:tc>
        <w:tc>
          <w:tcPr>
            <w:tcW w:w="1424" w:type="dxa"/>
            <w:tcBorders>
              <w:top w:val="nil"/>
              <w:left w:val="nil"/>
              <w:bottom w:val="nil"/>
              <w:right w:val="nil"/>
            </w:tcBorders>
          </w:tcPr>
          <w:p w:rsidR="00CD7572" w:rsidRPr="00CD7572" w:rsidRDefault="0062660D" w:rsidP="00CD7572">
            <w:pPr>
              <w:jc w:val="right"/>
              <w:rPr>
                <w:rFonts w:ascii="Arial" w:hAnsi="Arial" w:cs="Arial"/>
              </w:rPr>
            </w:pPr>
            <w:r w:rsidRPr="00CD7572">
              <w:rPr>
                <w:rFonts w:ascii="Arial" w:hAnsi="Arial" w:cs="Arial"/>
              </w:rPr>
              <w:t>369.4</w:t>
            </w:r>
          </w:p>
        </w:tc>
        <w:tc>
          <w:tcPr>
            <w:tcW w:w="432" w:type="dxa"/>
            <w:tcBorders>
              <w:top w:val="nil"/>
              <w:left w:val="nil"/>
              <w:bottom w:val="nil"/>
              <w:right w:val="nil"/>
            </w:tcBorders>
          </w:tcPr>
          <w:p w:rsidR="00CD7572" w:rsidRPr="00CD7572" w:rsidRDefault="0062660D" w:rsidP="00CD7572">
            <w:pPr>
              <w:jc w:val="right"/>
              <w:rPr>
                <w:rFonts w:ascii="Arial" w:hAnsi="Arial" w:cs="Arial"/>
              </w:rPr>
            </w:pPr>
          </w:p>
        </w:tc>
        <w:tc>
          <w:tcPr>
            <w:tcW w:w="1705" w:type="dxa"/>
            <w:tcBorders>
              <w:top w:val="nil"/>
              <w:left w:val="nil"/>
              <w:bottom w:val="nil"/>
              <w:right w:val="nil"/>
            </w:tcBorders>
          </w:tcPr>
          <w:p w:rsidR="00CD7572" w:rsidRPr="00CD7572" w:rsidRDefault="0062660D" w:rsidP="00CD7572">
            <w:pPr>
              <w:jc w:val="right"/>
              <w:rPr>
                <w:rFonts w:ascii="Arial" w:hAnsi="Arial" w:cs="Arial"/>
              </w:rPr>
            </w:pPr>
            <w:r w:rsidRPr="00CD7572">
              <w:rPr>
                <w:rFonts w:ascii="Arial" w:hAnsi="Arial" w:cs="Arial"/>
              </w:rPr>
              <w:t>278.5</w:t>
            </w:r>
          </w:p>
        </w:tc>
      </w:tr>
      <w:tr w:rsidR="006A2C17" w:rsidTr="00E245D6">
        <w:trPr>
          <w:trHeight w:val="277"/>
        </w:trPr>
        <w:tc>
          <w:tcPr>
            <w:tcW w:w="5227" w:type="dxa"/>
            <w:tcBorders>
              <w:top w:val="nil"/>
              <w:left w:val="nil"/>
              <w:bottom w:val="nil"/>
              <w:right w:val="nil"/>
            </w:tcBorders>
          </w:tcPr>
          <w:p w:rsidR="00CD7572" w:rsidRPr="00CD7572" w:rsidRDefault="0062660D" w:rsidP="00CD7572">
            <w:pPr>
              <w:rPr>
                <w:rFonts w:cs="Arial"/>
                <w:b/>
              </w:rPr>
            </w:pPr>
            <w:r w:rsidRPr="00CD7572">
              <w:rPr>
                <w:rFonts w:ascii="Arial" w:hAnsi="Arial" w:cs="Arial"/>
              </w:rPr>
              <w:t>Property funds</w:t>
            </w:r>
          </w:p>
        </w:tc>
        <w:tc>
          <w:tcPr>
            <w:tcW w:w="1424" w:type="dxa"/>
            <w:tcBorders>
              <w:top w:val="nil"/>
              <w:left w:val="nil"/>
              <w:bottom w:val="nil"/>
              <w:right w:val="nil"/>
            </w:tcBorders>
          </w:tcPr>
          <w:p w:rsidR="00CD7572" w:rsidRPr="00CD7572" w:rsidRDefault="0062660D" w:rsidP="00CD7572">
            <w:pPr>
              <w:jc w:val="right"/>
              <w:rPr>
                <w:rFonts w:ascii="Arial" w:hAnsi="Arial" w:cs="Arial"/>
              </w:rPr>
            </w:pPr>
            <w:r w:rsidRPr="00CD7572">
              <w:rPr>
                <w:rFonts w:ascii="Arial" w:hAnsi="Arial" w:cs="Arial"/>
              </w:rPr>
              <w:t>44.5</w:t>
            </w:r>
          </w:p>
        </w:tc>
        <w:tc>
          <w:tcPr>
            <w:tcW w:w="432" w:type="dxa"/>
            <w:tcBorders>
              <w:top w:val="nil"/>
              <w:left w:val="nil"/>
              <w:bottom w:val="nil"/>
              <w:right w:val="nil"/>
            </w:tcBorders>
          </w:tcPr>
          <w:p w:rsidR="00CD7572" w:rsidRPr="00CD7572" w:rsidRDefault="0062660D" w:rsidP="00CD7572">
            <w:pPr>
              <w:jc w:val="right"/>
              <w:rPr>
                <w:rFonts w:ascii="Arial" w:hAnsi="Arial" w:cs="Arial"/>
              </w:rPr>
            </w:pPr>
          </w:p>
        </w:tc>
        <w:tc>
          <w:tcPr>
            <w:tcW w:w="1705" w:type="dxa"/>
            <w:tcBorders>
              <w:top w:val="nil"/>
              <w:left w:val="nil"/>
              <w:bottom w:val="nil"/>
              <w:right w:val="nil"/>
            </w:tcBorders>
          </w:tcPr>
          <w:p w:rsidR="00CD7572" w:rsidRPr="00CD7572" w:rsidRDefault="0062660D" w:rsidP="00CD7572">
            <w:pPr>
              <w:jc w:val="right"/>
              <w:rPr>
                <w:rFonts w:ascii="Arial" w:hAnsi="Arial" w:cs="Arial"/>
              </w:rPr>
            </w:pPr>
            <w:r w:rsidRPr="00CD7572">
              <w:rPr>
                <w:rFonts w:ascii="Arial" w:hAnsi="Arial" w:cs="Arial"/>
              </w:rPr>
              <w:t>12.9</w:t>
            </w:r>
          </w:p>
        </w:tc>
      </w:tr>
      <w:tr w:rsidR="006A2C17" w:rsidTr="00E245D6">
        <w:trPr>
          <w:trHeight w:val="277"/>
        </w:trPr>
        <w:tc>
          <w:tcPr>
            <w:tcW w:w="5227" w:type="dxa"/>
            <w:tcBorders>
              <w:top w:val="nil"/>
              <w:left w:val="nil"/>
              <w:bottom w:val="nil"/>
              <w:right w:val="nil"/>
            </w:tcBorders>
          </w:tcPr>
          <w:p w:rsidR="00CD7572" w:rsidRPr="00CD7572" w:rsidRDefault="0062660D" w:rsidP="00CD7572">
            <w:pPr>
              <w:rPr>
                <w:rFonts w:ascii="Arial" w:hAnsi="Arial" w:cs="Arial"/>
                <w:b/>
              </w:rPr>
            </w:pPr>
            <w:r w:rsidRPr="00CD7572">
              <w:rPr>
                <w:rFonts w:ascii="Arial" w:hAnsi="Arial" w:cs="Arial"/>
                <w:b/>
              </w:rPr>
              <w:t>Overseas managed funds:</w:t>
            </w:r>
          </w:p>
        </w:tc>
        <w:tc>
          <w:tcPr>
            <w:tcW w:w="1424" w:type="dxa"/>
            <w:tcBorders>
              <w:top w:val="nil"/>
              <w:left w:val="nil"/>
              <w:bottom w:val="nil"/>
              <w:right w:val="nil"/>
            </w:tcBorders>
          </w:tcPr>
          <w:p w:rsidR="00CD7572" w:rsidRPr="00CD7572" w:rsidRDefault="0062660D" w:rsidP="00CD7572">
            <w:pPr>
              <w:jc w:val="right"/>
              <w:rPr>
                <w:rFonts w:ascii="Arial" w:hAnsi="Arial" w:cs="Arial"/>
              </w:rPr>
            </w:pPr>
          </w:p>
        </w:tc>
        <w:tc>
          <w:tcPr>
            <w:tcW w:w="432" w:type="dxa"/>
            <w:tcBorders>
              <w:top w:val="nil"/>
              <w:left w:val="nil"/>
              <w:bottom w:val="nil"/>
              <w:right w:val="nil"/>
            </w:tcBorders>
          </w:tcPr>
          <w:p w:rsidR="00CD7572" w:rsidRPr="00CD7572" w:rsidRDefault="0062660D" w:rsidP="00CD7572">
            <w:pPr>
              <w:jc w:val="right"/>
              <w:rPr>
                <w:rFonts w:ascii="Arial" w:hAnsi="Arial" w:cs="Arial"/>
              </w:rPr>
            </w:pPr>
          </w:p>
        </w:tc>
        <w:tc>
          <w:tcPr>
            <w:tcW w:w="1705" w:type="dxa"/>
            <w:tcBorders>
              <w:top w:val="nil"/>
              <w:left w:val="nil"/>
              <w:bottom w:val="nil"/>
              <w:right w:val="nil"/>
            </w:tcBorders>
          </w:tcPr>
          <w:p w:rsidR="00CD7572" w:rsidRPr="00CD7572" w:rsidRDefault="0062660D" w:rsidP="00CD7572">
            <w:pPr>
              <w:jc w:val="right"/>
              <w:rPr>
                <w:rFonts w:ascii="Arial" w:hAnsi="Arial" w:cs="Arial"/>
              </w:rPr>
            </w:pPr>
          </w:p>
        </w:tc>
      </w:tr>
      <w:tr w:rsidR="006A2C17" w:rsidTr="00E245D6">
        <w:trPr>
          <w:trHeight w:val="262"/>
        </w:trPr>
        <w:tc>
          <w:tcPr>
            <w:tcW w:w="5227" w:type="dxa"/>
            <w:tcBorders>
              <w:top w:val="nil"/>
              <w:left w:val="nil"/>
              <w:bottom w:val="nil"/>
              <w:right w:val="nil"/>
            </w:tcBorders>
          </w:tcPr>
          <w:p w:rsidR="00CD7572" w:rsidRPr="00CD7572" w:rsidRDefault="0062660D" w:rsidP="00CD7572">
            <w:pPr>
              <w:rPr>
                <w:rFonts w:ascii="Arial" w:hAnsi="Arial" w:cs="Arial"/>
              </w:rPr>
            </w:pPr>
            <w:r w:rsidRPr="00CD7572">
              <w:rPr>
                <w:rFonts w:ascii="Arial" w:hAnsi="Arial" w:cs="Arial"/>
              </w:rPr>
              <w:t>Equity funds</w:t>
            </w:r>
          </w:p>
        </w:tc>
        <w:tc>
          <w:tcPr>
            <w:tcW w:w="1424" w:type="dxa"/>
            <w:tcBorders>
              <w:top w:val="nil"/>
              <w:left w:val="nil"/>
              <w:bottom w:val="nil"/>
              <w:right w:val="nil"/>
            </w:tcBorders>
          </w:tcPr>
          <w:p w:rsidR="00CD7572" w:rsidRPr="00CD7572" w:rsidRDefault="0062660D" w:rsidP="00CD7572">
            <w:pPr>
              <w:jc w:val="right"/>
              <w:rPr>
                <w:rFonts w:ascii="Arial" w:hAnsi="Arial" w:cs="Arial"/>
              </w:rPr>
            </w:pPr>
            <w:r w:rsidRPr="00CD7572">
              <w:rPr>
                <w:rFonts w:ascii="Arial" w:hAnsi="Arial" w:cs="Arial"/>
              </w:rPr>
              <w:t>485.7</w:t>
            </w:r>
          </w:p>
        </w:tc>
        <w:tc>
          <w:tcPr>
            <w:tcW w:w="432" w:type="dxa"/>
            <w:tcBorders>
              <w:top w:val="nil"/>
              <w:left w:val="nil"/>
              <w:bottom w:val="nil"/>
              <w:right w:val="nil"/>
            </w:tcBorders>
          </w:tcPr>
          <w:p w:rsidR="00CD7572" w:rsidRPr="00CD7572" w:rsidRDefault="0062660D" w:rsidP="00CD7572">
            <w:pPr>
              <w:jc w:val="right"/>
              <w:rPr>
                <w:rFonts w:ascii="Arial" w:hAnsi="Arial" w:cs="Arial"/>
              </w:rPr>
            </w:pPr>
          </w:p>
        </w:tc>
        <w:tc>
          <w:tcPr>
            <w:tcW w:w="1705" w:type="dxa"/>
            <w:tcBorders>
              <w:top w:val="nil"/>
              <w:left w:val="nil"/>
              <w:bottom w:val="nil"/>
              <w:right w:val="nil"/>
            </w:tcBorders>
          </w:tcPr>
          <w:p w:rsidR="00CD7572" w:rsidRPr="00CD7572" w:rsidRDefault="0062660D" w:rsidP="00CD7572">
            <w:pPr>
              <w:jc w:val="right"/>
              <w:rPr>
                <w:rFonts w:ascii="Arial" w:hAnsi="Arial" w:cs="Arial"/>
              </w:rPr>
            </w:pPr>
            <w:r w:rsidRPr="00CD7572">
              <w:rPr>
                <w:rFonts w:ascii="Arial" w:hAnsi="Arial" w:cs="Arial"/>
              </w:rPr>
              <w:t>505.0</w:t>
            </w:r>
          </w:p>
        </w:tc>
      </w:tr>
      <w:tr w:rsidR="006A2C17" w:rsidTr="00E245D6">
        <w:trPr>
          <w:trHeight w:val="277"/>
        </w:trPr>
        <w:tc>
          <w:tcPr>
            <w:tcW w:w="5227" w:type="dxa"/>
            <w:tcBorders>
              <w:top w:val="nil"/>
              <w:left w:val="nil"/>
              <w:bottom w:val="nil"/>
              <w:right w:val="nil"/>
            </w:tcBorders>
          </w:tcPr>
          <w:p w:rsidR="00CD7572" w:rsidRPr="00CD7572" w:rsidRDefault="0062660D" w:rsidP="00CD7572">
            <w:pPr>
              <w:rPr>
                <w:rFonts w:ascii="Arial" w:hAnsi="Arial" w:cs="Arial"/>
              </w:rPr>
            </w:pPr>
            <w:r w:rsidRPr="00CD7572">
              <w:rPr>
                <w:rFonts w:ascii="Arial" w:hAnsi="Arial" w:cs="Arial"/>
              </w:rPr>
              <w:t>Fixed income funds</w:t>
            </w:r>
          </w:p>
        </w:tc>
        <w:tc>
          <w:tcPr>
            <w:tcW w:w="1424" w:type="dxa"/>
            <w:tcBorders>
              <w:top w:val="nil"/>
              <w:left w:val="nil"/>
              <w:bottom w:val="nil"/>
              <w:right w:val="nil"/>
            </w:tcBorders>
          </w:tcPr>
          <w:p w:rsidR="00CD7572" w:rsidRPr="00CD7572" w:rsidRDefault="0062660D" w:rsidP="00CD7572">
            <w:pPr>
              <w:jc w:val="right"/>
              <w:rPr>
                <w:rFonts w:ascii="Arial" w:hAnsi="Arial" w:cs="Arial"/>
              </w:rPr>
            </w:pPr>
            <w:r w:rsidRPr="00CD7572">
              <w:rPr>
                <w:rFonts w:ascii="Arial" w:hAnsi="Arial" w:cs="Arial"/>
              </w:rPr>
              <w:t>1,097.3</w:t>
            </w:r>
          </w:p>
        </w:tc>
        <w:tc>
          <w:tcPr>
            <w:tcW w:w="432" w:type="dxa"/>
            <w:tcBorders>
              <w:top w:val="nil"/>
              <w:left w:val="nil"/>
              <w:bottom w:val="nil"/>
              <w:right w:val="nil"/>
            </w:tcBorders>
          </w:tcPr>
          <w:p w:rsidR="00CD7572" w:rsidRPr="00CD7572" w:rsidRDefault="0062660D" w:rsidP="00CD7572">
            <w:pPr>
              <w:jc w:val="right"/>
              <w:rPr>
                <w:rFonts w:ascii="Arial" w:hAnsi="Arial" w:cs="Arial"/>
              </w:rPr>
            </w:pPr>
          </w:p>
        </w:tc>
        <w:tc>
          <w:tcPr>
            <w:tcW w:w="1705" w:type="dxa"/>
            <w:tcBorders>
              <w:top w:val="nil"/>
              <w:left w:val="nil"/>
              <w:bottom w:val="nil"/>
              <w:right w:val="nil"/>
            </w:tcBorders>
          </w:tcPr>
          <w:p w:rsidR="00CD7572" w:rsidRPr="00CD7572" w:rsidRDefault="0062660D" w:rsidP="00CD7572">
            <w:pPr>
              <w:jc w:val="right"/>
              <w:rPr>
                <w:rFonts w:ascii="Arial" w:hAnsi="Arial" w:cs="Arial"/>
              </w:rPr>
            </w:pPr>
            <w:r w:rsidRPr="00CD7572">
              <w:rPr>
                <w:rFonts w:ascii="Arial" w:hAnsi="Arial" w:cs="Arial"/>
              </w:rPr>
              <w:t>1,443.8</w:t>
            </w:r>
          </w:p>
        </w:tc>
      </w:tr>
      <w:tr w:rsidR="006A2C17" w:rsidTr="00E245D6">
        <w:trPr>
          <w:trHeight w:val="277"/>
        </w:trPr>
        <w:tc>
          <w:tcPr>
            <w:tcW w:w="5227" w:type="dxa"/>
            <w:tcBorders>
              <w:top w:val="nil"/>
              <w:left w:val="nil"/>
              <w:bottom w:val="nil"/>
              <w:right w:val="nil"/>
            </w:tcBorders>
          </w:tcPr>
          <w:p w:rsidR="00CD7572" w:rsidRPr="00CD7572" w:rsidRDefault="0062660D" w:rsidP="00CD7572">
            <w:pPr>
              <w:rPr>
                <w:rFonts w:ascii="Arial" w:hAnsi="Arial" w:cs="Arial"/>
              </w:rPr>
            </w:pPr>
            <w:r w:rsidRPr="00CD7572">
              <w:rPr>
                <w:rFonts w:ascii="Arial" w:hAnsi="Arial" w:cs="Arial"/>
              </w:rPr>
              <w:t>Cash funds</w:t>
            </w:r>
          </w:p>
        </w:tc>
        <w:tc>
          <w:tcPr>
            <w:tcW w:w="1424" w:type="dxa"/>
            <w:tcBorders>
              <w:top w:val="nil"/>
              <w:left w:val="nil"/>
              <w:bottom w:val="nil"/>
              <w:right w:val="nil"/>
            </w:tcBorders>
          </w:tcPr>
          <w:p w:rsidR="00CD7572" w:rsidRPr="00CD7572" w:rsidRDefault="0062660D" w:rsidP="00CD7572">
            <w:pPr>
              <w:jc w:val="right"/>
              <w:rPr>
                <w:rFonts w:ascii="Arial" w:hAnsi="Arial" w:cs="Arial"/>
              </w:rPr>
            </w:pPr>
            <w:r w:rsidRPr="00CD7572">
              <w:rPr>
                <w:rFonts w:ascii="Arial" w:hAnsi="Arial" w:cs="Arial"/>
              </w:rPr>
              <w:t>0.6</w:t>
            </w:r>
          </w:p>
        </w:tc>
        <w:tc>
          <w:tcPr>
            <w:tcW w:w="432" w:type="dxa"/>
            <w:tcBorders>
              <w:top w:val="nil"/>
              <w:left w:val="nil"/>
              <w:bottom w:val="nil"/>
              <w:right w:val="nil"/>
            </w:tcBorders>
          </w:tcPr>
          <w:p w:rsidR="00CD7572" w:rsidRPr="00CD7572" w:rsidRDefault="0062660D" w:rsidP="00CD7572">
            <w:pPr>
              <w:jc w:val="right"/>
              <w:rPr>
                <w:rFonts w:ascii="Arial" w:hAnsi="Arial" w:cs="Arial"/>
              </w:rPr>
            </w:pPr>
          </w:p>
        </w:tc>
        <w:tc>
          <w:tcPr>
            <w:tcW w:w="1705" w:type="dxa"/>
            <w:tcBorders>
              <w:top w:val="nil"/>
              <w:left w:val="nil"/>
              <w:bottom w:val="nil"/>
              <w:right w:val="nil"/>
            </w:tcBorders>
          </w:tcPr>
          <w:p w:rsidR="00CD7572" w:rsidRPr="00CD7572" w:rsidRDefault="0062660D" w:rsidP="00CD7572">
            <w:pPr>
              <w:jc w:val="right"/>
              <w:rPr>
                <w:rFonts w:ascii="Arial" w:hAnsi="Arial" w:cs="Arial"/>
              </w:rPr>
            </w:pPr>
            <w:r w:rsidRPr="00CD7572">
              <w:rPr>
                <w:rFonts w:ascii="Arial" w:hAnsi="Arial" w:cs="Arial"/>
              </w:rPr>
              <w:t>0.5</w:t>
            </w:r>
          </w:p>
        </w:tc>
      </w:tr>
      <w:tr w:rsidR="006A2C17" w:rsidTr="00E245D6">
        <w:trPr>
          <w:trHeight w:val="277"/>
        </w:trPr>
        <w:tc>
          <w:tcPr>
            <w:tcW w:w="5227" w:type="dxa"/>
            <w:tcBorders>
              <w:top w:val="nil"/>
              <w:left w:val="nil"/>
              <w:bottom w:val="nil"/>
              <w:right w:val="nil"/>
            </w:tcBorders>
          </w:tcPr>
          <w:p w:rsidR="00CD7572" w:rsidRPr="00CD7572" w:rsidRDefault="0062660D" w:rsidP="00CD7572">
            <w:pPr>
              <w:rPr>
                <w:rFonts w:ascii="Arial" w:hAnsi="Arial" w:cs="Arial"/>
              </w:rPr>
            </w:pPr>
            <w:r w:rsidRPr="00CD7572">
              <w:rPr>
                <w:rFonts w:ascii="Arial" w:hAnsi="Arial" w:cs="Arial"/>
              </w:rPr>
              <w:t xml:space="preserve">Property </w:t>
            </w:r>
            <w:r w:rsidRPr="00CD7572">
              <w:rPr>
                <w:rFonts w:ascii="Arial" w:hAnsi="Arial" w:cs="Arial"/>
              </w:rPr>
              <w:t>funds</w:t>
            </w:r>
          </w:p>
        </w:tc>
        <w:tc>
          <w:tcPr>
            <w:tcW w:w="1424" w:type="dxa"/>
            <w:tcBorders>
              <w:top w:val="nil"/>
              <w:left w:val="nil"/>
              <w:bottom w:val="nil"/>
              <w:right w:val="nil"/>
            </w:tcBorders>
          </w:tcPr>
          <w:p w:rsidR="00CD7572" w:rsidRPr="00CD7572" w:rsidRDefault="0062660D" w:rsidP="00CD7572">
            <w:pPr>
              <w:jc w:val="right"/>
              <w:rPr>
                <w:rFonts w:ascii="Arial" w:hAnsi="Arial" w:cs="Arial"/>
              </w:rPr>
            </w:pPr>
            <w:r w:rsidRPr="00CD7572">
              <w:rPr>
                <w:rFonts w:ascii="Arial" w:hAnsi="Arial" w:cs="Arial"/>
              </w:rPr>
              <w:t>36.1</w:t>
            </w:r>
          </w:p>
        </w:tc>
        <w:tc>
          <w:tcPr>
            <w:tcW w:w="432" w:type="dxa"/>
            <w:tcBorders>
              <w:top w:val="nil"/>
              <w:left w:val="nil"/>
              <w:bottom w:val="nil"/>
              <w:right w:val="nil"/>
            </w:tcBorders>
          </w:tcPr>
          <w:p w:rsidR="00CD7572" w:rsidRPr="00CD7572" w:rsidRDefault="0062660D" w:rsidP="00CD7572">
            <w:pPr>
              <w:jc w:val="right"/>
              <w:rPr>
                <w:rFonts w:ascii="Arial" w:hAnsi="Arial" w:cs="Arial"/>
              </w:rPr>
            </w:pPr>
          </w:p>
        </w:tc>
        <w:tc>
          <w:tcPr>
            <w:tcW w:w="1705" w:type="dxa"/>
            <w:tcBorders>
              <w:top w:val="nil"/>
              <w:left w:val="nil"/>
              <w:bottom w:val="nil"/>
              <w:right w:val="nil"/>
            </w:tcBorders>
          </w:tcPr>
          <w:p w:rsidR="00CD7572" w:rsidRPr="00CD7572" w:rsidRDefault="0062660D" w:rsidP="00CD7572">
            <w:pPr>
              <w:jc w:val="right"/>
              <w:rPr>
                <w:rFonts w:ascii="Arial" w:hAnsi="Arial" w:cs="Arial"/>
              </w:rPr>
            </w:pPr>
            <w:r w:rsidRPr="00CD7572">
              <w:rPr>
                <w:rFonts w:ascii="Arial" w:hAnsi="Arial" w:cs="Arial"/>
              </w:rPr>
              <w:t>30.1</w:t>
            </w:r>
          </w:p>
        </w:tc>
      </w:tr>
      <w:tr w:rsidR="006A2C17" w:rsidTr="00CD7572">
        <w:trPr>
          <w:trHeight w:val="277"/>
        </w:trPr>
        <w:tc>
          <w:tcPr>
            <w:tcW w:w="5227" w:type="dxa"/>
            <w:tcBorders>
              <w:top w:val="nil"/>
              <w:left w:val="nil"/>
              <w:bottom w:val="nil"/>
              <w:right w:val="nil"/>
            </w:tcBorders>
          </w:tcPr>
          <w:p w:rsidR="00CD7572" w:rsidRPr="00CD7572" w:rsidRDefault="0062660D" w:rsidP="00CD7572">
            <w:pPr>
              <w:rPr>
                <w:rFonts w:ascii="Arial" w:hAnsi="Arial" w:cs="Arial"/>
              </w:rPr>
            </w:pPr>
            <w:r w:rsidRPr="00CD7572">
              <w:rPr>
                <w:rFonts w:ascii="Arial" w:hAnsi="Arial" w:cs="Arial"/>
              </w:rPr>
              <w:t>Venture capital</w:t>
            </w:r>
          </w:p>
        </w:tc>
        <w:tc>
          <w:tcPr>
            <w:tcW w:w="1424" w:type="dxa"/>
            <w:tcBorders>
              <w:top w:val="nil"/>
              <w:left w:val="nil"/>
              <w:bottom w:val="single" w:sz="18" w:space="0" w:color="auto"/>
              <w:right w:val="nil"/>
            </w:tcBorders>
          </w:tcPr>
          <w:p w:rsidR="00CD7572" w:rsidRPr="00CD7572" w:rsidRDefault="0062660D" w:rsidP="00CD7572">
            <w:pPr>
              <w:jc w:val="right"/>
              <w:rPr>
                <w:rFonts w:ascii="Arial" w:hAnsi="Arial" w:cs="Arial"/>
              </w:rPr>
            </w:pPr>
            <w:r w:rsidRPr="00CD7572">
              <w:rPr>
                <w:rFonts w:ascii="Arial" w:hAnsi="Arial" w:cs="Arial"/>
              </w:rPr>
              <w:t>842.0</w:t>
            </w:r>
          </w:p>
        </w:tc>
        <w:tc>
          <w:tcPr>
            <w:tcW w:w="432" w:type="dxa"/>
            <w:tcBorders>
              <w:top w:val="nil"/>
              <w:left w:val="nil"/>
              <w:bottom w:val="nil"/>
              <w:right w:val="nil"/>
            </w:tcBorders>
          </w:tcPr>
          <w:p w:rsidR="00CD7572" w:rsidRPr="00CD7572" w:rsidRDefault="0062660D" w:rsidP="00CD7572">
            <w:pPr>
              <w:jc w:val="right"/>
              <w:rPr>
                <w:rFonts w:ascii="Arial" w:hAnsi="Arial" w:cs="Arial"/>
              </w:rPr>
            </w:pPr>
          </w:p>
        </w:tc>
        <w:tc>
          <w:tcPr>
            <w:tcW w:w="1705" w:type="dxa"/>
            <w:tcBorders>
              <w:top w:val="nil"/>
              <w:left w:val="nil"/>
              <w:bottom w:val="single" w:sz="18" w:space="0" w:color="auto"/>
              <w:right w:val="nil"/>
            </w:tcBorders>
          </w:tcPr>
          <w:p w:rsidR="00CD7572" w:rsidRPr="00CD7572" w:rsidRDefault="0062660D" w:rsidP="00CD7572">
            <w:pPr>
              <w:jc w:val="right"/>
              <w:rPr>
                <w:rFonts w:ascii="Arial" w:hAnsi="Arial" w:cs="Arial"/>
              </w:rPr>
            </w:pPr>
            <w:r w:rsidRPr="00CD7572">
              <w:rPr>
                <w:rFonts w:ascii="Arial" w:hAnsi="Arial" w:cs="Arial"/>
              </w:rPr>
              <w:t>411.2</w:t>
            </w:r>
          </w:p>
        </w:tc>
      </w:tr>
      <w:tr w:rsidR="006A2C17" w:rsidTr="00CD7572">
        <w:trPr>
          <w:trHeight w:val="262"/>
        </w:trPr>
        <w:tc>
          <w:tcPr>
            <w:tcW w:w="5227" w:type="dxa"/>
            <w:tcBorders>
              <w:top w:val="nil"/>
              <w:left w:val="nil"/>
              <w:bottom w:val="nil"/>
              <w:right w:val="nil"/>
            </w:tcBorders>
          </w:tcPr>
          <w:p w:rsidR="00CD7572" w:rsidRPr="00CD7572" w:rsidRDefault="0062660D" w:rsidP="00CD7572"/>
        </w:tc>
        <w:tc>
          <w:tcPr>
            <w:tcW w:w="1424" w:type="dxa"/>
            <w:tcBorders>
              <w:top w:val="single" w:sz="18" w:space="0" w:color="auto"/>
              <w:left w:val="nil"/>
              <w:bottom w:val="single" w:sz="18" w:space="0" w:color="auto"/>
              <w:right w:val="nil"/>
            </w:tcBorders>
          </w:tcPr>
          <w:p w:rsidR="00CD7572" w:rsidRPr="00CD7572" w:rsidRDefault="0062660D" w:rsidP="00CD7572">
            <w:pPr>
              <w:jc w:val="right"/>
              <w:rPr>
                <w:rFonts w:ascii="Arial" w:hAnsi="Arial" w:cs="Arial"/>
              </w:rPr>
            </w:pPr>
            <w:r w:rsidRPr="00CD7572">
              <w:rPr>
                <w:rFonts w:ascii="Arial" w:hAnsi="Arial" w:cs="Arial"/>
              </w:rPr>
              <w:t>2,935.6</w:t>
            </w:r>
          </w:p>
        </w:tc>
        <w:tc>
          <w:tcPr>
            <w:tcW w:w="432" w:type="dxa"/>
            <w:tcBorders>
              <w:top w:val="nil"/>
              <w:left w:val="nil"/>
              <w:bottom w:val="nil"/>
              <w:right w:val="nil"/>
            </w:tcBorders>
          </w:tcPr>
          <w:p w:rsidR="00CD7572" w:rsidRPr="00CD7572" w:rsidRDefault="0062660D" w:rsidP="00CD7572">
            <w:pPr>
              <w:jc w:val="right"/>
            </w:pPr>
          </w:p>
        </w:tc>
        <w:tc>
          <w:tcPr>
            <w:tcW w:w="1705" w:type="dxa"/>
            <w:tcBorders>
              <w:top w:val="single" w:sz="18" w:space="0" w:color="auto"/>
              <w:left w:val="nil"/>
              <w:bottom w:val="single" w:sz="18" w:space="0" w:color="auto"/>
              <w:right w:val="nil"/>
            </w:tcBorders>
          </w:tcPr>
          <w:p w:rsidR="00CD7572" w:rsidRPr="00CD7572" w:rsidRDefault="0062660D" w:rsidP="00CD7572">
            <w:pPr>
              <w:jc w:val="right"/>
            </w:pPr>
            <w:r w:rsidRPr="00CD7572">
              <w:rPr>
                <w:rFonts w:ascii="Arial" w:hAnsi="Arial" w:cs="Arial"/>
              </w:rPr>
              <w:t>2,740.2</w:t>
            </w:r>
          </w:p>
        </w:tc>
      </w:tr>
      <w:tr w:rsidR="006A2C17" w:rsidTr="00CD7572">
        <w:trPr>
          <w:trHeight w:val="262"/>
        </w:trPr>
        <w:tc>
          <w:tcPr>
            <w:tcW w:w="5227" w:type="dxa"/>
            <w:tcBorders>
              <w:top w:val="nil"/>
              <w:left w:val="nil"/>
              <w:bottom w:val="nil"/>
              <w:right w:val="nil"/>
            </w:tcBorders>
          </w:tcPr>
          <w:p w:rsidR="00CD7572" w:rsidRPr="00CD7572" w:rsidRDefault="0062660D" w:rsidP="00CD7572"/>
        </w:tc>
        <w:tc>
          <w:tcPr>
            <w:tcW w:w="1424" w:type="dxa"/>
            <w:tcBorders>
              <w:top w:val="single" w:sz="18" w:space="0" w:color="auto"/>
              <w:left w:val="nil"/>
              <w:bottom w:val="nil"/>
              <w:right w:val="nil"/>
            </w:tcBorders>
          </w:tcPr>
          <w:p w:rsidR="00CD7572" w:rsidRPr="00CD7572" w:rsidRDefault="0062660D" w:rsidP="00CD7572">
            <w:pPr>
              <w:jc w:val="right"/>
            </w:pPr>
          </w:p>
        </w:tc>
        <w:tc>
          <w:tcPr>
            <w:tcW w:w="432" w:type="dxa"/>
            <w:tcBorders>
              <w:top w:val="nil"/>
              <w:left w:val="nil"/>
              <w:bottom w:val="nil"/>
              <w:right w:val="nil"/>
            </w:tcBorders>
          </w:tcPr>
          <w:p w:rsidR="00CD7572" w:rsidRPr="00CD7572" w:rsidRDefault="0062660D" w:rsidP="00CD7572">
            <w:pPr>
              <w:jc w:val="right"/>
            </w:pPr>
          </w:p>
        </w:tc>
        <w:tc>
          <w:tcPr>
            <w:tcW w:w="1705" w:type="dxa"/>
            <w:tcBorders>
              <w:top w:val="single" w:sz="18" w:space="0" w:color="auto"/>
              <w:left w:val="nil"/>
              <w:bottom w:val="nil"/>
              <w:right w:val="nil"/>
            </w:tcBorders>
          </w:tcPr>
          <w:p w:rsidR="00CD7572" w:rsidRPr="00CD7572" w:rsidRDefault="0062660D" w:rsidP="00CD7572">
            <w:pPr>
              <w:jc w:val="right"/>
            </w:pPr>
          </w:p>
        </w:tc>
      </w:tr>
    </w:tbl>
    <w:p w:rsidR="00CD7572" w:rsidRPr="00CD7572" w:rsidRDefault="0062660D" w:rsidP="00CD7572">
      <w:pPr>
        <w:ind w:left="720"/>
      </w:pPr>
    </w:p>
    <w:tbl>
      <w:tblPr>
        <w:tblStyle w:val="TableGrid1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6A2C17" w:rsidTr="00E245D6">
        <w:tc>
          <w:tcPr>
            <w:tcW w:w="5058" w:type="dxa"/>
          </w:tcPr>
          <w:p w:rsidR="00CD7572" w:rsidRPr="00CD7572" w:rsidRDefault="0062660D" w:rsidP="00CD7572">
            <w:pPr>
              <w:spacing w:after="0"/>
              <w:rPr>
                <w:rFonts w:ascii="Arial" w:hAnsi="Arial" w:cs="Arial"/>
                <w:b/>
              </w:rPr>
            </w:pPr>
          </w:p>
        </w:tc>
        <w:tc>
          <w:tcPr>
            <w:tcW w:w="1559" w:type="dxa"/>
          </w:tcPr>
          <w:p w:rsidR="00CD7572" w:rsidRPr="00CD7572" w:rsidRDefault="0062660D" w:rsidP="00CD7572">
            <w:pPr>
              <w:spacing w:after="0"/>
              <w:jc w:val="right"/>
              <w:rPr>
                <w:rFonts w:ascii="Arial" w:hAnsi="Arial" w:cs="Arial"/>
                <w:b/>
              </w:rPr>
            </w:pPr>
            <w:r w:rsidRPr="00CD7572">
              <w:rPr>
                <w:rFonts w:ascii="Arial" w:hAnsi="Arial" w:cs="Arial"/>
                <w:b/>
              </w:rPr>
              <w:t>31/03/16</w:t>
            </w:r>
          </w:p>
          <w:p w:rsidR="00CD7572" w:rsidRPr="00CD7572" w:rsidRDefault="0062660D" w:rsidP="00CD7572">
            <w:pPr>
              <w:spacing w:after="0"/>
              <w:jc w:val="right"/>
              <w:rPr>
                <w:rFonts w:ascii="Arial" w:hAnsi="Arial" w:cs="Arial"/>
                <w:b/>
              </w:rPr>
            </w:pPr>
            <w:r w:rsidRPr="00CD7572">
              <w:rPr>
                <w:rFonts w:ascii="Arial" w:hAnsi="Arial" w:cs="Arial"/>
                <w:b/>
              </w:rPr>
              <w:t>£m</w:t>
            </w:r>
          </w:p>
        </w:tc>
        <w:tc>
          <w:tcPr>
            <w:tcW w:w="430" w:type="dxa"/>
            <w:tcBorders>
              <w:right w:val="single" w:sz="4" w:space="0" w:color="FFFFFF" w:themeColor="background1"/>
            </w:tcBorders>
          </w:tcPr>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p>
        </w:tc>
        <w:tc>
          <w:tcPr>
            <w:tcW w:w="1696" w:type="dxa"/>
            <w:tcBorders>
              <w:left w:val="single" w:sz="4" w:space="0" w:color="FFFFFF" w:themeColor="background1"/>
            </w:tcBorders>
          </w:tcPr>
          <w:p w:rsidR="00CD7572" w:rsidRPr="00CD7572" w:rsidRDefault="0062660D" w:rsidP="00CD7572">
            <w:pPr>
              <w:spacing w:after="0"/>
              <w:jc w:val="right"/>
              <w:rPr>
                <w:rFonts w:ascii="Arial" w:hAnsi="Arial" w:cs="Arial"/>
                <w:b/>
              </w:rPr>
            </w:pPr>
            <w:r w:rsidRPr="00CD7572">
              <w:rPr>
                <w:rFonts w:ascii="Arial" w:hAnsi="Arial" w:cs="Arial"/>
                <w:b/>
              </w:rPr>
              <w:t>31/03/15</w:t>
            </w:r>
          </w:p>
          <w:p w:rsidR="00CD7572" w:rsidRPr="00CD7572" w:rsidRDefault="0062660D" w:rsidP="00CD7572">
            <w:pPr>
              <w:spacing w:after="0"/>
              <w:jc w:val="right"/>
              <w:rPr>
                <w:rFonts w:ascii="Arial" w:hAnsi="Arial" w:cs="Arial"/>
                <w:b/>
              </w:rPr>
            </w:pPr>
            <w:r w:rsidRPr="00CD7572">
              <w:rPr>
                <w:rFonts w:ascii="Arial" w:hAnsi="Arial" w:cs="Arial"/>
                <w:b/>
              </w:rPr>
              <w:t>£m</w:t>
            </w:r>
          </w:p>
        </w:tc>
      </w:tr>
      <w:tr w:rsidR="006A2C17" w:rsidTr="00E245D6">
        <w:tc>
          <w:tcPr>
            <w:tcW w:w="5058" w:type="dxa"/>
          </w:tcPr>
          <w:p w:rsidR="00CD7572" w:rsidRPr="00CD7572" w:rsidRDefault="0062660D" w:rsidP="00CD7572">
            <w:pPr>
              <w:rPr>
                <w:rFonts w:ascii="Arial" w:hAnsi="Arial" w:cs="Arial"/>
                <w:b/>
              </w:rPr>
            </w:pPr>
            <w:r w:rsidRPr="00CD7572">
              <w:rPr>
                <w:rFonts w:ascii="Arial" w:hAnsi="Arial" w:cs="Arial"/>
                <w:b/>
              </w:rPr>
              <w:t>Properties</w:t>
            </w:r>
          </w:p>
        </w:tc>
        <w:tc>
          <w:tcPr>
            <w:tcW w:w="1559" w:type="dxa"/>
          </w:tcPr>
          <w:p w:rsidR="00CD7572" w:rsidRPr="00CD7572" w:rsidRDefault="0062660D" w:rsidP="00CD7572">
            <w:pPr>
              <w:jc w:val="right"/>
              <w:rPr>
                <w:rFonts w:ascii="Arial" w:hAnsi="Arial" w:cs="Arial"/>
              </w:rPr>
            </w:pP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left w:val="single" w:sz="4" w:space="0" w:color="FFFFFF" w:themeColor="background1"/>
            </w:tcBorders>
          </w:tcPr>
          <w:p w:rsidR="00CD7572" w:rsidRPr="00CD7572" w:rsidRDefault="0062660D" w:rsidP="00CD7572">
            <w:pPr>
              <w:jc w:val="right"/>
              <w:rPr>
                <w:rFonts w:ascii="Arial" w:hAnsi="Arial" w:cs="Arial"/>
              </w:rPr>
            </w:pP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UK – freehold</w:t>
            </w:r>
          </w:p>
        </w:tc>
        <w:tc>
          <w:tcPr>
            <w:tcW w:w="1559" w:type="dxa"/>
          </w:tcPr>
          <w:p w:rsidR="00CD7572" w:rsidRPr="00CD7572" w:rsidRDefault="0062660D" w:rsidP="00CD7572">
            <w:pPr>
              <w:jc w:val="right"/>
              <w:rPr>
                <w:rFonts w:ascii="Arial" w:hAnsi="Arial" w:cs="Arial"/>
              </w:rPr>
            </w:pPr>
            <w:r w:rsidRPr="00CD7572">
              <w:rPr>
                <w:rFonts w:ascii="Arial" w:hAnsi="Arial" w:cs="Arial"/>
              </w:rPr>
              <w:t>515.7</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Pr>
          <w:p w:rsidR="00CD7572" w:rsidRPr="00CD7572" w:rsidRDefault="0062660D" w:rsidP="00CD7572">
            <w:pPr>
              <w:jc w:val="right"/>
              <w:rPr>
                <w:rFonts w:ascii="Arial" w:hAnsi="Arial" w:cs="Arial"/>
              </w:rPr>
            </w:pPr>
            <w:r w:rsidRPr="00CD7572">
              <w:rPr>
                <w:rFonts w:ascii="Arial" w:hAnsi="Arial" w:cs="Arial"/>
              </w:rPr>
              <w:t>460.6</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UK – long leasehold</w:t>
            </w:r>
          </w:p>
        </w:tc>
        <w:tc>
          <w:tcPr>
            <w:tcW w:w="1559" w:type="dxa"/>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92.4</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70.8</w:t>
            </w:r>
          </w:p>
        </w:tc>
      </w:tr>
      <w:tr w:rsidR="006A2C17" w:rsidTr="00E245D6">
        <w:tc>
          <w:tcPr>
            <w:tcW w:w="5058" w:type="dxa"/>
          </w:tcPr>
          <w:p w:rsidR="00CD7572" w:rsidRPr="00CD7572" w:rsidRDefault="0062660D" w:rsidP="00CD7572">
            <w:pPr>
              <w:rPr>
                <w:rFonts w:ascii="Arial" w:hAnsi="Arial" w:cs="Arial"/>
              </w:rPr>
            </w:pPr>
          </w:p>
        </w:tc>
        <w:tc>
          <w:tcPr>
            <w:tcW w:w="1559"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608.1</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531.4</w:t>
            </w:r>
          </w:p>
        </w:tc>
      </w:tr>
    </w:tbl>
    <w:p w:rsidR="00CD7572" w:rsidRPr="00CD7572" w:rsidRDefault="0062660D" w:rsidP="00CD7572"/>
    <w:p w:rsidR="00CD7572" w:rsidRPr="00CD7572" w:rsidRDefault="0062660D" w:rsidP="00CD7572">
      <w:pPr>
        <w:tabs>
          <w:tab w:val="left" w:pos="1080"/>
        </w:tabs>
        <w:spacing w:after="80"/>
        <w:ind w:left="709"/>
      </w:pPr>
    </w:p>
    <w:tbl>
      <w:tblPr>
        <w:tblStyle w:val="TableGrid11"/>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
        <w:gridCol w:w="5801"/>
        <w:gridCol w:w="1559"/>
        <w:gridCol w:w="430"/>
        <w:gridCol w:w="1543"/>
        <w:gridCol w:w="153"/>
      </w:tblGrid>
      <w:tr w:rsidR="006A2C17" w:rsidTr="00E245D6">
        <w:trPr>
          <w:gridAfter w:val="1"/>
          <w:wAfter w:w="153" w:type="dxa"/>
        </w:trPr>
        <w:tc>
          <w:tcPr>
            <w:tcW w:w="9486" w:type="dxa"/>
            <w:gridSpan w:val="5"/>
          </w:tcPr>
          <w:p w:rsidR="00CD7572" w:rsidRPr="00CD7572" w:rsidRDefault="0062660D" w:rsidP="00CD7572">
            <w:pPr>
              <w:ind w:left="720" w:hanging="720"/>
              <w:rPr>
                <w:rFonts w:ascii="Arial" w:hAnsi="Arial" w:cs="Arial"/>
                <w:b/>
              </w:rPr>
            </w:pPr>
            <w:r w:rsidRPr="00CD7572">
              <w:rPr>
                <w:rFonts w:ascii="Arial" w:hAnsi="Arial" w:cs="Arial"/>
                <w:b/>
              </w:rPr>
              <w:t>Property holdings</w:t>
            </w:r>
          </w:p>
          <w:p w:rsidR="00CD7572" w:rsidRPr="00CD7572" w:rsidRDefault="0062660D" w:rsidP="00CD7572">
            <w:pPr>
              <w:tabs>
                <w:tab w:val="left" w:pos="993"/>
              </w:tabs>
              <w:ind w:firstLine="23"/>
              <w:jc w:val="left"/>
              <w:rPr>
                <w:rFonts w:ascii="Arial" w:hAnsi="Arial" w:cs="Arial"/>
                <w:b/>
              </w:rPr>
            </w:pPr>
            <w:r w:rsidRPr="00CD7572">
              <w:rPr>
                <w:rFonts w:ascii="Arial" w:hAnsi="Arial" w:cs="Arial"/>
              </w:rPr>
              <w:t xml:space="preserve">The Fund's investment in property comprises </w:t>
            </w:r>
            <w:r w:rsidRPr="00CD7572">
              <w:rPr>
                <w:rFonts w:ascii="Arial" w:hAnsi="Arial" w:cs="Arial"/>
              </w:rPr>
              <w:t>of investments in pooled property funds along with a number of directly owned properties which are leased commercially to various tenants.  Details of these directly owned properties are as follows.</w:t>
            </w:r>
          </w:p>
        </w:tc>
      </w:tr>
      <w:tr w:rsidR="006A2C17" w:rsidTr="00E245D6">
        <w:trPr>
          <w:gridBefore w:val="1"/>
          <w:wBefore w:w="153" w:type="dxa"/>
        </w:trPr>
        <w:tc>
          <w:tcPr>
            <w:tcW w:w="5801" w:type="dxa"/>
          </w:tcPr>
          <w:p w:rsidR="00CD7572" w:rsidRPr="00CD7572" w:rsidRDefault="0062660D" w:rsidP="00CD7572">
            <w:pPr>
              <w:tabs>
                <w:tab w:val="left" w:pos="993"/>
              </w:tabs>
              <w:spacing w:after="0"/>
              <w:ind w:right="-3686"/>
              <w:rPr>
                <w:rFonts w:ascii="Arial" w:hAnsi="Arial" w:cs="Arial"/>
                <w:b/>
              </w:rPr>
            </w:pPr>
          </w:p>
          <w:p w:rsidR="00CD7572" w:rsidRPr="00CD7572" w:rsidRDefault="0062660D" w:rsidP="00CD7572">
            <w:pPr>
              <w:tabs>
                <w:tab w:val="left" w:pos="993"/>
              </w:tabs>
              <w:spacing w:after="0"/>
              <w:rPr>
                <w:rFonts w:ascii="Arial" w:hAnsi="Arial" w:cs="Arial"/>
                <w:b/>
              </w:rPr>
            </w:pPr>
          </w:p>
          <w:p w:rsidR="00CD7572" w:rsidRPr="00CD7572" w:rsidRDefault="0062660D" w:rsidP="00CD7572">
            <w:pPr>
              <w:tabs>
                <w:tab w:val="left" w:pos="993"/>
              </w:tabs>
              <w:spacing w:after="0"/>
              <w:rPr>
                <w:rFonts w:ascii="Arial" w:hAnsi="Arial" w:cs="Arial"/>
                <w:b/>
              </w:rPr>
            </w:pPr>
          </w:p>
        </w:tc>
        <w:tc>
          <w:tcPr>
            <w:tcW w:w="1559" w:type="dxa"/>
          </w:tcPr>
          <w:p w:rsidR="00CD7572" w:rsidRPr="00CD7572" w:rsidRDefault="0062660D" w:rsidP="00CD7572">
            <w:pPr>
              <w:tabs>
                <w:tab w:val="left" w:pos="993"/>
              </w:tabs>
              <w:spacing w:after="0"/>
              <w:jc w:val="right"/>
              <w:rPr>
                <w:rFonts w:ascii="Arial" w:hAnsi="Arial" w:cs="Arial"/>
                <w:b/>
              </w:rPr>
            </w:pPr>
          </w:p>
          <w:p w:rsidR="00CD7572" w:rsidRPr="00CD7572" w:rsidRDefault="0062660D" w:rsidP="00CD7572">
            <w:pPr>
              <w:tabs>
                <w:tab w:val="left" w:pos="993"/>
              </w:tabs>
              <w:spacing w:after="0"/>
              <w:jc w:val="right"/>
              <w:rPr>
                <w:rFonts w:ascii="Arial" w:hAnsi="Arial" w:cs="Arial"/>
                <w:b/>
              </w:rPr>
            </w:pPr>
            <w:r w:rsidRPr="00CD7572">
              <w:rPr>
                <w:rFonts w:ascii="Arial" w:hAnsi="Arial" w:cs="Arial"/>
                <w:b/>
              </w:rPr>
              <w:t>31/03/16</w:t>
            </w:r>
          </w:p>
          <w:p w:rsidR="00CD7572" w:rsidRPr="00CD7572" w:rsidRDefault="0062660D" w:rsidP="00CD7572">
            <w:pPr>
              <w:tabs>
                <w:tab w:val="left" w:pos="993"/>
              </w:tabs>
              <w:spacing w:after="0"/>
              <w:jc w:val="right"/>
              <w:rPr>
                <w:rFonts w:ascii="Arial" w:hAnsi="Arial" w:cs="Arial"/>
                <w:b/>
              </w:rPr>
            </w:pPr>
            <w:r w:rsidRPr="00CD7572">
              <w:rPr>
                <w:rFonts w:ascii="Arial" w:hAnsi="Arial" w:cs="Arial"/>
                <w:b/>
              </w:rPr>
              <w:t>£m</w:t>
            </w:r>
          </w:p>
        </w:tc>
        <w:tc>
          <w:tcPr>
            <w:tcW w:w="430" w:type="dxa"/>
            <w:tcBorders>
              <w:right w:val="single" w:sz="4" w:space="0" w:color="FFFFFF" w:themeColor="background1"/>
            </w:tcBorders>
          </w:tcPr>
          <w:p w:rsidR="00CD7572" w:rsidRPr="00CD7572" w:rsidRDefault="0062660D" w:rsidP="00CD7572">
            <w:pPr>
              <w:tabs>
                <w:tab w:val="left" w:pos="993"/>
              </w:tabs>
              <w:spacing w:after="0"/>
              <w:jc w:val="right"/>
              <w:rPr>
                <w:rFonts w:ascii="Arial" w:hAnsi="Arial" w:cs="Arial"/>
                <w:b/>
              </w:rPr>
            </w:pPr>
          </w:p>
          <w:p w:rsidR="00CD7572" w:rsidRPr="00CD7572" w:rsidRDefault="0062660D" w:rsidP="00CD7572">
            <w:pPr>
              <w:tabs>
                <w:tab w:val="left" w:pos="993"/>
              </w:tabs>
              <w:spacing w:after="0"/>
              <w:jc w:val="right"/>
              <w:rPr>
                <w:rFonts w:ascii="Arial" w:hAnsi="Arial" w:cs="Arial"/>
                <w:b/>
              </w:rPr>
            </w:pPr>
          </w:p>
        </w:tc>
        <w:tc>
          <w:tcPr>
            <w:tcW w:w="1696" w:type="dxa"/>
            <w:gridSpan w:val="2"/>
            <w:tcBorders>
              <w:left w:val="single" w:sz="4" w:space="0" w:color="FFFFFF" w:themeColor="background1"/>
            </w:tcBorders>
          </w:tcPr>
          <w:p w:rsidR="00CD7572" w:rsidRPr="00CD7572" w:rsidRDefault="0062660D" w:rsidP="00CD7572">
            <w:pPr>
              <w:tabs>
                <w:tab w:val="left" w:pos="993"/>
              </w:tabs>
              <w:spacing w:after="0"/>
              <w:jc w:val="right"/>
              <w:rPr>
                <w:rFonts w:ascii="Arial" w:hAnsi="Arial" w:cs="Arial"/>
                <w:b/>
              </w:rPr>
            </w:pPr>
          </w:p>
          <w:p w:rsidR="00CD7572" w:rsidRPr="00CD7572" w:rsidRDefault="0062660D" w:rsidP="00CD7572">
            <w:pPr>
              <w:tabs>
                <w:tab w:val="left" w:pos="993"/>
              </w:tabs>
              <w:spacing w:after="0"/>
              <w:jc w:val="right"/>
              <w:rPr>
                <w:rFonts w:ascii="Arial" w:hAnsi="Arial" w:cs="Arial"/>
                <w:b/>
              </w:rPr>
            </w:pPr>
            <w:r w:rsidRPr="00CD7572">
              <w:rPr>
                <w:rFonts w:ascii="Arial" w:hAnsi="Arial" w:cs="Arial"/>
                <w:b/>
              </w:rPr>
              <w:t>31/03/15</w:t>
            </w:r>
          </w:p>
          <w:p w:rsidR="00CD7572" w:rsidRPr="00CD7572" w:rsidRDefault="0062660D" w:rsidP="00CD7572">
            <w:pPr>
              <w:tabs>
                <w:tab w:val="left" w:pos="993"/>
              </w:tabs>
              <w:spacing w:after="0"/>
              <w:jc w:val="right"/>
              <w:rPr>
                <w:rFonts w:ascii="Arial" w:hAnsi="Arial" w:cs="Arial"/>
                <w:b/>
              </w:rPr>
            </w:pPr>
            <w:r w:rsidRPr="00CD7572">
              <w:rPr>
                <w:rFonts w:ascii="Arial" w:hAnsi="Arial" w:cs="Arial"/>
                <w:b/>
              </w:rPr>
              <w:t>£m</w:t>
            </w:r>
          </w:p>
        </w:tc>
      </w:tr>
      <w:tr w:rsidR="006A2C17" w:rsidTr="00E245D6">
        <w:trPr>
          <w:gridBefore w:val="1"/>
          <w:wBefore w:w="153" w:type="dxa"/>
        </w:trPr>
        <w:tc>
          <w:tcPr>
            <w:tcW w:w="5801" w:type="dxa"/>
          </w:tcPr>
          <w:p w:rsidR="00CD7572" w:rsidRPr="00CD7572" w:rsidRDefault="0062660D" w:rsidP="00CD7572">
            <w:pPr>
              <w:tabs>
                <w:tab w:val="left" w:pos="993"/>
              </w:tabs>
              <w:jc w:val="left"/>
              <w:rPr>
                <w:rFonts w:ascii="Arial" w:hAnsi="Arial" w:cs="Arial"/>
              </w:rPr>
            </w:pPr>
            <w:r w:rsidRPr="00CD7572">
              <w:rPr>
                <w:rFonts w:ascii="Arial" w:hAnsi="Arial" w:cs="Arial"/>
              </w:rPr>
              <w:t xml:space="preserve">Balance as at start of </w:t>
            </w:r>
            <w:r w:rsidRPr="00CD7572">
              <w:rPr>
                <w:rFonts w:ascii="Arial" w:hAnsi="Arial" w:cs="Arial"/>
              </w:rPr>
              <w:t>the year</w:t>
            </w:r>
          </w:p>
        </w:tc>
        <w:tc>
          <w:tcPr>
            <w:tcW w:w="1559" w:type="dxa"/>
          </w:tcPr>
          <w:p w:rsidR="00CD7572" w:rsidRPr="00CD7572" w:rsidRDefault="0062660D" w:rsidP="00CD7572">
            <w:pPr>
              <w:tabs>
                <w:tab w:val="left" w:pos="993"/>
              </w:tabs>
              <w:jc w:val="right"/>
              <w:rPr>
                <w:rFonts w:ascii="Arial" w:hAnsi="Arial" w:cs="Arial"/>
              </w:rPr>
            </w:pPr>
            <w:r w:rsidRPr="00CD7572">
              <w:rPr>
                <w:rFonts w:ascii="Arial" w:hAnsi="Arial" w:cs="Arial"/>
              </w:rPr>
              <w:t>531.4</w:t>
            </w:r>
          </w:p>
        </w:tc>
        <w:tc>
          <w:tcPr>
            <w:tcW w:w="430" w:type="dxa"/>
            <w:tcBorders>
              <w:right w:val="single" w:sz="4" w:space="0" w:color="FFFFFF" w:themeColor="background1"/>
            </w:tcBorders>
          </w:tcPr>
          <w:p w:rsidR="00CD7572" w:rsidRPr="00CD7572" w:rsidRDefault="0062660D" w:rsidP="00CD7572">
            <w:pPr>
              <w:tabs>
                <w:tab w:val="left" w:pos="993"/>
              </w:tabs>
              <w:jc w:val="right"/>
              <w:rPr>
                <w:rFonts w:ascii="Arial" w:hAnsi="Arial" w:cs="Arial"/>
              </w:rPr>
            </w:pPr>
          </w:p>
        </w:tc>
        <w:tc>
          <w:tcPr>
            <w:tcW w:w="1696" w:type="dxa"/>
            <w:gridSpan w:val="2"/>
          </w:tcPr>
          <w:p w:rsidR="00CD7572" w:rsidRPr="00CD7572" w:rsidRDefault="0062660D" w:rsidP="00CD7572">
            <w:pPr>
              <w:tabs>
                <w:tab w:val="left" w:pos="993"/>
              </w:tabs>
              <w:jc w:val="right"/>
              <w:rPr>
                <w:rFonts w:ascii="Arial" w:hAnsi="Arial" w:cs="Arial"/>
              </w:rPr>
            </w:pPr>
            <w:r w:rsidRPr="00CD7572">
              <w:rPr>
                <w:rFonts w:ascii="Arial" w:hAnsi="Arial" w:cs="Arial"/>
              </w:rPr>
              <w:t>450.5</w:t>
            </w:r>
          </w:p>
        </w:tc>
      </w:tr>
      <w:tr w:rsidR="006A2C17" w:rsidTr="00E245D6">
        <w:trPr>
          <w:gridBefore w:val="1"/>
          <w:wBefore w:w="153" w:type="dxa"/>
        </w:trPr>
        <w:tc>
          <w:tcPr>
            <w:tcW w:w="5801" w:type="dxa"/>
          </w:tcPr>
          <w:p w:rsidR="00CD7572" w:rsidRPr="00CD7572" w:rsidRDefault="0062660D" w:rsidP="00CD7572">
            <w:pPr>
              <w:tabs>
                <w:tab w:val="left" w:pos="993"/>
              </w:tabs>
              <w:jc w:val="left"/>
              <w:rPr>
                <w:rFonts w:ascii="Arial" w:hAnsi="Arial" w:cs="Arial"/>
              </w:rPr>
            </w:pPr>
            <w:r w:rsidRPr="00CD7572">
              <w:rPr>
                <w:rFonts w:ascii="Arial" w:hAnsi="Arial" w:cs="Arial"/>
              </w:rPr>
              <w:t>Additions:</w:t>
            </w:r>
          </w:p>
        </w:tc>
        <w:tc>
          <w:tcPr>
            <w:tcW w:w="1559" w:type="dxa"/>
          </w:tcPr>
          <w:p w:rsidR="00CD7572" w:rsidRPr="00CD7572" w:rsidRDefault="0062660D" w:rsidP="00CD7572">
            <w:pPr>
              <w:tabs>
                <w:tab w:val="left" w:pos="993"/>
              </w:tabs>
              <w:jc w:val="right"/>
              <w:rPr>
                <w:rFonts w:ascii="Arial" w:hAnsi="Arial" w:cs="Arial"/>
              </w:rPr>
            </w:pPr>
          </w:p>
        </w:tc>
        <w:tc>
          <w:tcPr>
            <w:tcW w:w="430" w:type="dxa"/>
            <w:tcBorders>
              <w:right w:val="single" w:sz="4" w:space="0" w:color="FFFFFF" w:themeColor="background1"/>
            </w:tcBorders>
          </w:tcPr>
          <w:p w:rsidR="00CD7572" w:rsidRPr="00CD7572" w:rsidRDefault="0062660D" w:rsidP="00CD7572">
            <w:pPr>
              <w:tabs>
                <w:tab w:val="left" w:pos="993"/>
              </w:tabs>
              <w:jc w:val="right"/>
              <w:rPr>
                <w:rFonts w:ascii="Arial" w:hAnsi="Arial" w:cs="Arial"/>
              </w:rPr>
            </w:pPr>
          </w:p>
        </w:tc>
        <w:tc>
          <w:tcPr>
            <w:tcW w:w="1696" w:type="dxa"/>
            <w:gridSpan w:val="2"/>
          </w:tcPr>
          <w:p w:rsidR="00CD7572" w:rsidRPr="00CD7572" w:rsidRDefault="0062660D" w:rsidP="00CD7572">
            <w:pPr>
              <w:tabs>
                <w:tab w:val="left" w:pos="993"/>
              </w:tabs>
              <w:jc w:val="right"/>
              <w:rPr>
                <w:rFonts w:ascii="Arial" w:hAnsi="Arial" w:cs="Arial"/>
              </w:rPr>
            </w:pPr>
          </w:p>
        </w:tc>
      </w:tr>
      <w:tr w:rsidR="006A2C17" w:rsidTr="00E245D6">
        <w:trPr>
          <w:gridBefore w:val="1"/>
          <w:wBefore w:w="153" w:type="dxa"/>
        </w:trPr>
        <w:tc>
          <w:tcPr>
            <w:tcW w:w="5801" w:type="dxa"/>
          </w:tcPr>
          <w:p w:rsidR="00CD7572" w:rsidRPr="00CD7572" w:rsidRDefault="0062660D" w:rsidP="00CD7572">
            <w:pPr>
              <w:tabs>
                <w:tab w:val="left" w:pos="993"/>
              </w:tabs>
              <w:jc w:val="left"/>
              <w:rPr>
                <w:rFonts w:ascii="Arial" w:hAnsi="Arial" w:cs="Arial"/>
              </w:rPr>
            </w:pPr>
            <w:r w:rsidRPr="00CD7572">
              <w:rPr>
                <w:rFonts w:ascii="Arial" w:hAnsi="Arial" w:cs="Arial"/>
              </w:rPr>
              <w:t>Purchases</w:t>
            </w:r>
          </w:p>
        </w:tc>
        <w:tc>
          <w:tcPr>
            <w:tcW w:w="1559" w:type="dxa"/>
          </w:tcPr>
          <w:p w:rsidR="00CD7572" w:rsidRPr="00CD7572" w:rsidRDefault="0062660D" w:rsidP="00CD7572">
            <w:pPr>
              <w:tabs>
                <w:tab w:val="left" w:pos="993"/>
              </w:tabs>
              <w:jc w:val="right"/>
              <w:rPr>
                <w:rFonts w:ascii="Arial" w:hAnsi="Arial" w:cs="Arial"/>
              </w:rPr>
            </w:pPr>
            <w:r w:rsidRPr="00CD7572">
              <w:rPr>
                <w:rFonts w:ascii="Arial" w:hAnsi="Arial" w:cs="Arial"/>
              </w:rPr>
              <w:t>75.5</w:t>
            </w:r>
          </w:p>
        </w:tc>
        <w:tc>
          <w:tcPr>
            <w:tcW w:w="430" w:type="dxa"/>
            <w:tcBorders>
              <w:right w:val="single" w:sz="4" w:space="0" w:color="FFFFFF" w:themeColor="background1"/>
            </w:tcBorders>
          </w:tcPr>
          <w:p w:rsidR="00CD7572" w:rsidRPr="00CD7572" w:rsidRDefault="0062660D" w:rsidP="00CD7572">
            <w:pPr>
              <w:tabs>
                <w:tab w:val="left" w:pos="993"/>
              </w:tabs>
              <w:jc w:val="right"/>
              <w:rPr>
                <w:rFonts w:ascii="Arial" w:hAnsi="Arial" w:cs="Arial"/>
              </w:rPr>
            </w:pPr>
          </w:p>
        </w:tc>
        <w:tc>
          <w:tcPr>
            <w:tcW w:w="1696" w:type="dxa"/>
            <w:gridSpan w:val="2"/>
          </w:tcPr>
          <w:p w:rsidR="00CD7572" w:rsidRPr="00CD7572" w:rsidRDefault="0062660D" w:rsidP="00CD7572">
            <w:pPr>
              <w:tabs>
                <w:tab w:val="left" w:pos="993"/>
              </w:tabs>
              <w:jc w:val="right"/>
              <w:rPr>
                <w:rFonts w:ascii="Arial" w:hAnsi="Arial" w:cs="Arial"/>
              </w:rPr>
            </w:pPr>
            <w:r w:rsidRPr="00CD7572">
              <w:rPr>
                <w:rFonts w:ascii="Arial" w:hAnsi="Arial" w:cs="Arial"/>
              </w:rPr>
              <w:t>57.3</w:t>
            </w:r>
          </w:p>
        </w:tc>
      </w:tr>
      <w:tr w:rsidR="006A2C17" w:rsidTr="00E245D6">
        <w:trPr>
          <w:gridBefore w:val="1"/>
          <w:wBefore w:w="153" w:type="dxa"/>
        </w:trPr>
        <w:tc>
          <w:tcPr>
            <w:tcW w:w="5801" w:type="dxa"/>
          </w:tcPr>
          <w:p w:rsidR="00CD7572" w:rsidRPr="00CD7572" w:rsidRDefault="0062660D" w:rsidP="00CD7572">
            <w:pPr>
              <w:tabs>
                <w:tab w:val="left" w:pos="993"/>
              </w:tabs>
              <w:jc w:val="left"/>
              <w:rPr>
                <w:rFonts w:ascii="Arial" w:hAnsi="Arial" w:cs="Arial"/>
              </w:rPr>
            </w:pPr>
            <w:r w:rsidRPr="00CD7572">
              <w:rPr>
                <w:rFonts w:ascii="Arial" w:hAnsi="Arial" w:cs="Arial"/>
              </w:rPr>
              <w:t>Construction</w:t>
            </w:r>
          </w:p>
        </w:tc>
        <w:tc>
          <w:tcPr>
            <w:tcW w:w="1559" w:type="dxa"/>
          </w:tcPr>
          <w:p w:rsidR="00CD7572" w:rsidRPr="00CD7572" w:rsidRDefault="0062660D" w:rsidP="00CD7572">
            <w:pPr>
              <w:tabs>
                <w:tab w:val="left" w:pos="993"/>
              </w:tabs>
              <w:jc w:val="right"/>
              <w:rPr>
                <w:rFonts w:ascii="Arial" w:hAnsi="Arial" w:cs="Arial"/>
              </w:rPr>
            </w:pPr>
            <w:r w:rsidRPr="00CD7572">
              <w:rPr>
                <w:rFonts w:ascii="Arial" w:hAnsi="Arial" w:cs="Arial"/>
              </w:rPr>
              <w:t>8.9</w:t>
            </w:r>
          </w:p>
        </w:tc>
        <w:tc>
          <w:tcPr>
            <w:tcW w:w="430" w:type="dxa"/>
            <w:tcBorders>
              <w:right w:val="single" w:sz="4" w:space="0" w:color="FFFFFF" w:themeColor="background1"/>
            </w:tcBorders>
          </w:tcPr>
          <w:p w:rsidR="00CD7572" w:rsidRPr="00CD7572" w:rsidRDefault="0062660D" w:rsidP="00CD7572">
            <w:pPr>
              <w:tabs>
                <w:tab w:val="left" w:pos="993"/>
              </w:tabs>
              <w:jc w:val="right"/>
              <w:rPr>
                <w:rFonts w:ascii="Arial" w:hAnsi="Arial" w:cs="Arial"/>
              </w:rPr>
            </w:pPr>
          </w:p>
        </w:tc>
        <w:tc>
          <w:tcPr>
            <w:tcW w:w="1696" w:type="dxa"/>
            <w:gridSpan w:val="2"/>
          </w:tcPr>
          <w:p w:rsidR="00CD7572" w:rsidRPr="00CD7572" w:rsidRDefault="0062660D" w:rsidP="00CD7572">
            <w:pPr>
              <w:tabs>
                <w:tab w:val="left" w:pos="993"/>
              </w:tabs>
              <w:jc w:val="right"/>
              <w:rPr>
                <w:rFonts w:ascii="Arial" w:hAnsi="Arial" w:cs="Arial"/>
              </w:rPr>
            </w:pPr>
            <w:r w:rsidRPr="00CD7572">
              <w:rPr>
                <w:rFonts w:ascii="Arial" w:hAnsi="Arial" w:cs="Arial"/>
              </w:rPr>
              <w:t>2.4</w:t>
            </w:r>
          </w:p>
        </w:tc>
      </w:tr>
      <w:tr w:rsidR="006A2C17" w:rsidTr="00E245D6">
        <w:trPr>
          <w:gridBefore w:val="1"/>
          <w:wBefore w:w="153" w:type="dxa"/>
        </w:trPr>
        <w:tc>
          <w:tcPr>
            <w:tcW w:w="5801" w:type="dxa"/>
          </w:tcPr>
          <w:p w:rsidR="00CD7572" w:rsidRPr="00CD7572" w:rsidRDefault="0062660D" w:rsidP="00CD7572">
            <w:pPr>
              <w:tabs>
                <w:tab w:val="left" w:pos="993"/>
              </w:tabs>
              <w:jc w:val="left"/>
              <w:rPr>
                <w:rFonts w:ascii="Arial" w:hAnsi="Arial" w:cs="Arial"/>
              </w:rPr>
            </w:pPr>
            <w:r w:rsidRPr="00CD7572">
              <w:rPr>
                <w:rFonts w:ascii="Arial" w:hAnsi="Arial" w:cs="Arial"/>
              </w:rPr>
              <w:t>Disposals</w:t>
            </w:r>
          </w:p>
        </w:tc>
        <w:tc>
          <w:tcPr>
            <w:tcW w:w="1559" w:type="dxa"/>
          </w:tcPr>
          <w:p w:rsidR="00CD7572" w:rsidRPr="00CD7572" w:rsidRDefault="0062660D" w:rsidP="00CD7572">
            <w:pPr>
              <w:tabs>
                <w:tab w:val="left" w:pos="993"/>
              </w:tabs>
              <w:jc w:val="right"/>
              <w:rPr>
                <w:rFonts w:ascii="Arial" w:hAnsi="Arial" w:cs="Arial"/>
              </w:rPr>
            </w:pPr>
            <w:r w:rsidRPr="00CD7572">
              <w:rPr>
                <w:rFonts w:ascii="Arial" w:hAnsi="Arial" w:cs="Arial"/>
              </w:rPr>
              <w:t>(52.6)</w:t>
            </w:r>
          </w:p>
        </w:tc>
        <w:tc>
          <w:tcPr>
            <w:tcW w:w="430" w:type="dxa"/>
            <w:tcBorders>
              <w:right w:val="single" w:sz="4" w:space="0" w:color="FFFFFF" w:themeColor="background1"/>
            </w:tcBorders>
          </w:tcPr>
          <w:p w:rsidR="00CD7572" w:rsidRPr="00CD7572" w:rsidRDefault="0062660D" w:rsidP="00CD7572">
            <w:pPr>
              <w:tabs>
                <w:tab w:val="left" w:pos="993"/>
              </w:tabs>
              <w:jc w:val="right"/>
              <w:rPr>
                <w:rFonts w:ascii="Arial" w:hAnsi="Arial" w:cs="Arial"/>
              </w:rPr>
            </w:pPr>
          </w:p>
        </w:tc>
        <w:tc>
          <w:tcPr>
            <w:tcW w:w="1696" w:type="dxa"/>
            <w:gridSpan w:val="2"/>
          </w:tcPr>
          <w:p w:rsidR="00CD7572" w:rsidRPr="00CD7572" w:rsidRDefault="0062660D" w:rsidP="00CD7572">
            <w:pPr>
              <w:tabs>
                <w:tab w:val="left" w:pos="993"/>
              </w:tabs>
              <w:jc w:val="right"/>
              <w:rPr>
                <w:rFonts w:ascii="Arial" w:hAnsi="Arial" w:cs="Arial"/>
              </w:rPr>
            </w:pPr>
            <w:r w:rsidRPr="00CD7572">
              <w:rPr>
                <w:rFonts w:ascii="Arial" w:hAnsi="Arial" w:cs="Arial"/>
              </w:rPr>
              <w:t>(26.1)</w:t>
            </w:r>
          </w:p>
        </w:tc>
      </w:tr>
      <w:tr w:rsidR="006A2C17" w:rsidTr="00E245D6">
        <w:trPr>
          <w:gridBefore w:val="1"/>
          <w:wBefore w:w="153" w:type="dxa"/>
        </w:trPr>
        <w:tc>
          <w:tcPr>
            <w:tcW w:w="5801" w:type="dxa"/>
          </w:tcPr>
          <w:p w:rsidR="00CD7572" w:rsidRPr="00CD7572" w:rsidRDefault="0062660D" w:rsidP="00CD7572">
            <w:pPr>
              <w:tabs>
                <w:tab w:val="left" w:pos="993"/>
              </w:tabs>
              <w:jc w:val="left"/>
              <w:rPr>
                <w:rFonts w:ascii="Arial" w:hAnsi="Arial" w:cs="Arial"/>
              </w:rPr>
            </w:pPr>
            <w:r w:rsidRPr="00CD7572">
              <w:rPr>
                <w:rFonts w:ascii="Arial" w:hAnsi="Arial" w:cs="Arial"/>
              </w:rPr>
              <w:t>Net gain/loss on fair value</w:t>
            </w:r>
          </w:p>
        </w:tc>
        <w:tc>
          <w:tcPr>
            <w:tcW w:w="1559" w:type="dxa"/>
          </w:tcPr>
          <w:p w:rsidR="00CD7572" w:rsidRPr="00CD7572" w:rsidRDefault="0062660D" w:rsidP="00CD7572">
            <w:pPr>
              <w:tabs>
                <w:tab w:val="left" w:pos="993"/>
              </w:tabs>
              <w:jc w:val="right"/>
              <w:rPr>
                <w:rFonts w:ascii="Arial" w:hAnsi="Arial" w:cs="Arial"/>
              </w:rPr>
            </w:pPr>
            <w:r w:rsidRPr="00CD7572">
              <w:rPr>
                <w:rFonts w:ascii="Arial" w:hAnsi="Arial" w:cs="Arial"/>
              </w:rPr>
              <w:t>44.9</w:t>
            </w:r>
          </w:p>
        </w:tc>
        <w:tc>
          <w:tcPr>
            <w:tcW w:w="430" w:type="dxa"/>
            <w:tcBorders>
              <w:right w:val="single" w:sz="4" w:space="0" w:color="FFFFFF" w:themeColor="background1"/>
            </w:tcBorders>
          </w:tcPr>
          <w:p w:rsidR="00CD7572" w:rsidRPr="00CD7572" w:rsidRDefault="0062660D" w:rsidP="00CD7572">
            <w:pPr>
              <w:tabs>
                <w:tab w:val="left" w:pos="993"/>
              </w:tabs>
              <w:jc w:val="right"/>
              <w:rPr>
                <w:rFonts w:ascii="Arial" w:hAnsi="Arial" w:cs="Arial"/>
              </w:rPr>
            </w:pPr>
          </w:p>
        </w:tc>
        <w:tc>
          <w:tcPr>
            <w:tcW w:w="1696" w:type="dxa"/>
            <w:gridSpan w:val="2"/>
          </w:tcPr>
          <w:p w:rsidR="00CD7572" w:rsidRPr="00CD7572" w:rsidRDefault="0062660D" w:rsidP="00CD7572">
            <w:pPr>
              <w:tabs>
                <w:tab w:val="left" w:pos="993"/>
              </w:tabs>
              <w:jc w:val="right"/>
              <w:rPr>
                <w:rFonts w:ascii="Arial" w:hAnsi="Arial" w:cs="Arial"/>
              </w:rPr>
            </w:pPr>
            <w:r w:rsidRPr="00CD7572">
              <w:rPr>
                <w:rFonts w:ascii="Arial" w:hAnsi="Arial" w:cs="Arial"/>
              </w:rPr>
              <w:t>47.3</w:t>
            </w:r>
          </w:p>
        </w:tc>
      </w:tr>
      <w:tr w:rsidR="006A2C17" w:rsidTr="00E245D6">
        <w:trPr>
          <w:gridBefore w:val="1"/>
          <w:wBefore w:w="153" w:type="dxa"/>
        </w:trPr>
        <w:tc>
          <w:tcPr>
            <w:tcW w:w="5801" w:type="dxa"/>
          </w:tcPr>
          <w:p w:rsidR="00CD7572" w:rsidRPr="00CD7572" w:rsidRDefault="0062660D" w:rsidP="00CD7572">
            <w:pPr>
              <w:tabs>
                <w:tab w:val="left" w:pos="993"/>
              </w:tabs>
              <w:jc w:val="left"/>
              <w:rPr>
                <w:rFonts w:ascii="Arial" w:hAnsi="Arial" w:cs="Arial"/>
              </w:rPr>
            </w:pPr>
            <w:r w:rsidRPr="00CD7572">
              <w:rPr>
                <w:rFonts w:ascii="Arial" w:hAnsi="Arial" w:cs="Arial"/>
              </w:rPr>
              <w:t>Balance as at the end of the year</w:t>
            </w:r>
          </w:p>
        </w:tc>
        <w:tc>
          <w:tcPr>
            <w:tcW w:w="1559" w:type="dxa"/>
            <w:tcBorders>
              <w:top w:val="single" w:sz="18" w:space="0" w:color="auto"/>
              <w:bottom w:val="single" w:sz="18" w:space="0" w:color="auto"/>
            </w:tcBorders>
          </w:tcPr>
          <w:p w:rsidR="00CD7572" w:rsidRPr="00CD7572" w:rsidRDefault="0062660D" w:rsidP="00CD7572">
            <w:pPr>
              <w:tabs>
                <w:tab w:val="left" w:pos="993"/>
              </w:tabs>
              <w:jc w:val="right"/>
              <w:rPr>
                <w:rFonts w:ascii="Arial" w:hAnsi="Arial" w:cs="Arial"/>
              </w:rPr>
            </w:pPr>
            <w:r w:rsidRPr="00CD7572">
              <w:rPr>
                <w:rFonts w:ascii="Arial" w:hAnsi="Arial" w:cs="Arial"/>
              </w:rPr>
              <w:t>608.1</w:t>
            </w:r>
          </w:p>
        </w:tc>
        <w:tc>
          <w:tcPr>
            <w:tcW w:w="430" w:type="dxa"/>
            <w:tcBorders>
              <w:right w:val="single" w:sz="4" w:space="0" w:color="FFFFFF" w:themeColor="background1"/>
            </w:tcBorders>
          </w:tcPr>
          <w:p w:rsidR="00CD7572" w:rsidRPr="00CD7572" w:rsidRDefault="0062660D" w:rsidP="00CD7572">
            <w:pPr>
              <w:tabs>
                <w:tab w:val="left" w:pos="993"/>
              </w:tabs>
              <w:jc w:val="right"/>
              <w:rPr>
                <w:rFonts w:ascii="Arial" w:hAnsi="Arial" w:cs="Arial"/>
              </w:rPr>
            </w:pPr>
          </w:p>
        </w:tc>
        <w:tc>
          <w:tcPr>
            <w:tcW w:w="1696" w:type="dxa"/>
            <w:gridSpan w:val="2"/>
            <w:tcBorders>
              <w:top w:val="single" w:sz="18" w:space="0" w:color="auto"/>
              <w:bottom w:val="single" w:sz="18" w:space="0" w:color="auto"/>
            </w:tcBorders>
          </w:tcPr>
          <w:p w:rsidR="00CD7572" w:rsidRPr="00CD7572" w:rsidRDefault="0062660D" w:rsidP="00CD7572">
            <w:pPr>
              <w:tabs>
                <w:tab w:val="left" w:pos="993"/>
              </w:tabs>
              <w:jc w:val="right"/>
              <w:rPr>
                <w:rFonts w:ascii="Arial" w:hAnsi="Arial" w:cs="Arial"/>
              </w:rPr>
            </w:pPr>
            <w:r w:rsidRPr="00CD7572">
              <w:rPr>
                <w:rFonts w:ascii="Arial" w:hAnsi="Arial" w:cs="Arial"/>
              </w:rPr>
              <w:t>531.4</w:t>
            </w:r>
          </w:p>
        </w:tc>
      </w:tr>
    </w:tbl>
    <w:p w:rsidR="00CD7572" w:rsidRPr="00CD7572" w:rsidRDefault="0062660D" w:rsidP="00CD7572">
      <w:pPr>
        <w:tabs>
          <w:tab w:val="left" w:pos="993"/>
        </w:tabs>
        <w:ind w:left="720"/>
        <w:rPr>
          <w:rFonts w:cs="Arial"/>
        </w:rPr>
      </w:pPr>
    </w:p>
    <w:p w:rsidR="00CD7572" w:rsidRPr="00CD7572" w:rsidRDefault="0062660D" w:rsidP="00CD7572">
      <w:pPr>
        <w:ind w:left="720"/>
        <w:rPr>
          <w:rFonts w:cs="Arial"/>
          <w:b/>
        </w:rPr>
      </w:pPr>
    </w:p>
    <w:p w:rsidR="00CD7572" w:rsidRPr="00CD7572" w:rsidRDefault="0062660D" w:rsidP="00CD7572">
      <w:pPr>
        <w:ind w:left="567" w:firstLine="142"/>
        <w:rPr>
          <w:rFonts w:cs="Arial"/>
          <w:b/>
        </w:rPr>
      </w:pPr>
      <w:r w:rsidRPr="00CD7572">
        <w:rPr>
          <w:rFonts w:cs="Arial"/>
          <w:b/>
        </w:rPr>
        <w:t>Operating leases</w:t>
      </w:r>
    </w:p>
    <w:p w:rsidR="00CD7572" w:rsidRPr="00CD7572" w:rsidRDefault="0062660D" w:rsidP="00CD7572">
      <w:pPr>
        <w:ind w:left="1080" w:hanging="371"/>
        <w:jc w:val="left"/>
        <w:rPr>
          <w:rFonts w:cs="Arial"/>
        </w:rPr>
      </w:pPr>
      <w:r w:rsidRPr="00CD7572">
        <w:rPr>
          <w:rFonts w:cs="Arial"/>
        </w:rPr>
        <w:t xml:space="preserve">The Fund leases out property under </w:t>
      </w:r>
      <w:r w:rsidRPr="00CD7572">
        <w:rPr>
          <w:rFonts w:cs="Arial"/>
        </w:rPr>
        <w:t>operating leases.</w:t>
      </w:r>
    </w:p>
    <w:p w:rsidR="00CD7572" w:rsidRPr="00CD7572" w:rsidRDefault="0062660D" w:rsidP="00CD7572">
      <w:pPr>
        <w:ind w:left="709"/>
        <w:jc w:val="left"/>
        <w:rPr>
          <w:rFonts w:cs="Arial"/>
        </w:rPr>
      </w:pPr>
      <w:r w:rsidRPr="00CD7572">
        <w:rPr>
          <w:rFonts w:cs="Arial"/>
        </w:rPr>
        <w:t>The future minimum lease payments receivable under non-cancellable leases in future years are:</w:t>
      </w:r>
    </w:p>
    <w:tbl>
      <w:tblPr>
        <w:tblStyle w:val="TableGrid1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6A2C17" w:rsidTr="00E245D6">
        <w:tc>
          <w:tcPr>
            <w:tcW w:w="5058" w:type="dxa"/>
          </w:tcPr>
          <w:p w:rsidR="00CD7572" w:rsidRPr="00CD7572" w:rsidRDefault="0062660D" w:rsidP="00CD7572">
            <w:pPr>
              <w:spacing w:after="0"/>
              <w:rPr>
                <w:rFonts w:ascii="Arial" w:hAnsi="Arial" w:cs="Arial"/>
                <w:b/>
              </w:rPr>
            </w:pPr>
          </w:p>
        </w:tc>
        <w:tc>
          <w:tcPr>
            <w:tcW w:w="1559" w:type="dxa"/>
          </w:tcPr>
          <w:p w:rsidR="00CD7572" w:rsidRPr="00CD7572" w:rsidRDefault="0062660D" w:rsidP="00CD7572">
            <w:pPr>
              <w:spacing w:after="0"/>
              <w:jc w:val="right"/>
              <w:rPr>
                <w:rFonts w:ascii="Arial" w:hAnsi="Arial" w:cs="Arial"/>
                <w:b/>
              </w:rPr>
            </w:pPr>
            <w:r w:rsidRPr="00CD7572">
              <w:rPr>
                <w:rFonts w:ascii="Arial" w:hAnsi="Arial" w:cs="Arial"/>
                <w:b/>
              </w:rPr>
              <w:t>2015/16</w:t>
            </w:r>
          </w:p>
          <w:p w:rsidR="00CD7572" w:rsidRPr="00CD7572" w:rsidRDefault="0062660D" w:rsidP="00CD7572">
            <w:pPr>
              <w:spacing w:after="0"/>
              <w:jc w:val="right"/>
              <w:rPr>
                <w:rFonts w:ascii="Arial" w:hAnsi="Arial" w:cs="Arial"/>
                <w:b/>
              </w:rPr>
            </w:pPr>
            <w:r w:rsidRPr="00CD7572">
              <w:rPr>
                <w:rFonts w:ascii="Arial" w:hAnsi="Arial" w:cs="Arial"/>
                <w:b/>
              </w:rPr>
              <w:t>£m</w:t>
            </w:r>
          </w:p>
        </w:tc>
        <w:tc>
          <w:tcPr>
            <w:tcW w:w="430" w:type="dxa"/>
            <w:tcBorders>
              <w:right w:val="single" w:sz="4" w:space="0" w:color="FFFFFF" w:themeColor="background1"/>
            </w:tcBorders>
          </w:tcPr>
          <w:p w:rsidR="00CD7572" w:rsidRPr="00CD7572" w:rsidRDefault="0062660D" w:rsidP="00CD7572">
            <w:pPr>
              <w:spacing w:after="0"/>
              <w:jc w:val="right"/>
              <w:rPr>
                <w:rFonts w:ascii="Arial" w:hAnsi="Arial" w:cs="Arial"/>
                <w:b/>
                <w:highlight w:val="yellow"/>
              </w:rPr>
            </w:pPr>
          </w:p>
          <w:p w:rsidR="00CD7572" w:rsidRPr="00CD7572" w:rsidRDefault="0062660D" w:rsidP="00CD7572">
            <w:pPr>
              <w:spacing w:after="0"/>
              <w:jc w:val="right"/>
              <w:rPr>
                <w:rFonts w:ascii="Arial" w:hAnsi="Arial" w:cs="Arial"/>
                <w:b/>
                <w:highlight w:val="yellow"/>
              </w:rPr>
            </w:pPr>
          </w:p>
        </w:tc>
        <w:tc>
          <w:tcPr>
            <w:tcW w:w="1696" w:type="dxa"/>
            <w:tcBorders>
              <w:left w:val="single" w:sz="4" w:space="0" w:color="FFFFFF" w:themeColor="background1"/>
            </w:tcBorders>
          </w:tcPr>
          <w:p w:rsidR="00CD7572" w:rsidRPr="00CD7572" w:rsidRDefault="0062660D" w:rsidP="00CD7572">
            <w:pPr>
              <w:spacing w:after="0"/>
              <w:jc w:val="right"/>
              <w:rPr>
                <w:rFonts w:ascii="Arial" w:hAnsi="Arial" w:cs="Arial"/>
                <w:b/>
              </w:rPr>
            </w:pPr>
            <w:r w:rsidRPr="00CD7572">
              <w:rPr>
                <w:rFonts w:ascii="Arial" w:hAnsi="Arial" w:cs="Arial"/>
                <w:b/>
              </w:rPr>
              <w:t>*2014/15</w:t>
            </w:r>
          </w:p>
          <w:p w:rsidR="00CD7572" w:rsidRPr="00CD7572" w:rsidRDefault="0062660D" w:rsidP="00CD7572">
            <w:pPr>
              <w:spacing w:after="0"/>
              <w:jc w:val="right"/>
              <w:rPr>
                <w:rFonts w:ascii="Arial" w:hAnsi="Arial" w:cs="Arial"/>
                <w:b/>
              </w:rPr>
            </w:pPr>
            <w:r w:rsidRPr="00CD7572">
              <w:rPr>
                <w:rFonts w:ascii="Arial" w:hAnsi="Arial" w:cs="Arial"/>
                <w:b/>
              </w:rPr>
              <w:t>£m</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Leases expiring in the following year</w:t>
            </w:r>
          </w:p>
        </w:tc>
        <w:tc>
          <w:tcPr>
            <w:tcW w:w="1559" w:type="dxa"/>
          </w:tcPr>
          <w:p w:rsidR="00CD7572" w:rsidRPr="00CD7572" w:rsidRDefault="0062660D" w:rsidP="00CD7572">
            <w:pPr>
              <w:jc w:val="right"/>
              <w:rPr>
                <w:rFonts w:ascii="Arial" w:hAnsi="Arial" w:cs="Arial"/>
              </w:rPr>
            </w:pPr>
            <w:r w:rsidRPr="00CD7572">
              <w:rPr>
                <w:rFonts w:ascii="Arial" w:hAnsi="Arial" w:cs="Arial"/>
              </w:rPr>
              <w:t>29.5</w:t>
            </w:r>
          </w:p>
        </w:tc>
        <w:tc>
          <w:tcPr>
            <w:tcW w:w="430" w:type="dxa"/>
            <w:tcBorders>
              <w:right w:val="single" w:sz="4" w:space="0" w:color="FFFFFF" w:themeColor="background1"/>
            </w:tcBorders>
          </w:tcPr>
          <w:p w:rsidR="00CD7572" w:rsidRPr="00CD7572" w:rsidRDefault="0062660D" w:rsidP="00CD7572">
            <w:pPr>
              <w:jc w:val="right"/>
              <w:rPr>
                <w:rFonts w:ascii="Arial" w:hAnsi="Arial" w:cs="Arial"/>
                <w:highlight w:val="yellow"/>
              </w:rPr>
            </w:pPr>
          </w:p>
        </w:tc>
        <w:tc>
          <w:tcPr>
            <w:tcW w:w="1696" w:type="dxa"/>
          </w:tcPr>
          <w:p w:rsidR="00CD7572" w:rsidRPr="00CD7572" w:rsidRDefault="0062660D" w:rsidP="00CD7572">
            <w:pPr>
              <w:jc w:val="right"/>
              <w:rPr>
                <w:rFonts w:ascii="Arial" w:hAnsi="Arial" w:cs="Arial"/>
              </w:rPr>
            </w:pPr>
            <w:r w:rsidRPr="00CD7572">
              <w:rPr>
                <w:rFonts w:ascii="Arial" w:hAnsi="Arial" w:cs="Arial"/>
              </w:rPr>
              <w:t>28.6</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Leases expiring in two to five years</w:t>
            </w:r>
          </w:p>
        </w:tc>
        <w:tc>
          <w:tcPr>
            <w:tcW w:w="1559" w:type="dxa"/>
          </w:tcPr>
          <w:p w:rsidR="00CD7572" w:rsidRPr="00CD7572" w:rsidRDefault="0062660D" w:rsidP="00CD7572">
            <w:pPr>
              <w:jc w:val="right"/>
              <w:rPr>
                <w:rFonts w:ascii="Arial" w:hAnsi="Arial" w:cs="Arial"/>
              </w:rPr>
            </w:pPr>
            <w:r w:rsidRPr="00CD7572">
              <w:rPr>
                <w:rFonts w:ascii="Arial" w:hAnsi="Arial" w:cs="Arial"/>
              </w:rPr>
              <w:t>87.0</w:t>
            </w:r>
          </w:p>
        </w:tc>
        <w:tc>
          <w:tcPr>
            <w:tcW w:w="430" w:type="dxa"/>
            <w:tcBorders>
              <w:right w:val="single" w:sz="4" w:space="0" w:color="FFFFFF" w:themeColor="background1"/>
            </w:tcBorders>
          </w:tcPr>
          <w:p w:rsidR="00CD7572" w:rsidRPr="00CD7572" w:rsidRDefault="0062660D" w:rsidP="00CD7572">
            <w:pPr>
              <w:jc w:val="right"/>
              <w:rPr>
                <w:rFonts w:ascii="Arial" w:hAnsi="Arial" w:cs="Arial"/>
                <w:highlight w:val="yellow"/>
              </w:rPr>
            </w:pPr>
          </w:p>
        </w:tc>
        <w:tc>
          <w:tcPr>
            <w:tcW w:w="1696" w:type="dxa"/>
          </w:tcPr>
          <w:p w:rsidR="00CD7572" w:rsidRPr="00CD7572" w:rsidRDefault="0062660D" w:rsidP="00CD7572">
            <w:pPr>
              <w:jc w:val="right"/>
              <w:rPr>
                <w:rFonts w:ascii="Arial" w:hAnsi="Arial" w:cs="Arial"/>
              </w:rPr>
            </w:pPr>
            <w:r w:rsidRPr="00CD7572">
              <w:rPr>
                <w:rFonts w:ascii="Arial" w:hAnsi="Arial" w:cs="Arial"/>
              </w:rPr>
              <w:t>98.2</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 xml:space="preserve">Leases expiring </w:t>
            </w:r>
            <w:r w:rsidRPr="00CD7572">
              <w:rPr>
                <w:rFonts w:ascii="Arial" w:hAnsi="Arial" w:cs="Arial"/>
              </w:rPr>
              <w:t>after five years</w:t>
            </w:r>
          </w:p>
        </w:tc>
        <w:tc>
          <w:tcPr>
            <w:tcW w:w="1559" w:type="dxa"/>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87.6</w:t>
            </w:r>
          </w:p>
        </w:tc>
        <w:tc>
          <w:tcPr>
            <w:tcW w:w="430" w:type="dxa"/>
          </w:tcPr>
          <w:p w:rsidR="00CD7572" w:rsidRPr="00CD7572" w:rsidRDefault="0062660D" w:rsidP="00CD7572">
            <w:pPr>
              <w:jc w:val="right"/>
              <w:rPr>
                <w:rFonts w:ascii="Arial" w:hAnsi="Arial" w:cs="Arial"/>
                <w:highlight w:val="yellow"/>
              </w:rPr>
            </w:pPr>
          </w:p>
        </w:tc>
        <w:tc>
          <w:tcPr>
            <w:tcW w:w="1696" w:type="dxa"/>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105.8</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Total</w:t>
            </w:r>
          </w:p>
        </w:tc>
        <w:tc>
          <w:tcPr>
            <w:tcW w:w="1559"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204.1</w:t>
            </w:r>
          </w:p>
        </w:tc>
        <w:tc>
          <w:tcPr>
            <w:tcW w:w="430" w:type="dxa"/>
          </w:tcPr>
          <w:p w:rsidR="00CD7572" w:rsidRPr="00CD7572" w:rsidRDefault="0062660D" w:rsidP="00CD7572">
            <w:pPr>
              <w:jc w:val="right"/>
              <w:rPr>
                <w:rFonts w:ascii="Arial" w:hAnsi="Arial" w:cs="Arial"/>
                <w:highlight w:val="yellow"/>
              </w:rPr>
            </w:pPr>
          </w:p>
        </w:tc>
        <w:tc>
          <w:tcPr>
            <w:tcW w:w="1696"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232.6</w:t>
            </w:r>
          </w:p>
        </w:tc>
      </w:tr>
      <w:tr w:rsidR="006A2C17" w:rsidTr="00E245D6">
        <w:tc>
          <w:tcPr>
            <w:tcW w:w="5058" w:type="dxa"/>
          </w:tcPr>
          <w:p w:rsidR="00CD7572" w:rsidRPr="00CD7572" w:rsidRDefault="0062660D" w:rsidP="00CD7572"/>
        </w:tc>
        <w:tc>
          <w:tcPr>
            <w:tcW w:w="1559" w:type="dxa"/>
            <w:tcBorders>
              <w:top w:val="single" w:sz="18" w:space="0" w:color="auto"/>
            </w:tcBorders>
          </w:tcPr>
          <w:p w:rsidR="00CD7572" w:rsidRPr="00CD7572" w:rsidRDefault="0062660D" w:rsidP="00CD7572">
            <w:pPr>
              <w:jc w:val="right"/>
            </w:pPr>
          </w:p>
        </w:tc>
        <w:tc>
          <w:tcPr>
            <w:tcW w:w="430" w:type="dxa"/>
          </w:tcPr>
          <w:p w:rsidR="00CD7572" w:rsidRPr="00CD7572" w:rsidRDefault="0062660D" w:rsidP="00CD7572">
            <w:pPr>
              <w:jc w:val="right"/>
            </w:pPr>
          </w:p>
        </w:tc>
        <w:tc>
          <w:tcPr>
            <w:tcW w:w="1696" w:type="dxa"/>
            <w:tcBorders>
              <w:top w:val="single" w:sz="18" w:space="0" w:color="auto"/>
            </w:tcBorders>
          </w:tcPr>
          <w:p w:rsidR="00CD7572" w:rsidRPr="00CD7572" w:rsidRDefault="0062660D" w:rsidP="00CD7572">
            <w:pPr>
              <w:jc w:val="right"/>
            </w:pPr>
          </w:p>
        </w:tc>
      </w:tr>
    </w:tbl>
    <w:p w:rsidR="00CD7572" w:rsidRPr="00CD7572" w:rsidRDefault="0062660D" w:rsidP="00CD7572">
      <w:pPr>
        <w:ind w:left="709"/>
        <w:jc w:val="left"/>
      </w:pPr>
      <w:r w:rsidRPr="00CD7572">
        <w:t xml:space="preserve">There are no contingent rents as all rents are fixed until the next rent review (generally on 5 year review patterns) and then are either reviewed to market rent, a fixed uplift or in line with an </w:t>
      </w:r>
      <w:r w:rsidRPr="00CD7572">
        <w:t>index.</w:t>
      </w:r>
    </w:p>
    <w:p w:rsidR="00CD7572" w:rsidRPr="00CD7572" w:rsidRDefault="0062660D" w:rsidP="00CD7572">
      <w:pPr>
        <w:ind w:left="709"/>
        <w:jc w:val="left"/>
      </w:pPr>
      <w:r w:rsidRPr="00CD7572">
        <w:t>The income is contractually secured against a wide range of tenants who in turn operate in a range of market sectors. Income is generally reviewed to market rent five yearly, and there is also an element of the portfolio income that is indexed or ha</w:t>
      </w:r>
      <w:r w:rsidRPr="00CD7572">
        <w:t>s fixed uplifts (generally being in the range of 2-4% per annum). The portfolio also features a number of vacant properties for which the future income depends on the terms agreed by tenants, and the investment manager is working with letting agents to fil</w:t>
      </w:r>
      <w:r w:rsidRPr="00CD7572">
        <w:t>l these voids.</w:t>
      </w:r>
    </w:p>
    <w:p w:rsidR="00CD7572" w:rsidRPr="00CD7572" w:rsidRDefault="0062660D" w:rsidP="00CD7572">
      <w:pPr>
        <w:ind w:left="720"/>
        <w:jc w:val="left"/>
      </w:pPr>
      <w:r w:rsidRPr="00CD7572">
        <w:rPr>
          <w:b/>
        </w:rPr>
        <w:t>*</w:t>
      </w:r>
      <w:r w:rsidRPr="00CD7572">
        <w:t>Figures for 2014/15 have been restated due to more detailed information becoming available to the Fund.</w:t>
      </w:r>
    </w:p>
    <w:p w:rsidR="00CD7572" w:rsidRPr="00CD7572" w:rsidRDefault="0062660D" w:rsidP="00CD7572">
      <w:pPr>
        <w:ind w:left="720"/>
        <w:rPr>
          <w:b/>
          <w:sz w:val="28"/>
          <w:szCs w:val="28"/>
        </w:rPr>
      </w:pPr>
    </w:p>
    <w:p w:rsidR="00CD7572" w:rsidRPr="00CD7572" w:rsidRDefault="0062660D" w:rsidP="00CD7572">
      <w:pPr>
        <w:ind w:left="720"/>
        <w:rPr>
          <w:b/>
          <w:sz w:val="28"/>
          <w:szCs w:val="28"/>
        </w:rPr>
      </w:pPr>
    </w:p>
    <w:p w:rsidR="00CD7572" w:rsidRPr="00CD7572" w:rsidRDefault="0062660D" w:rsidP="00CD7572">
      <w:pPr>
        <w:ind w:left="720"/>
        <w:rPr>
          <w:b/>
          <w:sz w:val="28"/>
          <w:szCs w:val="28"/>
        </w:rPr>
      </w:pPr>
    </w:p>
    <w:p w:rsidR="00CD7572" w:rsidRPr="00CD7572" w:rsidRDefault="0062660D" w:rsidP="00CD7572">
      <w:pPr>
        <w:ind w:left="720"/>
        <w:rPr>
          <w:b/>
          <w:sz w:val="28"/>
          <w:szCs w:val="28"/>
        </w:rPr>
      </w:pPr>
    </w:p>
    <w:p w:rsidR="00CD7572" w:rsidRPr="00CD7572" w:rsidRDefault="0062660D" w:rsidP="00CD7572">
      <w:pPr>
        <w:ind w:left="720"/>
        <w:rPr>
          <w:b/>
          <w:sz w:val="28"/>
          <w:szCs w:val="28"/>
        </w:rPr>
      </w:pPr>
    </w:p>
    <w:p w:rsidR="00CD7572" w:rsidRPr="00CD7572" w:rsidRDefault="0062660D" w:rsidP="00CD7572">
      <w:pPr>
        <w:ind w:left="720"/>
        <w:rPr>
          <w:b/>
          <w:sz w:val="28"/>
          <w:szCs w:val="28"/>
        </w:rPr>
      </w:pPr>
      <w:r w:rsidRPr="00CD7572">
        <w:rPr>
          <w:b/>
          <w:sz w:val="28"/>
          <w:szCs w:val="28"/>
        </w:rPr>
        <w:t>Analysis of derivatives</w:t>
      </w:r>
    </w:p>
    <w:p w:rsidR="00CD7572" w:rsidRPr="00CD7572" w:rsidRDefault="0062660D" w:rsidP="00CD7572">
      <w:pPr>
        <w:ind w:left="720"/>
        <w:rPr>
          <w:b/>
        </w:rPr>
      </w:pPr>
    </w:p>
    <w:p w:rsidR="00CD7572" w:rsidRPr="00CD7572" w:rsidRDefault="0062660D" w:rsidP="00CD7572">
      <w:pPr>
        <w:spacing w:after="0"/>
        <w:ind w:left="720"/>
        <w:jc w:val="left"/>
        <w:rPr>
          <w:b/>
        </w:rPr>
      </w:pPr>
      <w:r w:rsidRPr="00CD7572">
        <w:rPr>
          <w:b/>
        </w:rPr>
        <w:t>Objectives and policies for holding derivatives</w:t>
      </w:r>
    </w:p>
    <w:p w:rsidR="00CD7572" w:rsidRPr="00CD7572" w:rsidRDefault="0062660D" w:rsidP="00CD7572">
      <w:pPr>
        <w:spacing w:after="0"/>
        <w:ind w:left="720"/>
        <w:jc w:val="left"/>
      </w:pPr>
      <w:r w:rsidRPr="00CD7572">
        <w:t>Most of the holding in derivatives is to hedge liabilities</w:t>
      </w:r>
      <w:r w:rsidRPr="00CD7572">
        <w:t xml:space="preserve"> or hedge exposures to reduce risk in the Fund.  Derivatives maybe used to gain exposure to an asset more efficiently than holding the underlying asset.  The use of derivatives is managed in line with the investment management agreement agreed between the </w:t>
      </w:r>
      <w:r w:rsidRPr="00CD7572">
        <w:t>Fund and the various investment managers.</w:t>
      </w:r>
    </w:p>
    <w:p w:rsidR="00CD7572" w:rsidRPr="00CD7572" w:rsidRDefault="0062660D" w:rsidP="00CD7572">
      <w:pPr>
        <w:ind w:left="720"/>
        <w:jc w:val="left"/>
      </w:pPr>
    </w:p>
    <w:p w:rsidR="00CD7572" w:rsidRPr="00CD7572" w:rsidRDefault="0062660D" w:rsidP="00CD7572">
      <w:pPr>
        <w:spacing w:after="0"/>
        <w:ind w:firstLine="709"/>
        <w:jc w:val="left"/>
        <w:rPr>
          <w:b/>
        </w:rPr>
      </w:pPr>
      <w:r w:rsidRPr="00CD7572">
        <w:rPr>
          <w:b/>
        </w:rPr>
        <w:t>Forward foreign currency</w:t>
      </w:r>
    </w:p>
    <w:p w:rsidR="00CD7572" w:rsidRPr="00CD7572" w:rsidRDefault="0062660D" w:rsidP="00CD7572">
      <w:pPr>
        <w:ind w:left="709"/>
      </w:pPr>
      <w:r w:rsidRPr="00CD7572">
        <w:t>In order to maintain appropriate diversification and to take advantage of overseas investment returns, a significant proportion of the Fund's quoted equity portfolio is in overseas stock m</w:t>
      </w:r>
      <w:r w:rsidRPr="00CD7572">
        <w:t xml:space="preserve">arkets.  To reduce the volatility associated with fluctuating currency rates, the Fund has a passive currency programme in place which is managed by the global custodian and the Fund's internal managers.      </w:t>
      </w:r>
    </w:p>
    <w:p w:rsidR="00CD7572" w:rsidRPr="00CD7572" w:rsidRDefault="0062660D" w:rsidP="00CD7572">
      <w:pPr>
        <w:ind w:left="709"/>
      </w:pPr>
    </w:p>
    <w:p w:rsidR="00CD7572" w:rsidRPr="00CD7572" w:rsidRDefault="0062660D" w:rsidP="00CD7572">
      <w:pPr>
        <w:ind w:left="709"/>
        <w:sectPr w:rsidR="00CD7572" w:rsidRPr="00CD7572" w:rsidSect="00E15373">
          <w:pgSz w:w="11900" w:h="16840" w:code="9"/>
          <w:pgMar w:top="720" w:right="720" w:bottom="720" w:left="720" w:header="284" w:footer="284" w:gutter="0"/>
          <w:cols w:space="292"/>
          <w:docGrid w:linePitch="326"/>
        </w:sectPr>
      </w:pPr>
      <w:r w:rsidRPr="00CD7572">
        <w:t xml:space="preserve"> </w:t>
      </w:r>
    </w:p>
    <w:p w:rsidR="00CD7572" w:rsidRPr="00CD7572" w:rsidRDefault="0062660D" w:rsidP="00CD7572">
      <w:pPr>
        <w:tabs>
          <w:tab w:val="left" w:pos="1080"/>
        </w:tabs>
        <w:spacing w:after="80"/>
        <w:ind w:left="709" w:hanging="709"/>
      </w:pPr>
      <w:r w:rsidRPr="00CD7572">
        <w:rPr>
          <w:b/>
        </w:rPr>
        <w:t>Derivative contra</w:t>
      </w:r>
      <w:r w:rsidRPr="00CD7572">
        <w:rPr>
          <w:b/>
        </w:rPr>
        <w:t>cts (forward currency positions)</w:t>
      </w:r>
    </w:p>
    <w:tbl>
      <w:tblPr>
        <w:tblStyle w:val="TableGrid6"/>
        <w:tblpPr w:leftFromText="180" w:rightFromText="180" w:vertAnchor="page" w:horzAnchor="margin" w:tblpY="2071"/>
        <w:tblW w:w="0" w:type="auto"/>
        <w:tblBorders>
          <w:insideH w:val="none" w:sz="0" w:space="0" w:color="auto"/>
          <w:insideV w:val="none" w:sz="0" w:space="0" w:color="auto"/>
        </w:tblBorders>
        <w:tblLook w:val="04A0" w:firstRow="1" w:lastRow="0" w:firstColumn="1" w:lastColumn="0" w:noHBand="0" w:noVBand="1"/>
      </w:tblPr>
      <w:tblGrid>
        <w:gridCol w:w="2962"/>
        <w:gridCol w:w="139"/>
        <w:gridCol w:w="853"/>
        <w:gridCol w:w="279"/>
        <w:gridCol w:w="974"/>
        <w:gridCol w:w="150"/>
        <w:gridCol w:w="1318"/>
        <w:gridCol w:w="1159"/>
        <w:gridCol w:w="98"/>
        <w:gridCol w:w="1007"/>
        <w:gridCol w:w="152"/>
        <w:gridCol w:w="1359"/>
      </w:tblGrid>
      <w:tr w:rsidR="006A2C17" w:rsidTr="00E245D6">
        <w:trPr>
          <w:trHeight w:val="553"/>
        </w:trPr>
        <w:tc>
          <w:tcPr>
            <w:tcW w:w="3088" w:type="dxa"/>
            <w:tcBorders>
              <w:top w:val="single" w:sz="4" w:space="0" w:color="auto"/>
              <w:bottom w:val="nil"/>
            </w:tcBorders>
            <w:shd w:val="clear" w:color="auto" w:fill="A8D08D" w:themeFill="accent6" w:themeFillTint="99"/>
          </w:tcPr>
          <w:p w:rsidR="00CD7572" w:rsidRPr="00CD7572" w:rsidRDefault="0062660D" w:rsidP="00CD7572">
            <w:pPr>
              <w:tabs>
                <w:tab w:val="left" w:pos="1080"/>
              </w:tabs>
              <w:spacing w:after="80"/>
              <w:jc w:val="left"/>
              <w:rPr>
                <w:b/>
              </w:rPr>
            </w:pPr>
            <w:r w:rsidRPr="00CD7572">
              <w:rPr>
                <w:b/>
              </w:rPr>
              <w:t>Settlements</w:t>
            </w:r>
          </w:p>
        </w:tc>
        <w:tc>
          <w:tcPr>
            <w:tcW w:w="1272" w:type="dxa"/>
            <w:gridSpan w:val="3"/>
            <w:tcBorders>
              <w:top w:val="single" w:sz="4"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Currency bought*</w:t>
            </w:r>
          </w:p>
        </w:tc>
        <w:tc>
          <w:tcPr>
            <w:tcW w:w="1149" w:type="dxa"/>
            <w:gridSpan w:val="2"/>
            <w:tcBorders>
              <w:top w:val="single" w:sz="4"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Local value</w:t>
            </w:r>
          </w:p>
        </w:tc>
        <w:tc>
          <w:tcPr>
            <w:tcW w:w="1322" w:type="dxa"/>
            <w:tcBorders>
              <w:top w:val="single" w:sz="4"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Currency sold*</w:t>
            </w:r>
          </w:p>
        </w:tc>
        <w:tc>
          <w:tcPr>
            <w:tcW w:w="1281" w:type="dxa"/>
            <w:gridSpan w:val="2"/>
            <w:tcBorders>
              <w:top w:val="single" w:sz="4"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Local value</w:t>
            </w:r>
          </w:p>
        </w:tc>
        <w:tc>
          <w:tcPr>
            <w:tcW w:w="1184" w:type="dxa"/>
            <w:gridSpan w:val="2"/>
            <w:tcBorders>
              <w:top w:val="single" w:sz="4"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Asset value</w:t>
            </w:r>
          </w:p>
        </w:tc>
        <w:tc>
          <w:tcPr>
            <w:tcW w:w="1380" w:type="dxa"/>
            <w:tcBorders>
              <w:top w:val="single" w:sz="4"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Liability value</w:t>
            </w:r>
          </w:p>
        </w:tc>
      </w:tr>
      <w:tr w:rsidR="006A2C17" w:rsidTr="00E245D6">
        <w:tc>
          <w:tcPr>
            <w:tcW w:w="3088" w:type="dxa"/>
            <w:tcBorders>
              <w:top w:val="nil"/>
              <w:bottom w:val="single" w:sz="4" w:space="0" w:color="auto"/>
            </w:tcBorders>
            <w:shd w:val="clear" w:color="auto" w:fill="A8D08D" w:themeFill="accent6" w:themeFillTint="99"/>
          </w:tcPr>
          <w:p w:rsidR="00CD7572" w:rsidRPr="00CD7572" w:rsidRDefault="0062660D" w:rsidP="00CD7572">
            <w:pPr>
              <w:tabs>
                <w:tab w:val="left" w:pos="1080"/>
              </w:tabs>
              <w:spacing w:after="80"/>
              <w:jc w:val="right"/>
              <w:rPr>
                <w:b/>
              </w:rPr>
            </w:pPr>
          </w:p>
        </w:tc>
        <w:tc>
          <w:tcPr>
            <w:tcW w:w="992" w:type="dxa"/>
            <w:gridSpan w:val="2"/>
            <w:tcBorders>
              <w:top w:val="nil"/>
              <w:bottom w:val="single" w:sz="4" w:space="0" w:color="auto"/>
            </w:tcBorders>
            <w:shd w:val="clear" w:color="auto" w:fill="A8D08D" w:themeFill="accent6" w:themeFillTint="99"/>
          </w:tcPr>
          <w:p w:rsidR="00CD7572" w:rsidRPr="00CD7572" w:rsidRDefault="0062660D" w:rsidP="00CD7572">
            <w:pPr>
              <w:tabs>
                <w:tab w:val="left" w:pos="1080"/>
              </w:tabs>
              <w:spacing w:after="80"/>
              <w:jc w:val="right"/>
              <w:rPr>
                <w:b/>
              </w:rPr>
            </w:pPr>
          </w:p>
        </w:tc>
        <w:tc>
          <w:tcPr>
            <w:tcW w:w="1272" w:type="dxa"/>
            <w:gridSpan w:val="2"/>
            <w:tcBorders>
              <w:top w:val="nil"/>
              <w:bottom w:val="single" w:sz="4"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1479" w:type="dxa"/>
            <w:gridSpan w:val="2"/>
            <w:tcBorders>
              <w:top w:val="nil"/>
              <w:bottom w:val="single" w:sz="4" w:space="0" w:color="auto"/>
            </w:tcBorders>
            <w:shd w:val="clear" w:color="auto" w:fill="A8D08D" w:themeFill="accent6" w:themeFillTint="99"/>
          </w:tcPr>
          <w:p w:rsidR="00CD7572" w:rsidRPr="00CD7572" w:rsidRDefault="0062660D" w:rsidP="00CD7572">
            <w:pPr>
              <w:tabs>
                <w:tab w:val="left" w:pos="1080"/>
              </w:tabs>
              <w:spacing w:after="80"/>
              <w:jc w:val="right"/>
              <w:rPr>
                <w:b/>
              </w:rPr>
            </w:pPr>
          </w:p>
        </w:tc>
        <w:tc>
          <w:tcPr>
            <w:tcW w:w="1175" w:type="dxa"/>
            <w:tcBorders>
              <w:top w:val="nil"/>
              <w:bottom w:val="single" w:sz="4"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1131" w:type="dxa"/>
            <w:gridSpan w:val="2"/>
            <w:tcBorders>
              <w:top w:val="nil"/>
              <w:bottom w:val="single" w:sz="4"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1539" w:type="dxa"/>
            <w:gridSpan w:val="2"/>
            <w:tcBorders>
              <w:top w:val="nil"/>
              <w:bottom w:val="single" w:sz="4"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r>
      <w:tr w:rsidR="006A2C17" w:rsidTr="00E245D6">
        <w:tc>
          <w:tcPr>
            <w:tcW w:w="3088" w:type="dxa"/>
            <w:tcBorders>
              <w:top w:val="single" w:sz="4" w:space="0" w:color="auto"/>
              <w:left w:val="single" w:sz="4" w:space="0" w:color="auto"/>
              <w:bottom w:val="nil"/>
            </w:tcBorders>
          </w:tcPr>
          <w:p w:rsidR="00CD7572" w:rsidRPr="00CD7572" w:rsidRDefault="0062660D" w:rsidP="00CD7572">
            <w:pPr>
              <w:tabs>
                <w:tab w:val="left" w:pos="1080"/>
              </w:tabs>
              <w:spacing w:after="80"/>
              <w:jc w:val="left"/>
            </w:pPr>
          </w:p>
        </w:tc>
        <w:tc>
          <w:tcPr>
            <w:tcW w:w="992" w:type="dxa"/>
            <w:gridSpan w:val="2"/>
            <w:tcBorders>
              <w:top w:val="single" w:sz="4" w:space="0" w:color="auto"/>
              <w:bottom w:val="nil"/>
            </w:tcBorders>
          </w:tcPr>
          <w:p w:rsidR="00CD7572" w:rsidRPr="00CD7572" w:rsidRDefault="0062660D" w:rsidP="00CD7572">
            <w:pPr>
              <w:tabs>
                <w:tab w:val="left" w:pos="1080"/>
              </w:tabs>
              <w:spacing w:after="80"/>
              <w:jc w:val="right"/>
            </w:pPr>
          </w:p>
        </w:tc>
        <w:tc>
          <w:tcPr>
            <w:tcW w:w="1272" w:type="dxa"/>
            <w:gridSpan w:val="2"/>
            <w:tcBorders>
              <w:top w:val="single" w:sz="4" w:space="0" w:color="auto"/>
              <w:bottom w:val="nil"/>
            </w:tcBorders>
          </w:tcPr>
          <w:p w:rsidR="00CD7572" w:rsidRPr="00CD7572" w:rsidRDefault="0062660D" w:rsidP="00CD7572">
            <w:pPr>
              <w:tabs>
                <w:tab w:val="left" w:pos="1080"/>
              </w:tabs>
              <w:spacing w:after="80"/>
              <w:jc w:val="right"/>
            </w:pPr>
          </w:p>
        </w:tc>
        <w:tc>
          <w:tcPr>
            <w:tcW w:w="1479" w:type="dxa"/>
            <w:gridSpan w:val="2"/>
            <w:tcBorders>
              <w:top w:val="single" w:sz="4" w:space="0" w:color="auto"/>
              <w:bottom w:val="nil"/>
            </w:tcBorders>
          </w:tcPr>
          <w:p w:rsidR="00CD7572" w:rsidRPr="00CD7572" w:rsidRDefault="0062660D" w:rsidP="00CD7572">
            <w:pPr>
              <w:tabs>
                <w:tab w:val="left" w:pos="1080"/>
              </w:tabs>
              <w:spacing w:after="80"/>
              <w:jc w:val="right"/>
            </w:pPr>
          </w:p>
        </w:tc>
        <w:tc>
          <w:tcPr>
            <w:tcW w:w="1175" w:type="dxa"/>
            <w:tcBorders>
              <w:top w:val="single" w:sz="4" w:space="0" w:color="auto"/>
              <w:bottom w:val="nil"/>
            </w:tcBorders>
          </w:tcPr>
          <w:p w:rsidR="00CD7572" w:rsidRPr="00CD7572" w:rsidRDefault="0062660D" w:rsidP="00CD7572">
            <w:pPr>
              <w:tabs>
                <w:tab w:val="left" w:pos="1080"/>
              </w:tabs>
              <w:spacing w:after="80"/>
              <w:jc w:val="right"/>
            </w:pPr>
          </w:p>
        </w:tc>
        <w:tc>
          <w:tcPr>
            <w:tcW w:w="1131" w:type="dxa"/>
            <w:gridSpan w:val="2"/>
            <w:tcBorders>
              <w:top w:val="single" w:sz="4" w:space="0" w:color="auto"/>
              <w:bottom w:val="nil"/>
            </w:tcBorders>
          </w:tcPr>
          <w:p w:rsidR="00CD7572" w:rsidRPr="00CD7572" w:rsidRDefault="0062660D" w:rsidP="00CD7572">
            <w:pPr>
              <w:tabs>
                <w:tab w:val="left" w:pos="1080"/>
              </w:tabs>
              <w:spacing w:after="80"/>
              <w:jc w:val="right"/>
            </w:pPr>
          </w:p>
        </w:tc>
        <w:tc>
          <w:tcPr>
            <w:tcW w:w="1539" w:type="dxa"/>
            <w:gridSpan w:val="2"/>
            <w:tcBorders>
              <w:top w:val="single" w:sz="4" w:space="0" w:color="auto"/>
              <w:bottom w:val="nil"/>
              <w:right w:val="single" w:sz="4" w:space="0" w:color="auto"/>
            </w:tcBorders>
          </w:tcPr>
          <w:p w:rsidR="00CD7572" w:rsidRPr="00CD7572" w:rsidRDefault="0062660D" w:rsidP="00CD7572">
            <w:pPr>
              <w:tabs>
                <w:tab w:val="left" w:pos="1080"/>
              </w:tabs>
              <w:spacing w:after="80"/>
              <w:jc w:val="right"/>
            </w:pPr>
          </w:p>
        </w:tc>
      </w:tr>
      <w:tr w:rsidR="006A2C17" w:rsidTr="00E245D6">
        <w:trPr>
          <w:trHeight w:val="614"/>
        </w:trPr>
        <w:tc>
          <w:tcPr>
            <w:tcW w:w="3088" w:type="dxa"/>
            <w:tcBorders>
              <w:top w:val="nil"/>
              <w:bottom w:val="nil"/>
            </w:tcBorders>
          </w:tcPr>
          <w:p w:rsidR="00CD7572" w:rsidRPr="00CD7572" w:rsidRDefault="0062660D" w:rsidP="00CD7572">
            <w:pPr>
              <w:tabs>
                <w:tab w:val="left" w:pos="1080"/>
              </w:tabs>
              <w:spacing w:after="80"/>
              <w:jc w:val="left"/>
            </w:pPr>
            <w:r w:rsidRPr="00CD7572">
              <w:t>Up to one month</w:t>
            </w:r>
          </w:p>
        </w:tc>
        <w:tc>
          <w:tcPr>
            <w:tcW w:w="992" w:type="dxa"/>
            <w:gridSpan w:val="2"/>
            <w:tcBorders>
              <w:top w:val="nil"/>
              <w:bottom w:val="nil"/>
            </w:tcBorders>
          </w:tcPr>
          <w:p w:rsidR="00CD7572" w:rsidRPr="00CD7572" w:rsidRDefault="0062660D" w:rsidP="00CD7572">
            <w:pPr>
              <w:tabs>
                <w:tab w:val="left" w:pos="1080"/>
              </w:tabs>
              <w:spacing w:after="80"/>
              <w:jc w:val="right"/>
            </w:pPr>
            <w:r w:rsidRPr="00CD7572">
              <w:t>GBP</w:t>
            </w:r>
          </w:p>
        </w:tc>
        <w:tc>
          <w:tcPr>
            <w:tcW w:w="1272" w:type="dxa"/>
            <w:gridSpan w:val="2"/>
            <w:tcBorders>
              <w:top w:val="nil"/>
              <w:bottom w:val="nil"/>
            </w:tcBorders>
          </w:tcPr>
          <w:p w:rsidR="00CD7572" w:rsidRPr="00CD7572" w:rsidRDefault="0062660D" w:rsidP="00CD7572">
            <w:pPr>
              <w:tabs>
                <w:tab w:val="left" w:pos="1080"/>
              </w:tabs>
              <w:spacing w:after="80"/>
              <w:jc w:val="right"/>
            </w:pPr>
            <w:r w:rsidRPr="00CD7572">
              <w:t>286.0</w:t>
            </w:r>
          </w:p>
        </w:tc>
        <w:tc>
          <w:tcPr>
            <w:tcW w:w="1479" w:type="dxa"/>
            <w:gridSpan w:val="2"/>
            <w:tcBorders>
              <w:top w:val="nil"/>
              <w:bottom w:val="nil"/>
            </w:tcBorders>
          </w:tcPr>
          <w:p w:rsidR="00CD7572" w:rsidRPr="00CD7572" w:rsidRDefault="0062660D" w:rsidP="00CD7572">
            <w:pPr>
              <w:tabs>
                <w:tab w:val="left" w:pos="1080"/>
              </w:tabs>
              <w:spacing w:after="80"/>
              <w:jc w:val="right"/>
            </w:pPr>
            <w:r w:rsidRPr="00CD7572">
              <w:t>USD</w:t>
            </w:r>
          </w:p>
        </w:tc>
        <w:tc>
          <w:tcPr>
            <w:tcW w:w="1175" w:type="dxa"/>
            <w:tcBorders>
              <w:top w:val="nil"/>
              <w:bottom w:val="nil"/>
            </w:tcBorders>
          </w:tcPr>
          <w:p w:rsidR="00CD7572" w:rsidRPr="00CD7572" w:rsidRDefault="0062660D" w:rsidP="00CD7572">
            <w:pPr>
              <w:tabs>
                <w:tab w:val="left" w:pos="1080"/>
              </w:tabs>
              <w:spacing w:after="80"/>
              <w:jc w:val="right"/>
            </w:pPr>
            <w:r w:rsidRPr="00CD7572">
              <w:t>(405.6)</w:t>
            </w:r>
          </w:p>
        </w:tc>
        <w:tc>
          <w:tcPr>
            <w:tcW w:w="1131" w:type="dxa"/>
            <w:gridSpan w:val="2"/>
            <w:tcBorders>
              <w:top w:val="nil"/>
              <w:bottom w:val="nil"/>
            </w:tcBorders>
          </w:tcPr>
          <w:p w:rsidR="00CD7572" w:rsidRPr="00CD7572" w:rsidRDefault="0062660D" w:rsidP="00CD7572">
            <w:pPr>
              <w:tabs>
                <w:tab w:val="left" w:pos="1080"/>
              </w:tabs>
              <w:spacing w:after="80"/>
              <w:jc w:val="right"/>
            </w:pPr>
            <w:r w:rsidRPr="00CD7572">
              <w:t>286.0</w:t>
            </w:r>
          </w:p>
        </w:tc>
        <w:tc>
          <w:tcPr>
            <w:tcW w:w="1539" w:type="dxa"/>
            <w:gridSpan w:val="2"/>
            <w:tcBorders>
              <w:top w:val="nil"/>
              <w:bottom w:val="nil"/>
            </w:tcBorders>
          </w:tcPr>
          <w:p w:rsidR="00CD7572" w:rsidRPr="00CD7572" w:rsidRDefault="0062660D" w:rsidP="00CD7572">
            <w:pPr>
              <w:tabs>
                <w:tab w:val="left" w:pos="1080"/>
              </w:tabs>
              <w:spacing w:after="80"/>
              <w:jc w:val="right"/>
            </w:pPr>
            <w:r w:rsidRPr="00CD7572">
              <w:t>(282.2)</w:t>
            </w:r>
          </w:p>
        </w:tc>
      </w:tr>
      <w:tr w:rsidR="006A2C17" w:rsidTr="00E245D6">
        <w:trPr>
          <w:trHeight w:val="578"/>
        </w:trPr>
        <w:tc>
          <w:tcPr>
            <w:tcW w:w="3088" w:type="dxa"/>
            <w:tcBorders>
              <w:top w:val="nil"/>
              <w:bottom w:val="nil"/>
            </w:tcBorders>
          </w:tcPr>
          <w:p w:rsidR="00CD7572" w:rsidRPr="00CD7572" w:rsidRDefault="0062660D" w:rsidP="00CD7572">
            <w:pPr>
              <w:tabs>
                <w:tab w:val="left" w:pos="1080"/>
              </w:tabs>
              <w:spacing w:after="80"/>
              <w:jc w:val="left"/>
            </w:pPr>
            <w:r w:rsidRPr="00CD7572">
              <w:t>Up to one month</w:t>
            </w:r>
          </w:p>
        </w:tc>
        <w:tc>
          <w:tcPr>
            <w:tcW w:w="992" w:type="dxa"/>
            <w:gridSpan w:val="2"/>
            <w:tcBorders>
              <w:top w:val="nil"/>
              <w:bottom w:val="nil"/>
            </w:tcBorders>
          </w:tcPr>
          <w:p w:rsidR="00CD7572" w:rsidRPr="00CD7572" w:rsidRDefault="0062660D" w:rsidP="00CD7572">
            <w:pPr>
              <w:tabs>
                <w:tab w:val="left" w:pos="1080"/>
              </w:tabs>
              <w:spacing w:after="80"/>
              <w:jc w:val="right"/>
            </w:pPr>
            <w:r w:rsidRPr="00CD7572">
              <w:t>JPY</w:t>
            </w:r>
          </w:p>
        </w:tc>
        <w:tc>
          <w:tcPr>
            <w:tcW w:w="1272" w:type="dxa"/>
            <w:gridSpan w:val="2"/>
            <w:tcBorders>
              <w:top w:val="nil"/>
              <w:bottom w:val="nil"/>
            </w:tcBorders>
          </w:tcPr>
          <w:p w:rsidR="00CD7572" w:rsidRPr="00CD7572" w:rsidRDefault="0062660D" w:rsidP="00CD7572">
            <w:pPr>
              <w:tabs>
                <w:tab w:val="left" w:pos="1080"/>
              </w:tabs>
              <w:spacing w:after="80"/>
              <w:jc w:val="right"/>
            </w:pPr>
            <w:r w:rsidRPr="00CD7572">
              <w:t>35.5</w:t>
            </w:r>
          </w:p>
        </w:tc>
        <w:tc>
          <w:tcPr>
            <w:tcW w:w="1479" w:type="dxa"/>
            <w:gridSpan w:val="2"/>
            <w:tcBorders>
              <w:top w:val="nil"/>
              <w:bottom w:val="nil"/>
            </w:tcBorders>
          </w:tcPr>
          <w:p w:rsidR="00CD7572" w:rsidRPr="00CD7572" w:rsidRDefault="0062660D" w:rsidP="00CD7572">
            <w:pPr>
              <w:tabs>
                <w:tab w:val="left" w:pos="1080"/>
              </w:tabs>
              <w:spacing w:after="80"/>
              <w:jc w:val="right"/>
            </w:pPr>
            <w:r w:rsidRPr="00CD7572">
              <w:t>USD</w:t>
            </w:r>
          </w:p>
        </w:tc>
        <w:tc>
          <w:tcPr>
            <w:tcW w:w="1175" w:type="dxa"/>
            <w:tcBorders>
              <w:top w:val="nil"/>
              <w:bottom w:val="nil"/>
            </w:tcBorders>
          </w:tcPr>
          <w:p w:rsidR="00CD7572" w:rsidRPr="00CD7572" w:rsidRDefault="0062660D" w:rsidP="00CD7572">
            <w:pPr>
              <w:tabs>
                <w:tab w:val="left" w:pos="1080"/>
              </w:tabs>
              <w:spacing w:after="80"/>
              <w:jc w:val="right"/>
            </w:pPr>
            <w:r w:rsidRPr="00CD7572">
              <w:t>(0.3)</w:t>
            </w:r>
          </w:p>
        </w:tc>
        <w:tc>
          <w:tcPr>
            <w:tcW w:w="1131" w:type="dxa"/>
            <w:gridSpan w:val="2"/>
            <w:tcBorders>
              <w:top w:val="nil"/>
              <w:bottom w:val="nil"/>
            </w:tcBorders>
          </w:tcPr>
          <w:p w:rsidR="00CD7572" w:rsidRPr="00CD7572" w:rsidRDefault="0062660D" w:rsidP="00CD7572">
            <w:pPr>
              <w:tabs>
                <w:tab w:val="left" w:pos="1080"/>
              </w:tabs>
              <w:spacing w:after="80"/>
              <w:jc w:val="right"/>
            </w:pPr>
            <w:r w:rsidRPr="00CD7572">
              <w:t>0.2</w:t>
            </w:r>
          </w:p>
        </w:tc>
        <w:tc>
          <w:tcPr>
            <w:tcW w:w="1539" w:type="dxa"/>
            <w:gridSpan w:val="2"/>
            <w:tcBorders>
              <w:top w:val="nil"/>
              <w:bottom w:val="nil"/>
            </w:tcBorders>
          </w:tcPr>
          <w:p w:rsidR="00CD7572" w:rsidRPr="00CD7572" w:rsidRDefault="0062660D" w:rsidP="00CD7572">
            <w:pPr>
              <w:tabs>
                <w:tab w:val="left" w:pos="1080"/>
              </w:tabs>
              <w:spacing w:after="80"/>
              <w:jc w:val="right"/>
            </w:pPr>
            <w:r w:rsidRPr="00CD7572">
              <w:t>(0.2)</w:t>
            </w:r>
          </w:p>
        </w:tc>
      </w:tr>
      <w:tr w:rsidR="006A2C17" w:rsidTr="00E245D6">
        <w:trPr>
          <w:trHeight w:val="557"/>
        </w:trPr>
        <w:tc>
          <w:tcPr>
            <w:tcW w:w="3088" w:type="dxa"/>
            <w:tcBorders>
              <w:top w:val="nil"/>
              <w:bottom w:val="nil"/>
            </w:tcBorders>
          </w:tcPr>
          <w:p w:rsidR="00CD7572" w:rsidRPr="00CD7572" w:rsidRDefault="0062660D" w:rsidP="00CD7572">
            <w:pPr>
              <w:tabs>
                <w:tab w:val="left" w:pos="1080"/>
              </w:tabs>
              <w:spacing w:after="80"/>
              <w:jc w:val="left"/>
            </w:pPr>
            <w:r w:rsidRPr="00CD7572">
              <w:t xml:space="preserve">One </w:t>
            </w:r>
            <w:r w:rsidRPr="00CD7572">
              <w:t>to six months</w:t>
            </w:r>
          </w:p>
        </w:tc>
        <w:tc>
          <w:tcPr>
            <w:tcW w:w="992" w:type="dxa"/>
            <w:gridSpan w:val="2"/>
            <w:tcBorders>
              <w:top w:val="nil"/>
              <w:bottom w:val="nil"/>
            </w:tcBorders>
          </w:tcPr>
          <w:p w:rsidR="00CD7572" w:rsidRPr="00CD7572" w:rsidRDefault="0062660D" w:rsidP="00CD7572">
            <w:pPr>
              <w:tabs>
                <w:tab w:val="left" w:pos="1080"/>
              </w:tabs>
              <w:spacing w:after="80"/>
              <w:jc w:val="right"/>
            </w:pPr>
            <w:r w:rsidRPr="00CD7572">
              <w:t>USD</w:t>
            </w:r>
          </w:p>
        </w:tc>
        <w:tc>
          <w:tcPr>
            <w:tcW w:w="1272" w:type="dxa"/>
            <w:gridSpan w:val="2"/>
            <w:tcBorders>
              <w:top w:val="nil"/>
              <w:bottom w:val="nil"/>
            </w:tcBorders>
          </w:tcPr>
          <w:p w:rsidR="00CD7572" w:rsidRPr="00CD7572" w:rsidRDefault="0062660D" w:rsidP="00CD7572">
            <w:pPr>
              <w:tabs>
                <w:tab w:val="left" w:pos="1080"/>
              </w:tabs>
              <w:spacing w:after="80"/>
              <w:jc w:val="right"/>
            </w:pPr>
            <w:r w:rsidRPr="00CD7572">
              <w:t>11.2</w:t>
            </w:r>
          </w:p>
        </w:tc>
        <w:tc>
          <w:tcPr>
            <w:tcW w:w="1479" w:type="dxa"/>
            <w:gridSpan w:val="2"/>
            <w:tcBorders>
              <w:top w:val="nil"/>
              <w:bottom w:val="nil"/>
            </w:tcBorders>
          </w:tcPr>
          <w:p w:rsidR="00CD7572" w:rsidRPr="00CD7572" w:rsidRDefault="0062660D" w:rsidP="00CD7572">
            <w:pPr>
              <w:tabs>
                <w:tab w:val="left" w:pos="1080"/>
              </w:tabs>
              <w:spacing w:after="80"/>
              <w:jc w:val="right"/>
            </w:pPr>
            <w:r w:rsidRPr="00CD7572">
              <w:t>CHF</w:t>
            </w:r>
          </w:p>
        </w:tc>
        <w:tc>
          <w:tcPr>
            <w:tcW w:w="1175" w:type="dxa"/>
            <w:tcBorders>
              <w:top w:val="nil"/>
              <w:bottom w:val="nil"/>
            </w:tcBorders>
          </w:tcPr>
          <w:p w:rsidR="00CD7572" w:rsidRPr="00CD7572" w:rsidRDefault="0062660D" w:rsidP="00CD7572">
            <w:pPr>
              <w:tabs>
                <w:tab w:val="left" w:pos="1080"/>
              </w:tabs>
              <w:spacing w:after="80"/>
              <w:jc w:val="right"/>
            </w:pPr>
            <w:r w:rsidRPr="00CD7572">
              <w:t>(10.9)</w:t>
            </w:r>
          </w:p>
        </w:tc>
        <w:tc>
          <w:tcPr>
            <w:tcW w:w="1131" w:type="dxa"/>
            <w:gridSpan w:val="2"/>
            <w:tcBorders>
              <w:top w:val="nil"/>
              <w:bottom w:val="nil"/>
            </w:tcBorders>
          </w:tcPr>
          <w:p w:rsidR="00CD7572" w:rsidRPr="00CD7572" w:rsidRDefault="0062660D" w:rsidP="00CD7572">
            <w:pPr>
              <w:tabs>
                <w:tab w:val="left" w:pos="1080"/>
              </w:tabs>
              <w:spacing w:after="80"/>
              <w:jc w:val="right"/>
            </w:pPr>
            <w:r w:rsidRPr="00CD7572">
              <w:t>7.7</w:t>
            </w:r>
          </w:p>
        </w:tc>
        <w:tc>
          <w:tcPr>
            <w:tcW w:w="1539" w:type="dxa"/>
            <w:gridSpan w:val="2"/>
            <w:tcBorders>
              <w:top w:val="nil"/>
              <w:bottom w:val="nil"/>
            </w:tcBorders>
          </w:tcPr>
          <w:p w:rsidR="00CD7572" w:rsidRPr="00CD7572" w:rsidRDefault="0062660D" w:rsidP="00CD7572">
            <w:pPr>
              <w:tabs>
                <w:tab w:val="left" w:pos="1080"/>
              </w:tabs>
              <w:spacing w:after="80"/>
              <w:jc w:val="right"/>
            </w:pPr>
            <w:r w:rsidRPr="00CD7572">
              <w:t>(8.0)</w:t>
            </w:r>
          </w:p>
        </w:tc>
      </w:tr>
      <w:tr w:rsidR="006A2C17" w:rsidTr="00E245D6">
        <w:trPr>
          <w:trHeight w:val="579"/>
        </w:trPr>
        <w:tc>
          <w:tcPr>
            <w:tcW w:w="3088" w:type="dxa"/>
            <w:tcBorders>
              <w:top w:val="nil"/>
              <w:bottom w:val="nil"/>
            </w:tcBorders>
          </w:tcPr>
          <w:p w:rsidR="00CD7572" w:rsidRPr="00CD7572" w:rsidRDefault="0062660D" w:rsidP="00CD7572">
            <w:pPr>
              <w:tabs>
                <w:tab w:val="left" w:pos="1080"/>
              </w:tabs>
              <w:spacing w:after="80"/>
              <w:jc w:val="left"/>
            </w:pPr>
            <w:r w:rsidRPr="00CD7572">
              <w:t>One to six months</w:t>
            </w:r>
          </w:p>
        </w:tc>
        <w:tc>
          <w:tcPr>
            <w:tcW w:w="992" w:type="dxa"/>
            <w:gridSpan w:val="2"/>
            <w:tcBorders>
              <w:top w:val="nil"/>
              <w:bottom w:val="nil"/>
            </w:tcBorders>
          </w:tcPr>
          <w:p w:rsidR="00CD7572" w:rsidRPr="00CD7572" w:rsidRDefault="0062660D" w:rsidP="00CD7572">
            <w:pPr>
              <w:tabs>
                <w:tab w:val="left" w:pos="1080"/>
              </w:tabs>
              <w:spacing w:after="80"/>
              <w:jc w:val="right"/>
            </w:pPr>
            <w:r w:rsidRPr="00CD7572">
              <w:t>USD</w:t>
            </w:r>
          </w:p>
        </w:tc>
        <w:tc>
          <w:tcPr>
            <w:tcW w:w="1272" w:type="dxa"/>
            <w:gridSpan w:val="2"/>
            <w:tcBorders>
              <w:top w:val="nil"/>
              <w:bottom w:val="nil"/>
            </w:tcBorders>
          </w:tcPr>
          <w:p w:rsidR="00CD7572" w:rsidRPr="00CD7572" w:rsidRDefault="0062660D" w:rsidP="00CD7572">
            <w:pPr>
              <w:tabs>
                <w:tab w:val="left" w:pos="1080"/>
              </w:tabs>
              <w:spacing w:after="80"/>
              <w:jc w:val="right"/>
            </w:pPr>
            <w:r w:rsidRPr="00CD7572">
              <w:t>0.8</w:t>
            </w:r>
          </w:p>
        </w:tc>
        <w:tc>
          <w:tcPr>
            <w:tcW w:w="1479" w:type="dxa"/>
            <w:gridSpan w:val="2"/>
            <w:tcBorders>
              <w:top w:val="nil"/>
              <w:bottom w:val="nil"/>
            </w:tcBorders>
          </w:tcPr>
          <w:p w:rsidR="00CD7572" w:rsidRPr="00CD7572" w:rsidRDefault="0062660D" w:rsidP="00CD7572">
            <w:pPr>
              <w:tabs>
                <w:tab w:val="left" w:pos="1080"/>
              </w:tabs>
              <w:spacing w:after="80"/>
              <w:jc w:val="right"/>
            </w:pPr>
            <w:r w:rsidRPr="00CD7572">
              <w:t>AUD</w:t>
            </w:r>
          </w:p>
        </w:tc>
        <w:tc>
          <w:tcPr>
            <w:tcW w:w="1175" w:type="dxa"/>
            <w:tcBorders>
              <w:top w:val="nil"/>
              <w:bottom w:val="nil"/>
            </w:tcBorders>
          </w:tcPr>
          <w:p w:rsidR="00CD7572" w:rsidRPr="00CD7572" w:rsidRDefault="0062660D" w:rsidP="00CD7572">
            <w:pPr>
              <w:tabs>
                <w:tab w:val="left" w:pos="1080"/>
              </w:tabs>
              <w:spacing w:after="80"/>
              <w:jc w:val="right"/>
            </w:pPr>
            <w:r w:rsidRPr="00CD7572">
              <w:t>(1.1)</w:t>
            </w:r>
          </w:p>
        </w:tc>
        <w:tc>
          <w:tcPr>
            <w:tcW w:w="1131" w:type="dxa"/>
            <w:gridSpan w:val="2"/>
            <w:tcBorders>
              <w:top w:val="nil"/>
              <w:bottom w:val="nil"/>
            </w:tcBorders>
          </w:tcPr>
          <w:p w:rsidR="00CD7572" w:rsidRPr="00CD7572" w:rsidRDefault="0062660D" w:rsidP="00CD7572">
            <w:pPr>
              <w:tabs>
                <w:tab w:val="left" w:pos="1080"/>
              </w:tabs>
              <w:spacing w:after="80"/>
              <w:jc w:val="right"/>
            </w:pPr>
            <w:r w:rsidRPr="00CD7572">
              <w:t>0.6</w:t>
            </w:r>
          </w:p>
        </w:tc>
        <w:tc>
          <w:tcPr>
            <w:tcW w:w="1539" w:type="dxa"/>
            <w:gridSpan w:val="2"/>
            <w:tcBorders>
              <w:top w:val="nil"/>
              <w:bottom w:val="nil"/>
            </w:tcBorders>
          </w:tcPr>
          <w:p w:rsidR="00CD7572" w:rsidRPr="00CD7572" w:rsidRDefault="0062660D" w:rsidP="00CD7572">
            <w:pPr>
              <w:tabs>
                <w:tab w:val="left" w:pos="1080"/>
              </w:tabs>
              <w:spacing w:after="80"/>
              <w:jc w:val="right"/>
            </w:pPr>
            <w:r w:rsidRPr="00CD7572">
              <w:t>(0.6)</w:t>
            </w:r>
          </w:p>
        </w:tc>
      </w:tr>
      <w:tr w:rsidR="006A2C17" w:rsidTr="00E245D6">
        <w:tc>
          <w:tcPr>
            <w:tcW w:w="3227" w:type="dxa"/>
            <w:gridSpan w:val="2"/>
            <w:tcBorders>
              <w:top w:val="nil"/>
              <w:bottom w:val="nil"/>
            </w:tcBorders>
            <w:shd w:val="clear" w:color="auto" w:fill="C5E0B3" w:themeFill="accent6" w:themeFillTint="66"/>
          </w:tcPr>
          <w:p w:rsidR="00CD7572" w:rsidRPr="00CD7572" w:rsidRDefault="0062660D" w:rsidP="00CD7572">
            <w:pPr>
              <w:tabs>
                <w:tab w:val="left" w:pos="1080"/>
              </w:tabs>
              <w:spacing w:after="80"/>
              <w:jc w:val="left"/>
            </w:pPr>
            <w:r w:rsidRPr="00CD7572">
              <w:t>Open forward currency contracts at 31 March 2016</w:t>
            </w:r>
          </w:p>
        </w:tc>
        <w:tc>
          <w:tcPr>
            <w:tcW w:w="853" w:type="dxa"/>
            <w:tcBorders>
              <w:top w:val="nil"/>
              <w:bottom w:val="nil"/>
            </w:tcBorders>
            <w:shd w:val="clear" w:color="auto" w:fill="C5E0B3" w:themeFill="accent6" w:themeFillTint="66"/>
          </w:tcPr>
          <w:p w:rsidR="00CD7572" w:rsidRPr="00CD7572" w:rsidRDefault="0062660D" w:rsidP="00CD7572">
            <w:pPr>
              <w:tabs>
                <w:tab w:val="left" w:pos="1080"/>
              </w:tabs>
              <w:spacing w:after="80"/>
              <w:jc w:val="right"/>
            </w:pPr>
          </w:p>
        </w:tc>
        <w:tc>
          <w:tcPr>
            <w:tcW w:w="1272" w:type="dxa"/>
            <w:gridSpan w:val="2"/>
            <w:tcBorders>
              <w:top w:val="nil"/>
              <w:bottom w:val="nil"/>
            </w:tcBorders>
            <w:shd w:val="clear" w:color="auto" w:fill="C5E0B3" w:themeFill="accent6" w:themeFillTint="66"/>
          </w:tcPr>
          <w:p w:rsidR="00CD7572" w:rsidRPr="00CD7572" w:rsidRDefault="0062660D" w:rsidP="00CD7572">
            <w:pPr>
              <w:tabs>
                <w:tab w:val="left" w:pos="1080"/>
              </w:tabs>
              <w:spacing w:after="80"/>
              <w:jc w:val="right"/>
            </w:pPr>
          </w:p>
        </w:tc>
        <w:tc>
          <w:tcPr>
            <w:tcW w:w="1479" w:type="dxa"/>
            <w:gridSpan w:val="2"/>
            <w:tcBorders>
              <w:top w:val="nil"/>
              <w:bottom w:val="nil"/>
            </w:tcBorders>
            <w:shd w:val="clear" w:color="auto" w:fill="C5E0B3" w:themeFill="accent6" w:themeFillTint="66"/>
          </w:tcPr>
          <w:p w:rsidR="00CD7572" w:rsidRPr="00CD7572" w:rsidRDefault="0062660D" w:rsidP="00CD7572">
            <w:pPr>
              <w:tabs>
                <w:tab w:val="left" w:pos="1080"/>
              </w:tabs>
              <w:spacing w:after="80"/>
              <w:jc w:val="right"/>
            </w:pPr>
          </w:p>
        </w:tc>
        <w:tc>
          <w:tcPr>
            <w:tcW w:w="1175" w:type="dxa"/>
            <w:tcBorders>
              <w:top w:val="nil"/>
              <w:bottom w:val="nil"/>
            </w:tcBorders>
            <w:shd w:val="clear" w:color="auto" w:fill="C5E0B3" w:themeFill="accent6" w:themeFillTint="66"/>
          </w:tcPr>
          <w:p w:rsidR="00CD7572" w:rsidRPr="00CD7572" w:rsidRDefault="0062660D" w:rsidP="00CD7572">
            <w:pPr>
              <w:tabs>
                <w:tab w:val="left" w:pos="1080"/>
              </w:tabs>
              <w:spacing w:after="80"/>
              <w:jc w:val="right"/>
            </w:pPr>
          </w:p>
        </w:tc>
        <w:tc>
          <w:tcPr>
            <w:tcW w:w="1131" w:type="dxa"/>
            <w:gridSpan w:val="2"/>
            <w:tcBorders>
              <w:top w:val="nil"/>
              <w:bottom w:val="nil"/>
            </w:tcBorders>
            <w:shd w:val="clear" w:color="auto" w:fill="C5E0B3" w:themeFill="accent6" w:themeFillTint="66"/>
          </w:tcPr>
          <w:p w:rsidR="00CD7572" w:rsidRPr="00CD7572" w:rsidRDefault="0062660D" w:rsidP="00CD7572">
            <w:pPr>
              <w:tabs>
                <w:tab w:val="left" w:pos="1080"/>
              </w:tabs>
              <w:spacing w:after="80"/>
              <w:jc w:val="right"/>
            </w:pPr>
            <w:r w:rsidRPr="00CD7572">
              <w:t>294.5</w:t>
            </w:r>
          </w:p>
        </w:tc>
        <w:tc>
          <w:tcPr>
            <w:tcW w:w="1539" w:type="dxa"/>
            <w:gridSpan w:val="2"/>
            <w:tcBorders>
              <w:top w:val="nil"/>
              <w:bottom w:val="nil"/>
            </w:tcBorders>
            <w:shd w:val="clear" w:color="auto" w:fill="C5E0B3" w:themeFill="accent6" w:themeFillTint="66"/>
          </w:tcPr>
          <w:p w:rsidR="00CD7572" w:rsidRPr="00CD7572" w:rsidRDefault="0062660D" w:rsidP="00CD7572">
            <w:pPr>
              <w:tabs>
                <w:tab w:val="left" w:pos="1080"/>
              </w:tabs>
              <w:spacing w:after="80"/>
              <w:jc w:val="right"/>
            </w:pPr>
            <w:r w:rsidRPr="00CD7572">
              <w:t>(291.0)</w:t>
            </w:r>
          </w:p>
        </w:tc>
      </w:tr>
      <w:tr w:rsidR="006A2C17" w:rsidTr="00E245D6">
        <w:trPr>
          <w:trHeight w:val="209"/>
        </w:trPr>
        <w:tc>
          <w:tcPr>
            <w:tcW w:w="3227" w:type="dxa"/>
            <w:gridSpan w:val="2"/>
            <w:tcBorders>
              <w:top w:val="nil"/>
              <w:bottom w:val="nil"/>
            </w:tcBorders>
            <w:shd w:val="clear" w:color="auto" w:fill="C5E0B3" w:themeFill="accent6" w:themeFillTint="66"/>
          </w:tcPr>
          <w:p w:rsidR="00CD7572" w:rsidRPr="00CD7572" w:rsidRDefault="0062660D" w:rsidP="00CD7572">
            <w:pPr>
              <w:tabs>
                <w:tab w:val="left" w:pos="1080"/>
              </w:tabs>
              <w:spacing w:after="80"/>
              <w:jc w:val="left"/>
            </w:pPr>
          </w:p>
        </w:tc>
        <w:tc>
          <w:tcPr>
            <w:tcW w:w="853" w:type="dxa"/>
            <w:tcBorders>
              <w:top w:val="nil"/>
              <w:bottom w:val="nil"/>
            </w:tcBorders>
            <w:shd w:val="clear" w:color="auto" w:fill="C5E0B3" w:themeFill="accent6" w:themeFillTint="66"/>
          </w:tcPr>
          <w:p w:rsidR="00CD7572" w:rsidRPr="00CD7572" w:rsidRDefault="0062660D" w:rsidP="00CD7572">
            <w:pPr>
              <w:tabs>
                <w:tab w:val="left" w:pos="1080"/>
              </w:tabs>
              <w:spacing w:after="80"/>
              <w:jc w:val="right"/>
            </w:pPr>
          </w:p>
        </w:tc>
        <w:tc>
          <w:tcPr>
            <w:tcW w:w="1272" w:type="dxa"/>
            <w:gridSpan w:val="2"/>
            <w:tcBorders>
              <w:top w:val="nil"/>
              <w:bottom w:val="nil"/>
            </w:tcBorders>
            <w:shd w:val="clear" w:color="auto" w:fill="C5E0B3" w:themeFill="accent6" w:themeFillTint="66"/>
          </w:tcPr>
          <w:p w:rsidR="00CD7572" w:rsidRPr="00CD7572" w:rsidRDefault="0062660D" w:rsidP="00CD7572">
            <w:pPr>
              <w:tabs>
                <w:tab w:val="left" w:pos="1080"/>
              </w:tabs>
              <w:spacing w:after="80"/>
              <w:jc w:val="right"/>
            </w:pPr>
          </w:p>
        </w:tc>
        <w:tc>
          <w:tcPr>
            <w:tcW w:w="1479" w:type="dxa"/>
            <w:gridSpan w:val="2"/>
            <w:tcBorders>
              <w:top w:val="nil"/>
              <w:bottom w:val="nil"/>
            </w:tcBorders>
            <w:shd w:val="clear" w:color="auto" w:fill="C5E0B3" w:themeFill="accent6" w:themeFillTint="66"/>
          </w:tcPr>
          <w:p w:rsidR="00CD7572" w:rsidRPr="00CD7572" w:rsidRDefault="0062660D" w:rsidP="00CD7572">
            <w:pPr>
              <w:tabs>
                <w:tab w:val="left" w:pos="1080"/>
              </w:tabs>
              <w:spacing w:after="80"/>
              <w:jc w:val="right"/>
            </w:pPr>
          </w:p>
        </w:tc>
        <w:tc>
          <w:tcPr>
            <w:tcW w:w="1175" w:type="dxa"/>
            <w:tcBorders>
              <w:top w:val="nil"/>
              <w:bottom w:val="nil"/>
            </w:tcBorders>
            <w:shd w:val="clear" w:color="auto" w:fill="C5E0B3" w:themeFill="accent6" w:themeFillTint="66"/>
          </w:tcPr>
          <w:p w:rsidR="00CD7572" w:rsidRPr="00CD7572" w:rsidRDefault="0062660D" w:rsidP="00CD7572">
            <w:pPr>
              <w:tabs>
                <w:tab w:val="left" w:pos="1080"/>
              </w:tabs>
              <w:spacing w:after="80"/>
              <w:jc w:val="right"/>
            </w:pPr>
          </w:p>
        </w:tc>
        <w:tc>
          <w:tcPr>
            <w:tcW w:w="1131" w:type="dxa"/>
            <w:gridSpan w:val="2"/>
            <w:tcBorders>
              <w:top w:val="nil"/>
              <w:bottom w:val="nil"/>
            </w:tcBorders>
            <w:shd w:val="clear" w:color="auto" w:fill="C5E0B3" w:themeFill="accent6" w:themeFillTint="66"/>
          </w:tcPr>
          <w:p w:rsidR="00CD7572" w:rsidRPr="00CD7572" w:rsidRDefault="0062660D" w:rsidP="00CD7572">
            <w:pPr>
              <w:tabs>
                <w:tab w:val="left" w:pos="1080"/>
              </w:tabs>
              <w:spacing w:after="80"/>
              <w:jc w:val="right"/>
            </w:pPr>
          </w:p>
        </w:tc>
        <w:tc>
          <w:tcPr>
            <w:tcW w:w="1539" w:type="dxa"/>
            <w:gridSpan w:val="2"/>
            <w:tcBorders>
              <w:top w:val="nil"/>
              <w:bottom w:val="nil"/>
            </w:tcBorders>
            <w:shd w:val="clear" w:color="auto" w:fill="C5E0B3" w:themeFill="accent6" w:themeFillTint="66"/>
          </w:tcPr>
          <w:p w:rsidR="00CD7572" w:rsidRPr="00CD7572" w:rsidRDefault="0062660D" w:rsidP="00CD7572">
            <w:pPr>
              <w:tabs>
                <w:tab w:val="left" w:pos="1080"/>
              </w:tabs>
              <w:spacing w:after="80"/>
              <w:jc w:val="right"/>
            </w:pPr>
          </w:p>
        </w:tc>
      </w:tr>
      <w:tr w:rsidR="006A2C17" w:rsidTr="00E245D6">
        <w:trPr>
          <w:trHeight w:val="427"/>
        </w:trPr>
        <w:tc>
          <w:tcPr>
            <w:tcW w:w="3227" w:type="dxa"/>
            <w:gridSpan w:val="2"/>
            <w:tcBorders>
              <w:top w:val="nil"/>
              <w:bottom w:val="nil"/>
            </w:tcBorders>
            <w:shd w:val="clear" w:color="auto" w:fill="C5E0B3" w:themeFill="accent6" w:themeFillTint="66"/>
          </w:tcPr>
          <w:p w:rsidR="00CD7572" w:rsidRPr="00CD7572" w:rsidRDefault="0062660D" w:rsidP="00CD7572">
            <w:pPr>
              <w:tabs>
                <w:tab w:val="left" w:pos="1080"/>
              </w:tabs>
              <w:spacing w:after="80"/>
              <w:jc w:val="left"/>
            </w:pPr>
            <w:r w:rsidRPr="00CD7572">
              <w:t>Net forward currency contracts at 31 March 2016</w:t>
            </w:r>
          </w:p>
        </w:tc>
        <w:tc>
          <w:tcPr>
            <w:tcW w:w="853" w:type="dxa"/>
            <w:tcBorders>
              <w:top w:val="nil"/>
              <w:bottom w:val="nil"/>
            </w:tcBorders>
            <w:shd w:val="clear" w:color="auto" w:fill="C5E0B3" w:themeFill="accent6" w:themeFillTint="66"/>
          </w:tcPr>
          <w:p w:rsidR="00CD7572" w:rsidRPr="00CD7572" w:rsidRDefault="0062660D" w:rsidP="00CD7572">
            <w:pPr>
              <w:tabs>
                <w:tab w:val="left" w:pos="1080"/>
              </w:tabs>
              <w:spacing w:after="80"/>
              <w:jc w:val="right"/>
            </w:pPr>
          </w:p>
        </w:tc>
        <w:tc>
          <w:tcPr>
            <w:tcW w:w="1272" w:type="dxa"/>
            <w:gridSpan w:val="2"/>
            <w:tcBorders>
              <w:top w:val="nil"/>
              <w:bottom w:val="nil"/>
            </w:tcBorders>
            <w:shd w:val="clear" w:color="auto" w:fill="C5E0B3" w:themeFill="accent6" w:themeFillTint="66"/>
          </w:tcPr>
          <w:p w:rsidR="00CD7572" w:rsidRPr="00CD7572" w:rsidRDefault="0062660D" w:rsidP="00CD7572">
            <w:pPr>
              <w:tabs>
                <w:tab w:val="left" w:pos="1080"/>
              </w:tabs>
              <w:spacing w:after="80"/>
              <w:jc w:val="right"/>
            </w:pPr>
          </w:p>
        </w:tc>
        <w:tc>
          <w:tcPr>
            <w:tcW w:w="1479" w:type="dxa"/>
            <w:gridSpan w:val="2"/>
            <w:tcBorders>
              <w:top w:val="nil"/>
              <w:bottom w:val="nil"/>
            </w:tcBorders>
            <w:shd w:val="clear" w:color="auto" w:fill="C5E0B3" w:themeFill="accent6" w:themeFillTint="66"/>
          </w:tcPr>
          <w:p w:rsidR="00CD7572" w:rsidRPr="00CD7572" w:rsidRDefault="0062660D" w:rsidP="00CD7572">
            <w:pPr>
              <w:tabs>
                <w:tab w:val="left" w:pos="1080"/>
              </w:tabs>
              <w:spacing w:after="80"/>
              <w:jc w:val="right"/>
            </w:pPr>
          </w:p>
        </w:tc>
        <w:tc>
          <w:tcPr>
            <w:tcW w:w="1175" w:type="dxa"/>
            <w:tcBorders>
              <w:top w:val="nil"/>
              <w:bottom w:val="nil"/>
            </w:tcBorders>
            <w:shd w:val="clear" w:color="auto" w:fill="C5E0B3" w:themeFill="accent6" w:themeFillTint="66"/>
          </w:tcPr>
          <w:p w:rsidR="00CD7572" w:rsidRPr="00CD7572" w:rsidRDefault="0062660D" w:rsidP="00CD7572">
            <w:pPr>
              <w:tabs>
                <w:tab w:val="left" w:pos="1080"/>
              </w:tabs>
              <w:spacing w:after="80"/>
              <w:jc w:val="right"/>
            </w:pPr>
          </w:p>
        </w:tc>
        <w:tc>
          <w:tcPr>
            <w:tcW w:w="1131" w:type="dxa"/>
            <w:gridSpan w:val="2"/>
            <w:tcBorders>
              <w:top w:val="nil"/>
              <w:bottom w:val="nil"/>
            </w:tcBorders>
            <w:shd w:val="clear" w:color="auto" w:fill="C5E0B3" w:themeFill="accent6" w:themeFillTint="66"/>
          </w:tcPr>
          <w:p w:rsidR="00CD7572" w:rsidRPr="00CD7572" w:rsidRDefault="0062660D" w:rsidP="00CD7572">
            <w:pPr>
              <w:tabs>
                <w:tab w:val="left" w:pos="1080"/>
              </w:tabs>
              <w:spacing w:after="80"/>
              <w:jc w:val="right"/>
            </w:pPr>
          </w:p>
        </w:tc>
        <w:tc>
          <w:tcPr>
            <w:tcW w:w="1539" w:type="dxa"/>
            <w:gridSpan w:val="2"/>
            <w:tcBorders>
              <w:top w:val="nil"/>
              <w:bottom w:val="nil"/>
            </w:tcBorders>
            <w:shd w:val="clear" w:color="auto" w:fill="C5E0B3" w:themeFill="accent6" w:themeFillTint="66"/>
          </w:tcPr>
          <w:p w:rsidR="00CD7572" w:rsidRPr="00CD7572" w:rsidRDefault="0062660D" w:rsidP="00CD7572">
            <w:pPr>
              <w:tabs>
                <w:tab w:val="left" w:pos="1080"/>
              </w:tabs>
              <w:spacing w:after="80"/>
              <w:jc w:val="right"/>
            </w:pPr>
            <w:r w:rsidRPr="00CD7572">
              <w:t>3.5</w:t>
            </w:r>
          </w:p>
        </w:tc>
      </w:tr>
      <w:tr w:rsidR="006A2C17" w:rsidTr="00E245D6">
        <w:trPr>
          <w:trHeight w:val="104"/>
        </w:trPr>
        <w:tc>
          <w:tcPr>
            <w:tcW w:w="3088" w:type="dxa"/>
            <w:tcBorders>
              <w:top w:val="nil"/>
              <w:bottom w:val="nil"/>
            </w:tcBorders>
            <w:shd w:val="clear" w:color="auto" w:fill="auto"/>
          </w:tcPr>
          <w:p w:rsidR="00CD7572" w:rsidRPr="00CD7572" w:rsidRDefault="0062660D" w:rsidP="00CD7572">
            <w:pPr>
              <w:tabs>
                <w:tab w:val="left" w:pos="1080"/>
              </w:tabs>
              <w:spacing w:after="80"/>
              <w:jc w:val="left"/>
            </w:pPr>
          </w:p>
        </w:tc>
        <w:tc>
          <w:tcPr>
            <w:tcW w:w="992" w:type="dxa"/>
            <w:gridSpan w:val="2"/>
            <w:tcBorders>
              <w:top w:val="nil"/>
              <w:bottom w:val="nil"/>
            </w:tcBorders>
            <w:shd w:val="clear" w:color="auto" w:fill="auto"/>
          </w:tcPr>
          <w:p w:rsidR="00CD7572" w:rsidRPr="00CD7572" w:rsidRDefault="0062660D" w:rsidP="00CD7572">
            <w:pPr>
              <w:tabs>
                <w:tab w:val="left" w:pos="1080"/>
              </w:tabs>
              <w:spacing w:after="80"/>
              <w:jc w:val="right"/>
            </w:pPr>
          </w:p>
        </w:tc>
        <w:tc>
          <w:tcPr>
            <w:tcW w:w="1272" w:type="dxa"/>
            <w:gridSpan w:val="2"/>
            <w:tcBorders>
              <w:top w:val="nil"/>
              <w:bottom w:val="nil"/>
            </w:tcBorders>
            <w:shd w:val="clear" w:color="auto" w:fill="auto"/>
          </w:tcPr>
          <w:p w:rsidR="00CD7572" w:rsidRPr="00CD7572" w:rsidRDefault="0062660D" w:rsidP="00CD7572">
            <w:pPr>
              <w:tabs>
                <w:tab w:val="left" w:pos="1080"/>
              </w:tabs>
              <w:spacing w:after="80"/>
              <w:jc w:val="right"/>
            </w:pPr>
          </w:p>
        </w:tc>
        <w:tc>
          <w:tcPr>
            <w:tcW w:w="1479" w:type="dxa"/>
            <w:gridSpan w:val="2"/>
            <w:tcBorders>
              <w:top w:val="nil"/>
              <w:bottom w:val="nil"/>
            </w:tcBorders>
            <w:shd w:val="clear" w:color="auto" w:fill="auto"/>
          </w:tcPr>
          <w:p w:rsidR="00CD7572" w:rsidRPr="00CD7572" w:rsidRDefault="0062660D" w:rsidP="00CD7572">
            <w:pPr>
              <w:tabs>
                <w:tab w:val="left" w:pos="1080"/>
              </w:tabs>
              <w:spacing w:after="80"/>
              <w:jc w:val="right"/>
            </w:pPr>
          </w:p>
        </w:tc>
        <w:tc>
          <w:tcPr>
            <w:tcW w:w="1175" w:type="dxa"/>
            <w:tcBorders>
              <w:top w:val="nil"/>
              <w:bottom w:val="nil"/>
            </w:tcBorders>
            <w:shd w:val="clear" w:color="auto" w:fill="auto"/>
          </w:tcPr>
          <w:p w:rsidR="00CD7572" w:rsidRPr="00CD7572" w:rsidRDefault="0062660D" w:rsidP="00CD7572">
            <w:pPr>
              <w:tabs>
                <w:tab w:val="left" w:pos="1080"/>
              </w:tabs>
              <w:spacing w:after="80"/>
              <w:jc w:val="right"/>
            </w:pPr>
          </w:p>
        </w:tc>
        <w:tc>
          <w:tcPr>
            <w:tcW w:w="1131" w:type="dxa"/>
            <w:gridSpan w:val="2"/>
            <w:tcBorders>
              <w:top w:val="nil"/>
              <w:bottom w:val="nil"/>
            </w:tcBorders>
            <w:shd w:val="clear" w:color="auto" w:fill="auto"/>
          </w:tcPr>
          <w:p w:rsidR="00CD7572" w:rsidRPr="00CD7572" w:rsidRDefault="0062660D" w:rsidP="00CD7572">
            <w:pPr>
              <w:tabs>
                <w:tab w:val="left" w:pos="1080"/>
              </w:tabs>
              <w:spacing w:after="80"/>
              <w:jc w:val="right"/>
            </w:pPr>
          </w:p>
        </w:tc>
        <w:tc>
          <w:tcPr>
            <w:tcW w:w="1539" w:type="dxa"/>
            <w:gridSpan w:val="2"/>
            <w:tcBorders>
              <w:top w:val="nil"/>
              <w:bottom w:val="nil"/>
            </w:tcBorders>
            <w:shd w:val="clear" w:color="auto" w:fill="auto"/>
          </w:tcPr>
          <w:p w:rsidR="00CD7572" w:rsidRPr="00CD7572" w:rsidRDefault="0062660D" w:rsidP="00CD7572">
            <w:pPr>
              <w:tabs>
                <w:tab w:val="left" w:pos="1080"/>
              </w:tabs>
              <w:spacing w:after="80"/>
              <w:jc w:val="right"/>
            </w:pPr>
          </w:p>
        </w:tc>
      </w:tr>
      <w:tr w:rsidR="006A2C17" w:rsidTr="00E245D6">
        <w:trPr>
          <w:trHeight w:val="584"/>
        </w:trPr>
        <w:tc>
          <w:tcPr>
            <w:tcW w:w="3088" w:type="dxa"/>
            <w:tcBorders>
              <w:top w:val="nil"/>
              <w:bottom w:val="nil"/>
            </w:tcBorders>
            <w:shd w:val="clear" w:color="auto" w:fill="A8D08D" w:themeFill="accent6" w:themeFillTint="99"/>
          </w:tcPr>
          <w:p w:rsidR="00CD7572" w:rsidRPr="00CD7572" w:rsidRDefault="0062660D" w:rsidP="00CD7572">
            <w:pPr>
              <w:tabs>
                <w:tab w:val="left" w:pos="1080"/>
              </w:tabs>
              <w:spacing w:after="80"/>
              <w:jc w:val="left"/>
            </w:pPr>
            <w:r w:rsidRPr="00CD7572">
              <w:t>Prior year comparative</w:t>
            </w:r>
          </w:p>
        </w:tc>
        <w:tc>
          <w:tcPr>
            <w:tcW w:w="992" w:type="dxa"/>
            <w:gridSpan w:val="2"/>
            <w:tcBorders>
              <w:top w:val="nil"/>
              <w:bottom w:val="nil"/>
            </w:tcBorders>
            <w:shd w:val="clear" w:color="auto" w:fill="A8D08D" w:themeFill="accent6" w:themeFillTint="99"/>
          </w:tcPr>
          <w:p w:rsidR="00CD7572" w:rsidRPr="00CD7572" w:rsidRDefault="0062660D" w:rsidP="00CD7572">
            <w:pPr>
              <w:tabs>
                <w:tab w:val="left" w:pos="1080"/>
              </w:tabs>
              <w:spacing w:after="80"/>
              <w:jc w:val="right"/>
            </w:pPr>
          </w:p>
        </w:tc>
        <w:tc>
          <w:tcPr>
            <w:tcW w:w="1272" w:type="dxa"/>
            <w:gridSpan w:val="2"/>
            <w:tcBorders>
              <w:top w:val="nil"/>
              <w:bottom w:val="nil"/>
            </w:tcBorders>
            <w:shd w:val="clear" w:color="auto" w:fill="A8D08D" w:themeFill="accent6" w:themeFillTint="99"/>
          </w:tcPr>
          <w:p w:rsidR="00CD7572" w:rsidRPr="00CD7572" w:rsidRDefault="0062660D" w:rsidP="00CD7572">
            <w:pPr>
              <w:tabs>
                <w:tab w:val="left" w:pos="1080"/>
              </w:tabs>
              <w:spacing w:after="80"/>
              <w:jc w:val="right"/>
            </w:pPr>
          </w:p>
        </w:tc>
        <w:tc>
          <w:tcPr>
            <w:tcW w:w="1479" w:type="dxa"/>
            <w:gridSpan w:val="2"/>
            <w:tcBorders>
              <w:top w:val="nil"/>
              <w:bottom w:val="nil"/>
            </w:tcBorders>
            <w:shd w:val="clear" w:color="auto" w:fill="A8D08D" w:themeFill="accent6" w:themeFillTint="99"/>
          </w:tcPr>
          <w:p w:rsidR="00CD7572" w:rsidRPr="00CD7572" w:rsidRDefault="0062660D" w:rsidP="00CD7572">
            <w:pPr>
              <w:tabs>
                <w:tab w:val="left" w:pos="1080"/>
              </w:tabs>
              <w:spacing w:after="80"/>
              <w:jc w:val="right"/>
            </w:pPr>
          </w:p>
        </w:tc>
        <w:tc>
          <w:tcPr>
            <w:tcW w:w="1175" w:type="dxa"/>
            <w:tcBorders>
              <w:top w:val="nil"/>
              <w:bottom w:val="nil"/>
            </w:tcBorders>
            <w:shd w:val="clear" w:color="auto" w:fill="A8D08D" w:themeFill="accent6" w:themeFillTint="99"/>
          </w:tcPr>
          <w:p w:rsidR="00CD7572" w:rsidRPr="00CD7572" w:rsidRDefault="0062660D" w:rsidP="00CD7572">
            <w:pPr>
              <w:tabs>
                <w:tab w:val="left" w:pos="1080"/>
              </w:tabs>
              <w:spacing w:after="80"/>
              <w:jc w:val="right"/>
            </w:pPr>
          </w:p>
        </w:tc>
        <w:tc>
          <w:tcPr>
            <w:tcW w:w="1131" w:type="dxa"/>
            <w:gridSpan w:val="2"/>
            <w:tcBorders>
              <w:top w:val="nil"/>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1539" w:type="dxa"/>
            <w:gridSpan w:val="2"/>
            <w:tcBorders>
              <w:top w:val="nil"/>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r>
      <w:tr w:rsidR="006A2C17" w:rsidTr="00E245D6">
        <w:trPr>
          <w:trHeight w:val="176"/>
        </w:trPr>
        <w:tc>
          <w:tcPr>
            <w:tcW w:w="3088" w:type="dxa"/>
            <w:tcBorders>
              <w:top w:val="nil"/>
              <w:bottom w:val="nil"/>
            </w:tcBorders>
          </w:tcPr>
          <w:p w:rsidR="00CD7572" w:rsidRPr="00CD7572" w:rsidRDefault="0062660D" w:rsidP="00CD7572">
            <w:pPr>
              <w:tabs>
                <w:tab w:val="left" w:pos="1080"/>
              </w:tabs>
              <w:spacing w:after="80"/>
              <w:jc w:val="left"/>
            </w:pPr>
          </w:p>
        </w:tc>
        <w:tc>
          <w:tcPr>
            <w:tcW w:w="992" w:type="dxa"/>
            <w:gridSpan w:val="2"/>
            <w:tcBorders>
              <w:top w:val="nil"/>
              <w:bottom w:val="nil"/>
            </w:tcBorders>
          </w:tcPr>
          <w:p w:rsidR="00CD7572" w:rsidRPr="00CD7572" w:rsidRDefault="0062660D" w:rsidP="00CD7572">
            <w:pPr>
              <w:tabs>
                <w:tab w:val="left" w:pos="1080"/>
              </w:tabs>
              <w:spacing w:after="80"/>
              <w:jc w:val="right"/>
            </w:pPr>
          </w:p>
        </w:tc>
        <w:tc>
          <w:tcPr>
            <w:tcW w:w="1272" w:type="dxa"/>
            <w:gridSpan w:val="2"/>
            <w:tcBorders>
              <w:top w:val="nil"/>
              <w:bottom w:val="nil"/>
            </w:tcBorders>
          </w:tcPr>
          <w:p w:rsidR="00CD7572" w:rsidRPr="00CD7572" w:rsidRDefault="0062660D" w:rsidP="00CD7572">
            <w:pPr>
              <w:tabs>
                <w:tab w:val="left" w:pos="1080"/>
              </w:tabs>
              <w:spacing w:after="80"/>
              <w:jc w:val="right"/>
            </w:pPr>
          </w:p>
        </w:tc>
        <w:tc>
          <w:tcPr>
            <w:tcW w:w="1479" w:type="dxa"/>
            <w:gridSpan w:val="2"/>
            <w:tcBorders>
              <w:top w:val="nil"/>
              <w:bottom w:val="nil"/>
            </w:tcBorders>
          </w:tcPr>
          <w:p w:rsidR="00CD7572" w:rsidRPr="00CD7572" w:rsidRDefault="0062660D" w:rsidP="00CD7572">
            <w:pPr>
              <w:tabs>
                <w:tab w:val="left" w:pos="1080"/>
              </w:tabs>
              <w:spacing w:after="80"/>
              <w:jc w:val="right"/>
            </w:pPr>
          </w:p>
        </w:tc>
        <w:tc>
          <w:tcPr>
            <w:tcW w:w="1175" w:type="dxa"/>
            <w:tcBorders>
              <w:top w:val="nil"/>
              <w:bottom w:val="nil"/>
            </w:tcBorders>
          </w:tcPr>
          <w:p w:rsidR="00CD7572" w:rsidRPr="00CD7572" w:rsidRDefault="0062660D" w:rsidP="00CD7572">
            <w:pPr>
              <w:tabs>
                <w:tab w:val="left" w:pos="1080"/>
              </w:tabs>
              <w:spacing w:after="80"/>
              <w:jc w:val="right"/>
            </w:pPr>
          </w:p>
        </w:tc>
        <w:tc>
          <w:tcPr>
            <w:tcW w:w="1131" w:type="dxa"/>
            <w:gridSpan w:val="2"/>
            <w:tcBorders>
              <w:top w:val="nil"/>
              <w:bottom w:val="nil"/>
            </w:tcBorders>
          </w:tcPr>
          <w:p w:rsidR="00CD7572" w:rsidRPr="00CD7572" w:rsidRDefault="0062660D" w:rsidP="00CD7572">
            <w:pPr>
              <w:tabs>
                <w:tab w:val="left" w:pos="1080"/>
              </w:tabs>
              <w:spacing w:after="80"/>
              <w:jc w:val="right"/>
            </w:pPr>
          </w:p>
        </w:tc>
        <w:tc>
          <w:tcPr>
            <w:tcW w:w="1539" w:type="dxa"/>
            <w:gridSpan w:val="2"/>
            <w:tcBorders>
              <w:top w:val="nil"/>
              <w:bottom w:val="nil"/>
            </w:tcBorders>
          </w:tcPr>
          <w:p w:rsidR="00CD7572" w:rsidRPr="00CD7572" w:rsidRDefault="0062660D" w:rsidP="00CD7572">
            <w:pPr>
              <w:tabs>
                <w:tab w:val="left" w:pos="1080"/>
              </w:tabs>
              <w:spacing w:after="80"/>
              <w:jc w:val="right"/>
            </w:pPr>
          </w:p>
        </w:tc>
      </w:tr>
      <w:tr w:rsidR="006A2C17" w:rsidTr="00E245D6">
        <w:trPr>
          <w:trHeight w:val="459"/>
        </w:trPr>
        <w:tc>
          <w:tcPr>
            <w:tcW w:w="3227" w:type="dxa"/>
            <w:gridSpan w:val="2"/>
            <w:tcBorders>
              <w:top w:val="nil"/>
              <w:bottom w:val="nil"/>
            </w:tcBorders>
          </w:tcPr>
          <w:p w:rsidR="00CD7572" w:rsidRPr="00CD7572" w:rsidRDefault="0062660D" w:rsidP="00CD7572">
            <w:pPr>
              <w:tabs>
                <w:tab w:val="left" w:pos="1080"/>
              </w:tabs>
              <w:spacing w:after="80"/>
              <w:jc w:val="left"/>
            </w:pPr>
            <w:r w:rsidRPr="00CD7572">
              <w:t>Open forward currency contracts at 31 March 2015</w:t>
            </w:r>
          </w:p>
        </w:tc>
        <w:tc>
          <w:tcPr>
            <w:tcW w:w="853" w:type="dxa"/>
            <w:tcBorders>
              <w:top w:val="nil"/>
              <w:bottom w:val="nil"/>
            </w:tcBorders>
          </w:tcPr>
          <w:p w:rsidR="00CD7572" w:rsidRPr="00CD7572" w:rsidRDefault="0062660D" w:rsidP="00CD7572">
            <w:pPr>
              <w:tabs>
                <w:tab w:val="left" w:pos="1080"/>
              </w:tabs>
              <w:spacing w:after="80"/>
              <w:jc w:val="right"/>
            </w:pPr>
          </w:p>
        </w:tc>
        <w:tc>
          <w:tcPr>
            <w:tcW w:w="1272" w:type="dxa"/>
            <w:gridSpan w:val="2"/>
            <w:tcBorders>
              <w:top w:val="nil"/>
              <w:bottom w:val="nil"/>
            </w:tcBorders>
          </w:tcPr>
          <w:p w:rsidR="00CD7572" w:rsidRPr="00CD7572" w:rsidRDefault="0062660D" w:rsidP="00CD7572">
            <w:pPr>
              <w:tabs>
                <w:tab w:val="left" w:pos="1080"/>
              </w:tabs>
              <w:spacing w:after="80"/>
              <w:jc w:val="right"/>
            </w:pPr>
          </w:p>
        </w:tc>
        <w:tc>
          <w:tcPr>
            <w:tcW w:w="1479" w:type="dxa"/>
            <w:gridSpan w:val="2"/>
            <w:tcBorders>
              <w:top w:val="nil"/>
              <w:bottom w:val="nil"/>
            </w:tcBorders>
          </w:tcPr>
          <w:p w:rsidR="00CD7572" w:rsidRPr="00CD7572" w:rsidRDefault="0062660D" w:rsidP="00CD7572">
            <w:pPr>
              <w:tabs>
                <w:tab w:val="left" w:pos="1080"/>
              </w:tabs>
              <w:spacing w:after="80"/>
              <w:jc w:val="right"/>
            </w:pPr>
          </w:p>
        </w:tc>
        <w:tc>
          <w:tcPr>
            <w:tcW w:w="1175" w:type="dxa"/>
            <w:tcBorders>
              <w:top w:val="nil"/>
              <w:bottom w:val="nil"/>
            </w:tcBorders>
          </w:tcPr>
          <w:p w:rsidR="00CD7572" w:rsidRPr="00CD7572" w:rsidRDefault="0062660D" w:rsidP="00CD7572">
            <w:pPr>
              <w:tabs>
                <w:tab w:val="left" w:pos="1080"/>
              </w:tabs>
              <w:spacing w:after="80"/>
              <w:jc w:val="right"/>
            </w:pPr>
          </w:p>
        </w:tc>
        <w:tc>
          <w:tcPr>
            <w:tcW w:w="1131" w:type="dxa"/>
            <w:gridSpan w:val="2"/>
            <w:tcBorders>
              <w:top w:val="nil"/>
              <w:bottom w:val="nil"/>
            </w:tcBorders>
          </w:tcPr>
          <w:p w:rsidR="00CD7572" w:rsidRPr="00CD7572" w:rsidRDefault="0062660D" w:rsidP="00CD7572">
            <w:pPr>
              <w:tabs>
                <w:tab w:val="left" w:pos="1080"/>
              </w:tabs>
              <w:spacing w:after="80"/>
              <w:jc w:val="right"/>
            </w:pPr>
            <w:r w:rsidRPr="00CD7572">
              <w:t>632.4</w:t>
            </w:r>
          </w:p>
        </w:tc>
        <w:tc>
          <w:tcPr>
            <w:tcW w:w="1539" w:type="dxa"/>
            <w:gridSpan w:val="2"/>
            <w:tcBorders>
              <w:top w:val="nil"/>
              <w:bottom w:val="nil"/>
            </w:tcBorders>
          </w:tcPr>
          <w:p w:rsidR="00CD7572" w:rsidRPr="00CD7572" w:rsidRDefault="0062660D" w:rsidP="00CD7572">
            <w:pPr>
              <w:tabs>
                <w:tab w:val="left" w:pos="1080"/>
              </w:tabs>
              <w:spacing w:after="80"/>
              <w:jc w:val="right"/>
            </w:pPr>
            <w:r w:rsidRPr="00CD7572">
              <w:t>(629.6)</w:t>
            </w:r>
          </w:p>
        </w:tc>
      </w:tr>
      <w:tr w:rsidR="006A2C17" w:rsidTr="00E245D6">
        <w:trPr>
          <w:trHeight w:val="499"/>
        </w:trPr>
        <w:tc>
          <w:tcPr>
            <w:tcW w:w="3227" w:type="dxa"/>
            <w:gridSpan w:val="2"/>
            <w:tcBorders>
              <w:top w:val="nil"/>
              <w:bottom w:val="single" w:sz="4" w:space="0" w:color="auto"/>
            </w:tcBorders>
          </w:tcPr>
          <w:p w:rsidR="00CD7572" w:rsidRPr="00CD7572" w:rsidRDefault="0062660D" w:rsidP="00CD7572">
            <w:pPr>
              <w:tabs>
                <w:tab w:val="left" w:pos="1080"/>
              </w:tabs>
              <w:spacing w:after="80"/>
              <w:jc w:val="left"/>
            </w:pPr>
            <w:r w:rsidRPr="00CD7572">
              <w:t>Net forward currency contracts at 31 March 2015</w:t>
            </w:r>
          </w:p>
        </w:tc>
        <w:tc>
          <w:tcPr>
            <w:tcW w:w="853" w:type="dxa"/>
            <w:tcBorders>
              <w:top w:val="nil"/>
              <w:bottom w:val="single" w:sz="4" w:space="0" w:color="auto"/>
            </w:tcBorders>
          </w:tcPr>
          <w:p w:rsidR="00CD7572" w:rsidRPr="00CD7572" w:rsidRDefault="0062660D" w:rsidP="00CD7572">
            <w:pPr>
              <w:tabs>
                <w:tab w:val="left" w:pos="1080"/>
              </w:tabs>
              <w:spacing w:after="80"/>
              <w:jc w:val="right"/>
            </w:pPr>
          </w:p>
        </w:tc>
        <w:tc>
          <w:tcPr>
            <w:tcW w:w="1272" w:type="dxa"/>
            <w:gridSpan w:val="2"/>
            <w:tcBorders>
              <w:top w:val="nil"/>
              <w:bottom w:val="single" w:sz="4" w:space="0" w:color="auto"/>
            </w:tcBorders>
          </w:tcPr>
          <w:p w:rsidR="00CD7572" w:rsidRPr="00CD7572" w:rsidRDefault="0062660D" w:rsidP="00CD7572">
            <w:pPr>
              <w:tabs>
                <w:tab w:val="left" w:pos="1080"/>
              </w:tabs>
              <w:spacing w:after="80"/>
              <w:jc w:val="right"/>
            </w:pPr>
          </w:p>
        </w:tc>
        <w:tc>
          <w:tcPr>
            <w:tcW w:w="1479" w:type="dxa"/>
            <w:gridSpan w:val="2"/>
            <w:tcBorders>
              <w:top w:val="nil"/>
              <w:bottom w:val="single" w:sz="4" w:space="0" w:color="auto"/>
            </w:tcBorders>
          </w:tcPr>
          <w:p w:rsidR="00CD7572" w:rsidRPr="00CD7572" w:rsidRDefault="0062660D" w:rsidP="00CD7572">
            <w:pPr>
              <w:tabs>
                <w:tab w:val="left" w:pos="1080"/>
              </w:tabs>
              <w:spacing w:after="80"/>
              <w:jc w:val="right"/>
            </w:pPr>
          </w:p>
        </w:tc>
        <w:tc>
          <w:tcPr>
            <w:tcW w:w="1175" w:type="dxa"/>
            <w:tcBorders>
              <w:top w:val="nil"/>
              <w:bottom w:val="single" w:sz="4" w:space="0" w:color="auto"/>
            </w:tcBorders>
          </w:tcPr>
          <w:p w:rsidR="00CD7572" w:rsidRPr="00CD7572" w:rsidRDefault="0062660D" w:rsidP="00CD7572">
            <w:pPr>
              <w:tabs>
                <w:tab w:val="left" w:pos="1080"/>
              </w:tabs>
              <w:spacing w:after="80"/>
              <w:jc w:val="right"/>
            </w:pPr>
          </w:p>
        </w:tc>
        <w:tc>
          <w:tcPr>
            <w:tcW w:w="1131" w:type="dxa"/>
            <w:gridSpan w:val="2"/>
            <w:tcBorders>
              <w:top w:val="nil"/>
              <w:bottom w:val="single" w:sz="4" w:space="0" w:color="auto"/>
            </w:tcBorders>
          </w:tcPr>
          <w:p w:rsidR="00CD7572" w:rsidRPr="00CD7572" w:rsidRDefault="0062660D" w:rsidP="00CD7572">
            <w:pPr>
              <w:tabs>
                <w:tab w:val="left" w:pos="1080"/>
              </w:tabs>
              <w:spacing w:after="80"/>
              <w:jc w:val="right"/>
            </w:pPr>
          </w:p>
        </w:tc>
        <w:tc>
          <w:tcPr>
            <w:tcW w:w="1539" w:type="dxa"/>
            <w:gridSpan w:val="2"/>
            <w:tcBorders>
              <w:top w:val="nil"/>
              <w:bottom w:val="single" w:sz="4" w:space="0" w:color="auto"/>
            </w:tcBorders>
          </w:tcPr>
          <w:p w:rsidR="00CD7572" w:rsidRPr="00CD7572" w:rsidRDefault="0062660D" w:rsidP="00CD7572">
            <w:pPr>
              <w:tabs>
                <w:tab w:val="left" w:pos="1080"/>
              </w:tabs>
              <w:spacing w:after="80"/>
              <w:jc w:val="right"/>
            </w:pPr>
            <w:r w:rsidRPr="00CD7572">
              <w:t>2.8</w:t>
            </w:r>
          </w:p>
        </w:tc>
      </w:tr>
    </w:tbl>
    <w:p w:rsidR="00CD7572" w:rsidRPr="00CD7572" w:rsidRDefault="0062660D" w:rsidP="00CD7572">
      <w:pPr>
        <w:tabs>
          <w:tab w:val="left" w:pos="1080"/>
        </w:tabs>
        <w:spacing w:after="80"/>
        <w:ind w:left="709"/>
        <w:jc w:val="left"/>
      </w:pPr>
    </w:p>
    <w:p w:rsidR="00CD7572" w:rsidRPr="00CD7572" w:rsidRDefault="0062660D" w:rsidP="00CD7572">
      <w:pPr>
        <w:tabs>
          <w:tab w:val="left" w:pos="1080"/>
        </w:tabs>
        <w:spacing w:after="80"/>
        <w:ind w:left="709"/>
        <w:jc w:val="left"/>
      </w:pPr>
    </w:p>
    <w:p w:rsidR="00CD7572" w:rsidRPr="00CD7572" w:rsidRDefault="0062660D" w:rsidP="00CD7572">
      <w:pPr>
        <w:tabs>
          <w:tab w:val="left" w:pos="1080"/>
        </w:tabs>
        <w:spacing w:after="80"/>
        <w:ind w:left="709"/>
        <w:jc w:val="left"/>
      </w:pPr>
    </w:p>
    <w:p w:rsidR="00CD7572" w:rsidRPr="00CD7572" w:rsidRDefault="0062660D" w:rsidP="00CD7572">
      <w:pPr>
        <w:tabs>
          <w:tab w:val="left" w:pos="1080"/>
        </w:tabs>
        <w:spacing w:after="80"/>
        <w:ind w:left="709"/>
        <w:jc w:val="left"/>
      </w:pPr>
      <w:r w:rsidRPr="00CD7572">
        <w:t>*Currencies are referred to above using International Standards Organisation codes.</w:t>
      </w:r>
    </w:p>
    <w:p w:rsidR="00CD7572" w:rsidRPr="00CD7572" w:rsidRDefault="0062660D" w:rsidP="00CD7572">
      <w:pPr>
        <w:tabs>
          <w:tab w:val="left" w:pos="1080"/>
        </w:tabs>
        <w:spacing w:after="80"/>
        <w:ind w:left="709"/>
        <w:jc w:val="left"/>
      </w:pPr>
      <w:r w:rsidRPr="00CD7572">
        <w:t xml:space="preserve">GBP – British Pound, USD – US Dollar, CHF – Swiss Franc, AUD – Australian Dollar, </w:t>
      </w:r>
    </w:p>
    <w:p w:rsidR="00CD7572" w:rsidRPr="00CD7572" w:rsidRDefault="0062660D" w:rsidP="00CD7572">
      <w:pPr>
        <w:tabs>
          <w:tab w:val="left" w:pos="1080"/>
        </w:tabs>
        <w:spacing w:after="80"/>
        <w:ind w:left="709"/>
        <w:jc w:val="left"/>
      </w:pPr>
      <w:r w:rsidRPr="00CD7572">
        <w:t>JPY – Japanese Yen</w:t>
      </w: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tbl>
      <w:tblPr>
        <w:tblStyle w:val="TableGrid1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4"/>
        <w:gridCol w:w="1563"/>
        <w:gridCol w:w="430"/>
        <w:gridCol w:w="1701"/>
      </w:tblGrid>
      <w:tr w:rsidR="006A2C17" w:rsidTr="00E245D6">
        <w:trPr>
          <w:trHeight w:val="364"/>
        </w:trPr>
        <w:tc>
          <w:tcPr>
            <w:tcW w:w="5074" w:type="dxa"/>
          </w:tcPr>
          <w:p w:rsidR="00CD7572" w:rsidRPr="00CD7572" w:rsidRDefault="0062660D" w:rsidP="00CD7572">
            <w:pPr>
              <w:spacing w:after="0"/>
              <w:rPr>
                <w:rFonts w:ascii="Arial" w:hAnsi="Arial" w:cs="Arial"/>
                <w:b/>
              </w:rPr>
            </w:pPr>
          </w:p>
          <w:p w:rsidR="00CD7572" w:rsidRPr="00CD7572" w:rsidRDefault="0062660D" w:rsidP="00CD7572">
            <w:pPr>
              <w:spacing w:after="0"/>
              <w:rPr>
                <w:rFonts w:ascii="Arial" w:hAnsi="Arial" w:cs="Arial"/>
                <w:b/>
              </w:rPr>
            </w:pPr>
          </w:p>
          <w:p w:rsidR="00CD7572" w:rsidRPr="00CD7572" w:rsidRDefault="0062660D" w:rsidP="00CD7572">
            <w:pPr>
              <w:spacing w:after="0"/>
              <w:rPr>
                <w:rFonts w:ascii="Arial" w:hAnsi="Arial" w:cs="Arial"/>
                <w:b/>
              </w:rPr>
            </w:pPr>
            <w:r w:rsidRPr="00CD7572">
              <w:rPr>
                <w:rFonts w:ascii="Arial" w:hAnsi="Arial" w:cs="Arial"/>
                <w:b/>
              </w:rPr>
              <w:t>Cash deposits</w:t>
            </w:r>
          </w:p>
          <w:p w:rsidR="00CD7572" w:rsidRPr="00CD7572" w:rsidRDefault="0062660D" w:rsidP="00CD7572">
            <w:pPr>
              <w:spacing w:after="0"/>
              <w:rPr>
                <w:rFonts w:ascii="Arial" w:hAnsi="Arial" w:cs="Arial"/>
                <w:b/>
              </w:rPr>
            </w:pPr>
          </w:p>
        </w:tc>
        <w:tc>
          <w:tcPr>
            <w:tcW w:w="1563" w:type="dxa"/>
          </w:tcPr>
          <w:p w:rsidR="00CD7572" w:rsidRPr="00CD7572" w:rsidRDefault="0062660D" w:rsidP="00CD7572">
            <w:pPr>
              <w:spacing w:after="0"/>
              <w:jc w:val="right"/>
              <w:rPr>
                <w:rFonts w:ascii="Arial" w:hAnsi="Arial" w:cs="Arial"/>
                <w:b/>
              </w:rPr>
            </w:pPr>
            <w:r w:rsidRPr="00CD7572">
              <w:rPr>
                <w:rFonts w:ascii="Arial" w:hAnsi="Arial" w:cs="Arial"/>
                <w:b/>
              </w:rPr>
              <w:t>31/03/16</w:t>
            </w:r>
          </w:p>
          <w:p w:rsidR="00CD7572" w:rsidRPr="00CD7572" w:rsidRDefault="0062660D" w:rsidP="00CD7572">
            <w:pPr>
              <w:spacing w:after="0"/>
              <w:jc w:val="right"/>
              <w:rPr>
                <w:rFonts w:ascii="Arial" w:hAnsi="Arial" w:cs="Arial"/>
                <w:b/>
              </w:rPr>
            </w:pPr>
            <w:r w:rsidRPr="00CD7572">
              <w:rPr>
                <w:rFonts w:ascii="Arial" w:hAnsi="Arial" w:cs="Arial"/>
                <w:b/>
              </w:rPr>
              <w:t>£m</w:t>
            </w:r>
          </w:p>
        </w:tc>
        <w:tc>
          <w:tcPr>
            <w:tcW w:w="430" w:type="dxa"/>
            <w:tcBorders>
              <w:right w:val="single" w:sz="4" w:space="0" w:color="FFFFFF" w:themeColor="background1"/>
            </w:tcBorders>
          </w:tcPr>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p>
        </w:tc>
        <w:tc>
          <w:tcPr>
            <w:tcW w:w="1701" w:type="dxa"/>
            <w:tcBorders>
              <w:left w:val="single" w:sz="4" w:space="0" w:color="FFFFFF" w:themeColor="background1"/>
            </w:tcBorders>
          </w:tcPr>
          <w:p w:rsidR="00CD7572" w:rsidRPr="00CD7572" w:rsidRDefault="0062660D" w:rsidP="00CD7572">
            <w:pPr>
              <w:spacing w:after="0"/>
              <w:jc w:val="right"/>
              <w:rPr>
                <w:rFonts w:ascii="Arial" w:hAnsi="Arial" w:cs="Arial"/>
                <w:b/>
              </w:rPr>
            </w:pPr>
            <w:r w:rsidRPr="00CD7572">
              <w:rPr>
                <w:rFonts w:ascii="Arial" w:hAnsi="Arial" w:cs="Arial"/>
                <w:b/>
              </w:rPr>
              <w:t>31/03/15</w:t>
            </w:r>
          </w:p>
          <w:p w:rsidR="00CD7572" w:rsidRPr="00CD7572" w:rsidRDefault="0062660D" w:rsidP="00CD7572">
            <w:pPr>
              <w:spacing w:after="0"/>
              <w:jc w:val="right"/>
              <w:rPr>
                <w:rFonts w:ascii="Arial" w:hAnsi="Arial" w:cs="Arial"/>
                <w:b/>
              </w:rPr>
            </w:pPr>
            <w:r w:rsidRPr="00CD7572">
              <w:rPr>
                <w:rFonts w:ascii="Arial" w:hAnsi="Arial" w:cs="Arial"/>
                <w:b/>
              </w:rPr>
              <w:t>£m</w:t>
            </w:r>
          </w:p>
        </w:tc>
      </w:tr>
      <w:tr w:rsidR="006A2C17" w:rsidTr="00E245D6">
        <w:trPr>
          <w:trHeight w:val="256"/>
        </w:trPr>
        <w:tc>
          <w:tcPr>
            <w:tcW w:w="5074" w:type="dxa"/>
          </w:tcPr>
          <w:p w:rsidR="00CD7572" w:rsidRPr="00CD7572" w:rsidRDefault="0062660D" w:rsidP="00CD7572">
            <w:pPr>
              <w:rPr>
                <w:rFonts w:ascii="Arial" w:hAnsi="Arial" w:cs="Arial"/>
              </w:rPr>
            </w:pPr>
            <w:r w:rsidRPr="00CD7572">
              <w:rPr>
                <w:rFonts w:ascii="Arial" w:hAnsi="Arial" w:cs="Arial"/>
              </w:rPr>
              <w:t>Sterling</w:t>
            </w:r>
          </w:p>
        </w:tc>
        <w:tc>
          <w:tcPr>
            <w:tcW w:w="1563" w:type="dxa"/>
          </w:tcPr>
          <w:p w:rsidR="00CD7572" w:rsidRPr="00CD7572" w:rsidRDefault="0062660D" w:rsidP="00CD7572">
            <w:pPr>
              <w:jc w:val="right"/>
              <w:rPr>
                <w:rFonts w:ascii="Arial" w:hAnsi="Arial" w:cs="Arial"/>
              </w:rPr>
            </w:pPr>
            <w:r w:rsidRPr="00CD7572">
              <w:rPr>
                <w:rFonts w:ascii="Arial" w:hAnsi="Arial" w:cs="Arial"/>
              </w:rPr>
              <w:t>114.9</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701" w:type="dxa"/>
          </w:tcPr>
          <w:p w:rsidR="00CD7572" w:rsidRPr="00CD7572" w:rsidRDefault="0062660D" w:rsidP="00CD7572">
            <w:pPr>
              <w:jc w:val="right"/>
              <w:rPr>
                <w:rFonts w:ascii="Arial" w:hAnsi="Arial" w:cs="Arial"/>
              </w:rPr>
            </w:pPr>
            <w:r w:rsidRPr="00CD7572">
              <w:rPr>
                <w:rFonts w:ascii="Arial" w:hAnsi="Arial" w:cs="Arial"/>
              </w:rPr>
              <w:t>35.0</w:t>
            </w:r>
          </w:p>
        </w:tc>
      </w:tr>
      <w:tr w:rsidR="006A2C17" w:rsidTr="00E245D6">
        <w:trPr>
          <w:trHeight w:val="266"/>
        </w:trPr>
        <w:tc>
          <w:tcPr>
            <w:tcW w:w="5074" w:type="dxa"/>
          </w:tcPr>
          <w:p w:rsidR="00CD7572" w:rsidRPr="00CD7572" w:rsidRDefault="0062660D" w:rsidP="00CD7572">
            <w:pPr>
              <w:rPr>
                <w:rFonts w:ascii="Arial" w:hAnsi="Arial" w:cs="Arial"/>
              </w:rPr>
            </w:pPr>
            <w:r w:rsidRPr="00CD7572">
              <w:rPr>
                <w:rFonts w:ascii="Arial" w:hAnsi="Arial" w:cs="Arial"/>
              </w:rPr>
              <w:t>Foreign currency</w:t>
            </w:r>
          </w:p>
        </w:tc>
        <w:tc>
          <w:tcPr>
            <w:tcW w:w="1563" w:type="dxa"/>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95.4</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701" w:type="dxa"/>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25.0</w:t>
            </w:r>
          </w:p>
        </w:tc>
      </w:tr>
      <w:tr w:rsidR="006A2C17" w:rsidTr="00E245D6">
        <w:trPr>
          <w:trHeight w:val="256"/>
        </w:trPr>
        <w:tc>
          <w:tcPr>
            <w:tcW w:w="5074" w:type="dxa"/>
          </w:tcPr>
          <w:p w:rsidR="00CD7572" w:rsidRPr="00CD7572" w:rsidRDefault="0062660D" w:rsidP="00CD7572">
            <w:pPr>
              <w:rPr>
                <w:rFonts w:ascii="Arial" w:hAnsi="Arial" w:cs="Arial"/>
              </w:rPr>
            </w:pPr>
          </w:p>
        </w:tc>
        <w:tc>
          <w:tcPr>
            <w:tcW w:w="1563"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210.3</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701"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60.0</w:t>
            </w:r>
          </w:p>
        </w:tc>
      </w:tr>
    </w:tbl>
    <w:p w:rsidR="00CD7572" w:rsidRPr="00CD7572" w:rsidRDefault="0062660D" w:rsidP="00CD7572">
      <w:pPr>
        <w:autoSpaceDE/>
        <w:autoSpaceDN/>
        <w:adjustRightInd/>
        <w:contextualSpacing/>
        <w:rPr>
          <w:b/>
          <w:sz w:val="28"/>
          <w:szCs w:val="28"/>
        </w:rPr>
      </w:pPr>
    </w:p>
    <w:p w:rsidR="00CD7572" w:rsidRPr="00CD7572" w:rsidRDefault="0062660D" w:rsidP="00CD7572">
      <w:pPr>
        <w:autoSpaceDE/>
        <w:autoSpaceDN/>
        <w:adjustRightInd/>
        <w:ind w:left="720"/>
        <w:contextualSpacing/>
        <w:rPr>
          <w:b/>
          <w:sz w:val="28"/>
          <w:szCs w:val="28"/>
        </w:rPr>
      </w:pPr>
    </w:p>
    <w:p w:rsidR="00CD7572" w:rsidRPr="00CD7572" w:rsidRDefault="0062660D" w:rsidP="00CD7572">
      <w:pPr>
        <w:autoSpaceDE/>
        <w:autoSpaceDN/>
        <w:adjustRightInd/>
        <w:ind w:left="720"/>
        <w:contextualSpacing/>
        <w:rPr>
          <w:b/>
          <w:sz w:val="28"/>
          <w:szCs w:val="28"/>
        </w:rPr>
      </w:pPr>
    </w:p>
    <w:p w:rsidR="00CD7572" w:rsidRPr="00CD7572" w:rsidRDefault="0062660D" w:rsidP="00CD7572">
      <w:pPr>
        <w:autoSpaceDE/>
        <w:autoSpaceDN/>
        <w:adjustRightInd/>
        <w:ind w:left="720"/>
        <w:contextualSpacing/>
        <w:rPr>
          <w:b/>
          <w:sz w:val="28"/>
          <w:szCs w:val="28"/>
        </w:rPr>
      </w:pPr>
    </w:p>
    <w:p w:rsidR="00CD7572" w:rsidRPr="00CD7572" w:rsidRDefault="0062660D" w:rsidP="00CD7572">
      <w:pPr>
        <w:numPr>
          <w:ilvl w:val="0"/>
          <w:numId w:val="9"/>
        </w:numPr>
        <w:autoSpaceDE/>
        <w:autoSpaceDN/>
        <w:adjustRightInd/>
        <w:contextualSpacing/>
        <w:rPr>
          <w:b/>
          <w:sz w:val="32"/>
          <w:szCs w:val="32"/>
        </w:rPr>
      </w:pPr>
      <w:r w:rsidRPr="00CD7572">
        <w:rPr>
          <w:b/>
          <w:sz w:val="32"/>
          <w:szCs w:val="32"/>
        </w:rPr>
        <w:t xml:space="preserve">Financial instruments </w:t>
      </w:r>
      <w:r w:rsidRPr="00CD7572">
        <w:rPr>
          <w:b/>
          <w:sz w:val="32"/>
          <w:szCs w:val="32"/>
        </w:rPr>
        <w:t>classification</w:t>
      </w:r>
    </w:p>
    <w:p w:rsidR="00CD7572" w:rsidRPr="00CD7572" w:rsidRDefault="0062660D" w:rsidP="00CD7572">
      <w:pPr>
        <w:ind w:left="720"/>
        <w:contextualSpacing/>
        <w:rPr>
          <w:b/>
        </w:rPr>
      </w:pPr>
    </w:p>
    <w:p w:rsidR="00CD7572" w:rsidRPr="00CD7572" w:rsidRDefault="0062660D" w:rsidP="00CD7572">
      <w:pPr>
        <w:ind w:left="720"/>
        <w:contextualSpacing/>
        <w:jc w:val="left"/>
        <w:rPr>
          <w:sz w:val="20"/>
        </w:rPr>
      </w:pPr>
      <w:r w:rsidRPr="00CD7572">
        <w:t>The accounting policy on financial instruments describes how different asset classes of financial instruments are measured, and how income and expenses, including fair value gains and losses are recognised.  The following table analyses the</w:t>
      </w:r>
      <w:r w:rsidRPr="00CD7572">
        <w:t xml:space="preserve"> carrying amounts of financial assets and liabilities by category and net asset statement heading.</w:t>
      </w:r>
      <w:r w:rsidRPr="00CD7572">
        <w:rPr>
          <w:sz w:val="20"/>
        </w:rPr>
        <w:t xml:space="preserve"> </w:t>
      </w:r>
    </w:p>
    <w:p w:rsidR="00CD7572" w:rsidRPr="00CD7572" w:rsidRDefault="0062660D" w:rsidP="00CD7572">
      <w:pPr>
        <w:ind w:left="720"/>
        <w:contextualSpacing/>
        <w:jc w:val="left"/>
        <w:rPr>
          <w:sz w:val="20"/>
        </w:rPr>
      </w:pPr>
    </w:p>
    <w:p w:rsidR="00CD7572" w:rsidRPr="00CD7572" w:rsidRDefault="0062660D" w:rsidP="00CD7572">
      <w:pPr>
        <w:ind w:left="720"/>
        <w:contextualSpacing/>
        <w:jc w:val="left"/>
      </w:pPr>
      <w:r w:rsidRPr="00CD7572">
        <w:t xml:space="preserve">Direct property, although included in the total market value of net assets, is excluded from the table since this is categorised as investment property </w:t>
      </w:r>
      <w:r w:rsidRPr="00CD7572">
        <w:t>under IAS40 rather than as a financial instrument.</w:t>
      </w:r>
    </w:p>
    <w:p w:rsidR="00CD7572" w:rsidRPr="00CD7572" w:rsidRDefault="0062660D" w:rsidP="00CD7572">
      <w:pPr>
        <w:autoSpaceDE/>
        <w:autoSpaceDN/>
        <w:adjustRightInd/>
        <w:spacing w:after="0"/>
        <w:jc w:val="left"/>
        <w:rPr>
          <w:rFonts w:ascii="Helvetica" w:eastAsia="Times New Roman" w:hAnsi="Helvetica" w:cs="Arial"/>
          <w:color w:val="F5F5F5"/>
          <w:sz w:val="2"/>
          <w:szCs w:val="2"/>
          <w:lang w:eastAsia="en-GB"/>
        </w:rPr>
      </w:pPr>
      <w:proofErr w:type="spellStart"/>
      <w:proofErr w:type="gramStart"/>
      <w:r w:rsidRPr="00CD7572">
        <w:rPr>
          <w:rFonts w:ascii="Helvetica" w:eastAsia="Times New Roman" w:hAnsi="Helvetica" w:cs="Arial"/>
          <w:b/>
          <w:bCs/>
          <w:color w:val="F5F5F5"/>
          <w:sz w:val="2"/>
          <w:szCs w:val="2"/>
          <w:lang w:eastAsia="en-GB"/>
        </w:rPr>
        <w:t>nvestment</w:t>
      </w:r>
      <w:proofErr w:type="spellEnd"/>
      <w:proofErr w:type="gramEnd"/>
      <w:r w:rsidRPr="00CD7572">
        <w:rPr>
          <w:rFonts w:ascii="Helvetica" w:eastAsia="Times New Roman" w:hAnsi="Helvetica" w:cs="Arial"/>
          <w:b/>
          <w:bCs/>
          <w:color w:val="F5F5F5"/>
          <w:sz w:val="2"/>
          <w:szCs w:val="2"/>
          <w:lang w:eastAsia="en-GB"/>
        </w:rPr>
        <w:t xml:space="preserve"> property</w:t>
      </w:r>
      <w:r w:rsidRPr="00CD7572">
        <w:rPr>
          <w:rFonts w:ascii="Helvetica" w:eastAsia="Times New Roman" w:hAnsi="Helvetica" w:cs="Arial"/>
          <w:color w:val="F5F5F5"/>
          <w:sz w:val="2"/>
          <w:szCs w:val="2"/>
          <w:lang w:eastAsia="en-GB"/>
        </w:rPr>
        <w:t xml:space="preserve"> is property (land or a building or part of a building or both) held (by the owner or by the lessee under a finance lease) to earn rentals or for capital appreciation or both.</w:t>
      </w:r>
    </w:p>
    <w:p w:rsidR="00CD7572" w:rsidRPr="00CD7572" w:rsidRDefault="0062660D" w:rsidP="00CD7572">
      <w:pPr>
        <w:tabs>
          <w:tab w:val="left" w:pos="1080"/>
        </w:tabs>
        <w:spacing w:after="80"/>
        <w:ind w:left="709"/>
      </w:pPr>
    </w:p>
    <w:p w:rsidR="00CD7572" w:rsidRPr="00CD7572" w:rsidRDefault="0062660D" w:rsidP="00CD7572">
      <w:pPr>
        <w:ind w:left="720"/>
        <w:contextualSpacing/>
        <w:rPr>
          <w:sz w:val="20"/>
        </w:rPr>
      </w:pPr>
    </w:p>
    <w:p w:rsidR="00CD7572" w:rsidRPr="00CD7572" w:rsidRDefault="0062660D" w:rsidP="00CD7572">
      <w:pPr>
        <w:ind w:left="720"/>
        <w:contextualSpacing/>
        <w:rPr>
          <w:sz w:val="20"/>
        </w:rPr>
      </w:pPr>
    </w:p>
    <w:p w:rsidR="00CD7572" w:rsidRPr="00CD7572" w:rsidRDefault="0062660D" w:rsidP="00CD7572">
      <w:pPr>
        <w:ind w:left="720"/>
        <w:contextualSpacing/>
        <w:rPr>
          <w:sz w:val="20"/>
        </w:rPr>
        <w:sectPr w:rsidR="00CD7572" w:rsidRPr="00CD7572" w:rsidSect="00A14A63">
          <w:pgSz w:w="11900" w:h="16840" w:code="9"/>
          <w:pgMar w:top="720" w:right="720" w:bottom="720" w:left="720" w:header="284" w:footer="284" w:gutter="0"/>
          <w:cols w:space="292"/>
          <w:docGrid w:linePitch="326"/>
        </w:sectPr>
      </w:pPr>
    </w:p>
    <w:p w:rsidR="00CD7572" w:rsidRPr="00CD7572" w:rsidRDefault="0062660D" w:rsidP="00CD7572">
      <w:pPr>
        <w:ind w:left="720"/>
        <w:contextualSpacing/>
        <w:rPr>
          <w:sz w:val="20"/>
        </w:rPr>
      </w:pPr>
    </w:p>
    <w:p w:rsidR="00CD7572" w:rsidRPr="00CD7572" w:rsidRDefault="0062660D" w:rsidP="00CD7572">
      <w:pPr>
        <w:ind w:left="720"/>
        <w:contextualSpacing/>
        <w:rPr>
          <w:sz w:val="20"/>
        </w:rPr>
      </w:pPr>
    </w:p>
    <w:tbl>
      <w:tblPr>
        <w:tblStyle w:val="TableGrid11"/>
        <w:tblW w:w="0" w:type="auto"/>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8502"/>
        <w:gridCol w:w="2268"/>
        <w:gridCol w:w="2835"/>
        <w:gridCol w:w="1785"/>
      </w:tblGrid>
      <w:tr w:rsidR="006A2C17" w:rsidTr="00E245D6">
        <w:tc>
          <w:tcPr>
            <w:tcW w:w="8502" w:type="dxa"/>
            <w:shd w:val="clear" w:color="auto" w:fill="A8D08D" w:themeFill="accent6" w:themeFillTint="99"/>
          </w:tcPr>
          <w:p w:rsidR="00CD7572" w:rsidRPr="00CD7572" w:rsidRDefault="0062660D" w:rsidP="00CD7572">
            <w:pPr>
              <w:tabs>
                <w:tab w:val="left" w:pos="1080"/>
              </w:tabs>
              <w:spacing w:after="80"/>
              <w:jc w:val="left"/>
              <w:rPr>
                <w:rFonts w:ascii="Arial" w:hAnsi="Arial" w:cs="Arial"/>
                <w:b/>
              </w:rPr>
            </w:pPr>
            <w:r w:rsidRPr="00CD7572">
              <w:rPr>
                <w:rFonts w:ascii="Arial" w:hAnsi="Arial" w:cs="Arial"/>
                <w:b/>
              </w:rPr>
              <w:t>31/03/16</w:t>
            </w:r>
          </w:p>
        </w:tc>
        <w:tc>
          <w:tcPr>
            <w:tcW w:w="2268" w:type="dxa"/>
            <w:shd w:val="clear" w:color="auto" w:fill="A8D08D" w:themeFill="accent6" w:themeFillTint="99"/>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Fair value through profit or loss</w:t>
            </w:r>
          </w:p>
        </w:tc>
        <w:tc>
          <w:tcPr>
            <w:tcW w:w="2835" w:type="dxa"/>
            <w:shd w:val="clear" w:color="auto" w:fill="A8D08D" w:themeFill="accent6" w:themeFillTint="99"/>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Loans and receivables</w:t>
            </w:r>
          </w:p>
        </w:tc>
        <w:tc>
          <w:tcPr>
            <w:tcW w:w="1785" w:type="dxa"/>
            <w:shd w:val="clear" w:color="auto" w:fill="A8D08D" w:themeFill="accent6" w:themeFillTint="99"/>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Financial liabilities at amortised cost</w:t>
            </w:r>
          </w:p>
        </w:tc>
      </w:tr>
      <w:tr w:rsidR="006A2C17" w:rsidTr="00E245D6">
        <w:tc>
          <w:tcPr>
            <w:tcW w:w="8502" w:type="dxa"/>
            <w:shd w:val="clear" w:color="auto" w:fill="A8D08D" w:themeFill="accent6" w:themeFillTint="99"/>
          </w:tcPr>
          <w:p w:rsidR="00CD7572" w:rsidRPr="00CD7572" w:rsidRDefault="0062660D" w:rsidP="00CD7572">
            <w:pPr>
              <w:tabs>
                <w:tab w:val="left" w:pos="1080"/>
              </w:tabs>
              <w:spacing w:after="80"/>
              <w:jc w:val="left"/>
              <w:rPr>
                <w:rFonts w:ascii="Arial" w:hAnsi="Arial" w:cs="Arial"/>
              </w:rPr>
            </w:pPr>
          </w:p>
        </w:tc>
        <w:tc>
          <w:tcPr>
            <w:tcW w:w="2268" w:type="dxa"/>
            <w:shd w:val="clear" w:color="auto" w:fill="A8D08D" w:themeFill="accent6" w:themeFillTint="99"/>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£m</w:t>
            </w:r>
          </w:p>
        </w:tc>
        <w:tc>
          <w:tcPr>
            <w:tcW w:w="2835" w:type="dxa"/>
            <w:shd w:val="clear" w:color="auto" w:fill="A8D08D" w:themeFill="accent6" w:themeFillTint="99"/>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£m</w:t>
            </w:r>
          </w:p>
        </w:tc>
        <w:tc>
          <w:tcPr>
            <w:tcW w:w="1785" w:type="dxa"/>
            <w:shd w:val="clear" w:color="auto" w:fill="A8D08D" w:themeFill="accent6" w:themeFillTint="99"/>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£m</w:t>
            </w:r>
          </w:p>
        </w:tc>
      </w:tr>
      <w:tr w:rsidR="006A2C17" w:rsidTr="00E245D6">
        <w:tc>
          <w:tcPr>
            <w:tcW w:w="8502" w:type="dxa"/>
            <w:shd w:val="clear" w:color="auto" w:fill="E2EFD9" w:themeFill="accent6" w:themeFillTint="33"/>
          </w:tcPr>
          <w:p w:rsidR="00CD7572" w:rsidRPr="00CD7572" w:rsidRDefault="0062660D" w:rsidP="00CD7572">
            <w:pPr>
              <w:tabs>
                <w:tab w:val="left" w:pos="1080"/>
              </w:tabs>
              <w:spacing w:after="80"/>
              <w:jc w:val="left"/>
              <w:rPr>
                <w:rFonts w:ascii="Arial" w:hAnsi="Arial" w:cs="Arial"/>
                <w:b/>
              </w:rPr>
            </w:pPr>
            <w:r w:rsidRPr="00CD7572">
              <w:rPr>
                <w:rFonts w:ascii="Arial" w:hAnsi="Arial" w:cs="Arial"/>
                <w:b/>
              </w:rPr>
              <w:t>Financial assets</w:t>
            </w:r>
          </w:p>
        </w:tc>
        <w:tc>
          <w:tcPr>
            <w:tcW w:w="2268" w:type="dxa"/>
            <w:shd w:val="clear" w:color="auto" w:fill="E2EFD9" w:themeFill="accent6" w:themeFillTint="33"/>
          </w:tcPr>
          <w:p w:rsidR="00CD7572" w:rsidRPr="00CD7572" w:rsidRDefault="0062660D" w:rsidP="00CD7572">
            <w:pPr>
              <w:tabs>
                <w:tab w:val="left" w:pos="1080"/>
              </w:tabs>
              <w:spacing w:after="80"/>
              <w:jc w:val="right"/>
              <w:rPr>
                <w:rFonts w:ascii="Arial" w:hAnsi="Arial" w:cs="Arial"/>
              </w:rPr>
            </w:pPr>
          </w:p>
        </w:tc>
        <w:tc>
          <w:tcPr>
            <w:tcW w:w="2835" w:type="dxa"/>
            <w:shd w:val="clear" w:color="auto" w:fill="E2EFD9" w:themeFill="accent6" w:themeFillTint="33"/>
          </w:tcPr>
          <w:p w:rsidR="00CD7572" w:rsidRPr="00CD7572" w:rsidRDefault="0062660D" w:rsidP="00CD7572">
            <w:pPr>
              <w:tabs>
                <w:tab w:val="left" w:pos="1080"/>
              </w:tabs>
              <w:spacing w:after="80"/>
              <w:jc w:val="right"/>
              <w:rPr>
                <w:rFonts w:ascii="Arial" w:hAnsi="Arial" w:cs="Arial"/>
              </w:rPr>
            </w:pPr>
          </w:p>
        </w:tc>
        <w:tc>
          <w:tcPr>
            <w:tcW w:w="1785" w:type="dxa"/>
            <w:shd w:val="clear" w:color="auto" w:fill="E2EFD9" w:themeFill="accent6" w:themeFillTint="33"/>
          </w:tcPr>
          <w:p w:rsidR="00CD7572" w:rsidRPr="00CD7572" w:rsidRDefault="0062660D" w:rsidP="00CD7572">
            <w:pPr>
              <w:tabs>
                <w:tab w:val="left" w:pos="1080"/>
              </w:tabs>
              <w:spacing w:after="80"/>
              <w:jc w:val="right"/>
              <w:rPr>
                <w:rFonts w:ascii="Arial" w:hAnsi="Arial" w:cs="Arial"/>
              </w:rPr>
            </w:pPr>
          </w:p>
        </w:tc>
      </w:tr>
      <w:tr w:rsidR="006A2C17" w:rsidTr="00E245D6">
        <w:tc>
          <w:tcPr>
            <w:tcW w:w="8502" w:type="dxa"/>
          </w:tcPr>
          <w:p w:rsidR="00CD7572" w:rsidRPr="00CD7572" w:rsidRDefault="0062660D" w:rsidP="00CD7572">
            <w:pPr>
              <w:tabs>
                <w:tab w:val="left" w:pos="1080"/>
              </w:tabs>
              <w:spacing w:after="80"/>
              <w:jc w:val="left"/>
              <w:rPr>
                <w:rFonts w:ascii="Arial" w:hAnsi="Arial" w:cs="Arial"/>
              </w:rPr>
            </w:pPr>
            <w:r w:rsidRPr="00CD7572">
              <w:rPr>
                <w:rFonts w:ascii="Arial" w:hAnsi="Arial" w:cs="Arial"/>
              </w:rPr>
              <w:t>Fixed interest securities</w:t>
            </w:r>
          </w:p>
        </w:tc>
        <w:tc>
          <w:tcPr>
            <w:tcW w:w="2268"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123.1</w:t>
            </w:r>
          </w:p>
        </w:tc>
        <w:tc>
          <w:tcPr>
            <w:tcW w:w="283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c>
          <w:tcPr>
            <w:tcW w:w="178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r>
      <w:tr w:rsidR="006A2C17" w:rsidTr="00E245D6">
        <w:tc>
          <w:tcPr>
            <w:tcW w:w="8502" w:type="dxa"/>
          </w:tcPr>
          <w:p w:rsidR="00CD7572" w:rsidRPr="00CD7572" w:rsidRDefault="0062660D" w:rsidP="00CD7572">
            <w:pPr>
              <w:tabs>
                <w:tab w:val="left" w:pos="1080"/>
              </w:tabs>
              <w:spacing w:after="80"/>
              <w:jc w:val="left"/>
              <w:rPr>
                <w:rFonts w:ascii="Arial" w:hAnsi="Arial" w:cs="Arial"/>
              </w:rPr>
            </w:pPr>
            <w:r w:rsidRPr="00CD7572">
              <w:rPr>
                <w:rFonts w:ascii="Arial" w:hAnsi="Arial" w:cs="Arial"/>
              </w:rPr>
              <w:t>Equities</w:t>
            </w:r>
          </w:p>
        </w:tc>
        <w:tc>
          <w:tcPr>
            <w:tcW w:w="2268"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2,069.9</w:t>
            </w:r>
          </w:p>
        </w:tc>
        <w:tc>
          <w:tcPr>
            <w:tcW w:w="283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c>
          <w:tcPr>
            <w:tcW w:w="178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r>
      <w:tr w:rsidR="006A2C17" w:rsidTr="00E245D6">
        <w:tc>
          <w:tcPr>
            <w:tcW w:w="8502" w:type="dxa"/>
          </w:tcPr>
          <w:p w:rsidR="00CD7572" w:rsidRPr="00CD7572" w:rsidRDefault="0062660D" w:rsidP="00CD7572">
            <w:pPr>
              <w:tabs>
                <w:tab w:val="left" w:pos="1080"/>
              </w:tabs>
              <w:spacing w:after="80"/>
              <w:jc w:val="left"/>
              <w:rPr>
                <w:rFonts w:ascii="Arial" w:hAnsi="Arial" w:cs="Arial"/>
              </w:rPr>
            </w:pPr>
            <w:r w:rsidRPr="00CD7572">
              <w:rPr>
                <w:rFonts w:ascii="Arial" w:hAnsi="Arial" w:cs="Arial"/>
              </w:rPr>
              <w:t>Index linked securities</w:t>
            </w:r>
          </w:p>
        </w:tc>
        <w:tc>
          <w:tcPr>
            <w:tcW w:w="2268"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63.7</w:t>
            </w:r>
          </w:p>
        </w:tc>
        <w:tc>
          <w:tcPr>
            <w:tcW w:w="283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c>
          <w:tcPr>
            <w:tcW w:w="178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r>
      <w:tr w:rsidR="006A2C17" w:rsidTr="00E245D6">
        <w:tc>
          <w:tcPr>
            <w:tcW w:w="8502" w:type="dxa"/>
          </w:tcPr>
          <w:p w:rsidR="00CD7572" w:rsidRPr="00CD7572" w:rsidRDefault="0062660D" w:rsidP="00CD7572">
            <w:pPr>
              <w:tabs>
                <w:tab w:val="left" w:pos="1080"/>
              </w:tabs>
              <w:spacing w:after="80"/>
              <w:jc w:val="left"/>
              <w:rPr>
                <w:rFonts w:ascii="Arial" w:hAnsi="Arial" w:cs="Arial"/>
              </w:rPr>
            </w:pPr>
            <w:r w:rsidRPr="00CD7572">
              <w:rPr>
                <w:rFonts w:ascii="Arial" w:hAnsi="Arial" w:cs="Arial"/>
              </w:rPr>
              <w:t>Pooled investment vehicles</w:t>
            </w:r>
          </w:p>
        </w:tc>
        <w:tc>
          <w:tcPr>
            <w:tcW w:w="2268"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2,935.6</w:t>
            </w:r>
          </w:p>
        </w:tc>
        <w:tc>
          <w:tcPr>
            <w:tcW w:w="283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c>
          <w:tcPr>
            <w:tcW w:w="178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r>
      <w:tr w:rsidR="006A2C17" w:rsidTr="00E245D6">
        <w:tc>
          <w:tcPr>
            <w:tcW w:w="8502" w:type="dxa"/>
          </w:tcPr>
          <w:p w:rsidR="00CD7572" w:rsidRPr="00CD7572" w:rsidRDefault="0062660D" w:rsidP="00CD7572">
            <w:pPr>
              <w:tabs>
                <w:tab w:val="left" w:pos="1080"/>
              </w:tabs>
              <w:spacing w:after="80"/>
              <w:jc w:val="left"/>
              <w:rPr>
                <w:rFonts w:ascii="Arial" w:hAnsi="Arial" w:cs="Arial"/>
              </w:rPr>
            </w:pPr>
            <w:r w:rsidRPr="00CD7572">
              <w:rPr>
                <w:rFonts w:ascii="Arial" w:hAnsi="Arial" w:cs="Arial"/>
              </w:rPr>
              <w:t>Derivative contracts</w:t>
            </w:r>
          </w:p>
        </w:tc>
        <w:tc>
          <w:tcPr>
            <w:tcW w:w="2268"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294.5</w:t>
            </w:r>
          </w:p>
        </w:tc>
        <w:tc>
          <w:tcPr>
            <w:tcW w:w="283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c>
          <w:tcPr>
            <w:tcW w:w="178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r>
      <w:tr w:rsidR="006A2C17" w:rsidTr="00E245D6">
        <w:tc>
          <w:tcPr>
            <w:tcW w:w="8502" w:type="dxa"/>
          </w:tcPr>
          <w:p w:rsidR="00CD7572" w:rsidRPr="00CD7572" w:rsidRDefault="0062660D" w:rsidP="00CD7572">
            <w:pPr>
              <w:tabs>
                <w:tab w:val="left" w:pos="1080"/>
              </w:tabs>
              <w:spacing w:after="80"/>
              <w:jc w:val="left"/>
              <w:rPr>
                <w:rFonts w:ascii="Arial" w:hAnsi="Arial" w:cs="Arial"/>
              </w:rPr>
            </w:pPr>
            <w:r w:rsidRPr="00CD7572">
              <w:rPr>
                <w:rFonts w:ascii="Arial" w:hAnsi="Arial" w:cs="Arial"/>
              </w:rPr>
              <w:t>Cash deposits</w:t>
            </w:r>
          </w:p>
        </w:tc>
        <w:tc>
          <w:tcPr>
            <w:tcW w:w="2268"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c>
          <w:tcPr>
            <w:tcW w:w="283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210.3</w:t>
            </w:r>
          </w:p>
        </w:tc>
        <w:tc>
          <w:tcPr>
            <w:tcW w:w="178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r>
      <w:tr w:rsidR="006A2C17" w:rsidTr="00E245D6">
        <w:tc>
          <w:tcPr>
            <w:tcW w:w="8502" w:type="dxa"/>
          </w:tcPr>
          <w:p w:rsidR="00CD7572" w:rsidRPr="00CD7572" w:rsidRDefault="0062660D" w:rsidP="00CD7572">
            <w:pPr>
              <w:tabs>
                <w:tab w:val="left" w:pos="1080"/>
              </w:tabs>
              <w:spacing w:after="80"/>
              <w:jc w:val="left"/>
              <w:rPr>
                <w:rFonts w:ascii="Arial" w:hAnsi="Arial" w:cs="Arial"/>
              </w:rPr>
            </w:pPr>
            <w:r w:rsidRPr="00CD7572">
              <w:rPr>
                <w:rFonts w:ascii="Arial" w:hAnsi="Arial" w:cs="Arial"/>
              </w:rPr>
              <w:t>Investment accruals</w:t>
            </w:r>
          </w:p>
        </w:tc>
        <w:tc>
          <w:tcPr>
            <w:tcW w:w="2268"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13.1</w:t>
            </w:r>
          </w:p>
        </w:tc>
        <w:tc>
          <w:tcPr>
            <w:tcW w:w="283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c>
          <w:tcPr>
            <w:tcW w:w="178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r>
      <w:tr w:rsidR="006A2C17" w:rsidTr="00E245D6">
        <w:tc>
          <w:tcPr>
            <w:tcW w:w="8502" w:type="dxa"/>
          </w:tcPr>
          <w:p w:rsidR="00CD7572" w:rsidRPr="00CD7572" w:rsidRDefault="0062660D" w:rsidP="00CD7572">
            <w:pPr>
              <w:tabs>
                <w:tab w:val="left" w:pos="1080"/>
              </w:tabs>
              <w:spacing w:after="80"/>
              <w:jc w:val="left"/>
              <w:rPr>
                <w:rFonts w:ascii="Arial" w:hAnsi="Arial" w:cs="Arial"/>
              </w:rPr>
            </w:pPr>
            <w:r w:rsidRPr="00CD7572">
              <w:rPr>
                <w:rFonts w:ascii="Arial" w:hAnsi="Arial" w:cs="Arial"/>
              </w:rPr>
              <w:t>Debtors</w:t>
            </w:r>
          </w:p>
        </w:tc>
        <w:tc>
          <w:tcPr>
            <w:tcW w:w="2268"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c>
          <w:tcPr>
            <w:tcW w:w="283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27.7</w:t>
            </w:r>
          </w:p>
        </w:tc>
        <w:tc>
          <w:tcPr>
            <w:tcW w:w="178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r>
      <w:tr w:rsidR="006A2C17" w:rsidTr="00E245D6">
        <w:tc>
          <w:tcPr>
            <w:tcW w:w="8502" w:type="dxa"/>
            <w:shd w:val="clear" w:color="auto" w:fill="C5E0B3" w:themeFill="accent6" w:themeFillTint="66"/>
          </w:tcPr>
          <w:p w:rsidR="00CD7572" w:rsidRPr="00CD7572" w:rsidRDefault="0062660D" w:rsidP="00CD7572">
            <w:pPr>
              <w:tabs>
                <w:tab w:val="left" w:pos="1080"/>
              </w:tabs>
              <w:spacing w:after="80"/>
              <w:jc w:val="left"/>
              <w:rPr>
                <w:rFonts w:ascii="Arial" w:hAnsi="Arial" w:cs="Arial"/>
                <w:b/>
              </w:rPr>
            </w:pPr>
            <w:r w:rsidRPr="00CD7572">
              <w:rPr>
                <w:rFonts w:ascii="Arial" w:hAnsi="Arial" w:cs="Arial"/>
                <w:b/>
              </w:rPr>
              <w:t>Total financial assets</w:t>
            </w:r>
          </w:p>
        </w:tc>
        <w:tc>
          <w:tcPr>
            <w:tcW w:w="2268" w:type="dxa"/>
            <w:shd w:val="clear" w:color="auto" w:fill="C5E0B3" w:themeFill="accent6" w:themeFillTint="66"/>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5,499.9</w:t>
            </w:r>
          </w:p>
        </w:tc>
        <w:tc>
          <w:tcPr>
            <w:tcW w:w="2835" w:type="dxa"/>
            <w:shd w:val="clear" w:color="auto" w:fill="C5E0B3" w:themeFill="accent6" w:themeFillTint="66"/>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238.0</w:t>
            </w:r>
          </w:p>
        </w:tc>
        <w:tc>
          <w:tcPr>
            <w:tcW w:w="1785" w:type="dxa"/>
            <w:shd w:val="clear" w:color="auto" w:fill="C5E0B3" w:themeFill="accent6" w:themeFillTint="66"/>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w:t>
            </w:r>
          </w:p>
        </w:tc>
      </w:tr>
      <w:tr w:rsidR="006A2C17" w:rsidTr="00E245D6">
        <w:trPr>
          <w:trHeight w:val="177"/>
        </w:trPr>
        <w:tc>
          <w:tcPr>
            <w:tcW w:w="8502" w:type="dxa"/>
          </w:tcPr>
          <w:p w:rsidR="00CD7572" w:rsidRPr="00CD7572" w:rsidRDefault="0062660D" w:rsidP="00CD7572">
            <w:pPr>
              <w:tabs>
                <w:tab w:val="left" w:pos="1080"/>
              </w:tabs>
              <w:spacing w:after="80"/>
              <w:jc w:val="left"/>
              <w:rPr>
                <w:rFonts w:ascii="Arial" w:hAnsi="Arial" w:cs="Arial"/>
              </w:rPr>
            </w:pPr>
          </w:p>
        </w:tc>
        <w:tc>
          <w:tcPr>
            <w:tcW w:w="2268" w:type="dxa"/>
          </w:tcPr>
          <w:p w:rsidR="00CD7572" w:rsidRPr="00CD7572" w:rsidRDefault="0062660D" w:rsidP="00CD7572">
            <w:pPr>
              <w:tabs>
                <w:tab w:val="left" w:pos="1080"/>
              </w:tabs>
              <w:spacing w:after="80"/>
              <w:jc w:val="right"/>
              <w:rPr>
                <w:rFonts w:ascii="Arial" w:hAnsi="Arial" w:cs="Arial"/>
              </w:rPr>
            </w:pPr>
          </w:p>
        </w:tc>
        <w:tc>
          <w:tcPr>
            <w:tcW w:w="2835" w:type="dxa"/>
          </w:tcPr>
          <w:p w:rsidR="00CD7572" w:rsidRPr="00CD7572" w:rsidRDefault="0062660D" w:rsidP="00CD7572">
            <w:pPr>
              <w:tabs>
                <w:tab w:val="left" w:pos="1080"/>
              </w:tabs>
              <w:spacing w:after="80"/>
              <w:jc w:val="right"/>
              <w:rPr>
                <w:rFonts w:ascii="Arial" w:hAnsi="Arial" w:cs="Arial"/>
              </w:rPr>
            </w:pPr>
          </w:p>
        </w:tc>
        <w:tc>
          <w:tcPr>
            <w:tcW w:w="1785" w:type="dxa"/>
          </w:tcPr>
          <w:p w:rsidR="00CD7572" w:rsidRPr="00CD7572" w:rsidRDefault="0062660D" w:rsidP="00CD7572">
            <w:pPr>
              <w:tabs>
                <w:tab w:val="left" w:pos="1080"/>
              </w:tabs>
              <w:spacing w:after="80"/>
              <w:jc w:val="right"/>
              <w:rPr>
                <w:rFonts w:ascii="Arial" w:hAnsi="Arial" w:cs="Arial"/>
              </w:rPr>
            </w:pPr>
          </w:p>
        </w:tc>
      </w:tr>
      <w:tr w:rsidR="006A2C17" w:rsidTr="00E245D6">
        <w:tc>
          <w:tcPr>
            <w:tcW w:w="8502" w:type="dxa"/>
            <w:shd w:val="clear" w:color="auto" w:fill="E2EFD9" w:themeFill="accent6" w:themeFillTint="33"/>
          </w:tcPr>
          <w:p w:rsidR="00CD7572" w:rsidRPr="00CD7572" w:rsidRDefault="0062660D" w:rsidP="00CD7572">
            <w:pPr>
              <w:tabs>
                <w:tab w:val="left" w:pos="1080"/>
              </w:tabs>
              <w:spacing w:after="80"/>
              <w:jc w:val="left"/>
              <w:rPr>
                <w:rFonts w:ascii="Arial" w:hAnsi="Arial" w:cs="Arial"/>
                <w:b/>
              </w:rPr>
            </w:pPr>
            <w:r w:rsidRPr="00CD7572">
              <w:rPr>
                <w:rFonts w:ascii="Arial" w:hAnsi="Arial" w:cs="Arial"/>
                <w:b/>
              </w:rPr>
              <w:t>Financial liabilities</w:t>
            </w:r>
          </w:p>
        </w:tc>
        <w:tc>
          <w:tcPr>
            <w:tcW w:w="2268" w:type="dxa"/>
            <w:shd w:val="clear" w:color="auto" w:fill="E2EFD9" w:themeFill="accent6" w:themeFillTint="33"/>
          </w:tcPr>
          <w:p w:rsidR="00CD7572" w:rsidRPr="00CD7572" w:rsidRDefault="0062660D" w:rsidP="00CD7572">
            <w:pPr>
              <w:tabs>
                <w:tab w:val="left" w:pos="1080"/>
              </w:tabs>
              <w:spacing w:after="80"/>
              <w:jc w:val="right"/>
              <w:rPr>
                <w:rFonts w:ascii="Arial" w:hAnsi="Arial" w:cs="Arial"/>
                <w:b/>
              </w:rPr>
            </w:pPr>
          </w:p>
        </w:tc>
        <w:tc>
          <w:tcPr>
            <w:tcW w:w="2835" w:type="dxa"/>
            <w:shd w:val="clear" w:color="auto" w:fill="E2EFD9" w:themeFill="accent6" w:themeFillTint="33"/>
          </w:tcPr>
          <w:p w:rsidR="00CD7572" w:rsidRPr="00CD7572" w:rsidRDefault="0062660D" w:rsidP="00CD7572">
            <w:pPr>
              <w:tabs>
                <w:tab w:val="left" w:pos="1080"/>
              </w:tabs>
              <w:spacing w:after="80"/>
              <w:jc w:val="right"/>
              <w:rPr>
                <w:rFonts w:ascii="Arial" w:hAnsi="Arial" w:cs="Arial"/>
                <w:b/>
              </w:rPr>
            </w:pPr>
          </w:p>
        </w:tc>
        <w:tc>
          <w:tcPr>
            <w:tcW w:w="1785" w:type="dxa"/>
            <w:shd w:val="clear" w:color="auto" w:fill="E2EFD9" w:themeFill="accent6" w:themeFillTint="33"/>
          </w:tcPr>
          <w:p w:rsidR="00CD7572" w:rsidRPr="00CD7572" w:rsidRDefault="0062660D" w:rsidP="00CD7572">
            <w:pPr>
              <w:tabs>
                <w:tab w:val="left" w:pos="1080"/>
              </w:tabs>
              <w:spacing w:after="80"/>
              <w:jc w:val="right"/>
              <w:rPr>
                <w:rFonts w:ascii="Arial" w:hAnsi="Arial" w:cs="Arial"/>
                <w:b/>
              </w:rPr>
            </w:pPr>
          </w:p>
        </w:tc>
      </w:tr>
      <w:tr w:rsidR="006A2C17" w:rsidTr="00E245D6">
        <w:tc>
          <w:tcPr>
            <w:tcW w:w="8502" w:type="dxa"/>
          </w:tcPr>
          <w:p w:rsidR="00CD7572" w:rsidRPr="00CD7572" w:rsidRDefault="0062660D" w:rsidP="00CD7572">
            <w:pPr>
              <w:tabs>
                <w:tab w:val="left" w:pos="1080"/>
              </w:tabs>
              <w:spacing w:after="80"/>
              <w:jc w:val="left"/>
              <w:rPr>
                <w:rFonts w:ascii="Arial" w:hAnsi="Arial" w:cs="Arial"/>
              </w:rPr>
            </w:pPr>
            <w:r w:rsidRPr="00CD7572">
              <w:rPr>
                <w:rFonts w:ascii="Arial" w:hAnsi="Arial" w:cs="Arial"/>
              </w:rPr>
              <w:t>Derivative contracts</w:t>
            </w:r>
          </w:p>
        </w:tc>
        <w:tc>
          <w:tcPr>
            <w:tcW w:w="2268"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291.0</w:t>
            </w:r>
          </w:p>
        </w:tc>
        <w:tc>
          <w:tcPr>
            <w:tcW w:w="283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c>
          <w:tcPr>
            <w:tcW w:w="178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r>
      <w:tr w:rsidR="006A2C17" w:rsidTr="00E245D6">
        <w:tc>
          <w:tcPr>
            <w:tcW w:w="8502" w:type="dxa"/>
          </w:tcPr>
          <w:p w:rsidR="00CD7572" w:rsidRPr="00CD7572" w:rsidRDefault="0062660D" w:rsidP="00CD7572">
            <w:pPr>
              <w:tabs>
                <w:tab w:val="left" w:pos="1080"/>
              </w:tabs>
              <w:spacing w:after="80"/>
              <w:jc w:val="left"/>
              <w:rPr>
                <w:rFonts w:ascii="Arial" w:hAnsi="Arial" w:cs="Arial"/>
              </w:rPr>
            </w:pPr>
            <w:r w:rsidRPr="00CD7572">
              <w:rPr>
                <w:rFonts w:ascii="Arial" w:hAnsi="Arial" w:cs="Arial"/>
              </w:rPr>
              <w:t>Creditors</w:t>
            </w:r>
          </w:p>
        </w:tc>
        <w:tc>
          <w:tcPr>
            <w:tcW w:w="2268"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c>
          <w:tcPr>
            <w:tcW w:w="283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c>
          <w:tcPr>
            <w:tcW w:w="178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18.8</w:t>
            </w:r>
          </w:p>
        </w:tc>
      </w:tr>
      <w:tr w:rsidR="006A2C17" w:rsidTr="00E245D6">
        <w:tc>
          <w:tcPr>
            <w:tcW w:w="8502" w:type="dxa"/>
            <w:shd w:val="clear" w:color="auto" w:fill="C5E0B3" w:themeFill="accent6" w:themeFillTint="66"/>
          </w:tcPr>
          <w:p w:rsidR="00CD7572" w:rsidRPr="00CD7572" w:rsidRDefault="0062660D" w:rsidP="00CD7572">
            <w:pPr>
              <w:tabs>
                <w:tab w:val="left" w:pos="1080"/>
              </w:tabs>
              <w:spacing w:after="80"/>
              <w:jc w:val="left"/>
              <w:rPr>
                <w:rFonts w:ascii="Arial" w:hAnsi="Arial" w:cs="Arial"/>
                <w:b/>
              </w:rPr>
            </w:pPr>
            <w:r w:rsidRPr="00CD7572">
              <w:rPr>
                <w:rFonts w:ascii="Arial" w:hAnsi="Arial" w:cs="Arial"/>
                <w:b/>
              </w:rPr>
              <w:t>Total financial liabilities</w:t>
            </w:r>
          </w:p>
        </w:tc>
        <w:tc>
          <w:tcPr>
            <w:tcW w:w="2268" w:type="dxa"/>
            <w:shd w:val="clear" w:color="auto" w:fill="C5E0B3" w:themeFill="accent6" w:themeFillTint="66"/>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291.0</w:t>
            </w:r>
          </w:p>
        </w:tc>
        <w:tc>
          <w:tcPr>
            <w:tcW w:w="2835" w:type="dxa"/>
            <w:shd w:val="clear" w:color="auto" w:fill="C5E0B3" w:themeFill="accent6" w:themeFillTint="66"/>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w:t>
            </w:r>
          </w:p>
        </w:tc>
        <w:tc>
          <w:tcPr>
            <w:tcW w:w="1785" w:type="dxa"/>
            <w:shd w:val="clear" w:color="auto" w:fill="C5E0B3" w:themeFill="accent6" w:themeFillTint="66"/>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18.8</w:t>
            </w:r>
          </w:p>
        </w:tc>
      </w:tr>
    </w:tbl>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tbl>
      <w:tblPr>
        <w:tblStyle w:val="TableGrid11"/>
        <w:tblW w:w="0" w:type="auto"/>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8502"/>
        <w:gridCol w:w="2268"/>
        <w:gridCol w:w="2835"/>
        <w:gridCol w:w="1785"/>
      </w:tblGrid>
      <w:tr w:rsidR="006A2C17" w:rsidTr="00E245D6">
        <w:tc>
          <w:tcPr>
            <w:tcW w:w="8502" w:type="dxa"/>
            <w:shd w:val="clear" w:color="auto" w:fill="A8D08D" w:themeFill="accent6" w:themeFillTint="99"/>
          </w:tcPr>
          <w:p w:rsidR="00CD7572" w:rsidRPr="00CD7572" w:rsidRDefault="0062660D" w:rsidP="00CD7572">
            <w:pPr>
              <w:tabs>
                <w:tab w:val="left" w:pos="1080"/>
              </w:tabs>
              <w:spacing w:after="80"/>
              <w:jc w:val="left"/>
              <w:rPr>
                <w:rFonts w:ascii="Arial" w:hAnsi="Arial" w:cs="Arial"/>
                <w:b/>
              </w:rPr>
            </w:pPr>
            <w:r w:rsidRPr="00CD7572">
              <w:rPr>
                <w:rFonts w:ascii="Arial" w:hAnsi="Arial" w:cs="Arial"/>
                <w:b/>
              </w:rPr>
              <w:t>31/03/15</w:t>
            </w:r>
          </w:p>
        </w:tc>
        <w:tc>
          <w:tcPr>
            <w:tcW w:w="2268" w:type="dxa"/>
            <w:shd w:val="clear" w:color="auto" w:fill="A8D08D" w:themeFill="accent6" w:themeFillTint="99"/>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Fair value through profit or loss</w:t>
            </w:r>
          </w:p>
        </w:tc>
        <w:tc>
          <w:tcPr>
            <w:tcW w:w="2835" w:type="dxa"/>
            <w:shd w:val="clear" w:color="auto" w:fill="A8D08D" w:themeFill="accent6" w:themeFillTint="99"/>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Loans and receivables</w:t>
            </w:r>
          </w:p>
        </w:tc>
        <w:tc>
          <w:tcPr>
            <w:tcW w:w="1785" w:type="dxa"/>
            <w:shd w:val="clear" w:color="auto" w:fill="A8D08D" w:themeFill="accent6" w:themeFillTint="99"/>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Financial liabilities at amortised cost</w:t>
            </w:r>
          </w:p>
        </w:tc>
      </w:tr>
      <w:tr w:rsidR="006A2C17" w:rsidTr="00E245D6">
        <w:tc>
          <w:tcPr>
            <w:tcW w:w="8502" w:type="dxa"/>
            <w:shd w:val="clear" w:color="auto" w:fill="A8D08D" w:themeFill="accent6" w:themeFillTint="99"/>
          </w:tcPr>
          <w:p w:rsidR="00CD7572" w:rsidRPr="00CD7572" w:rsidRDefault="0062660D" w:rsidP="00CD7572">
            <w:pPr>
              <w:tabs>
                <w:tab w:val="left" w:pos="1080"/>
              </w:tabs>
              <w:spacing w:after="80"/>
              <w:jc w:val="left"/>
              <w:rPr>
                <w:rFonts w:ascii="Arial" w:hAnsi="Arial" w:cs="Arial"/>
              </w:rPr>
            </w:pPr>
          </w:p>
        </w:tc>
        <w:tc>
          <w:tcPr>
            <w:tcW w:w="2268" w:type="dxa"/>
            <w:shd w:val="clear" w:color="auto" w:fill="A8D08D" w:themeFill="accent6" w:themeFillTint="99"/>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£m</w:t>
            </w:r>
          </w:p>
        </w:tc>
        <w:tc>
          <w:tcPr>
            <w:tcW w:w="2835" w:type="dxa"/>
            <w:shd w:val="clear" w:color="auto" w:fill="A8D08D" w:themeFill="accent6" w:themeFillTint="99"/>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£m</w:t>
            </w:r>
          </w:p>
        </w:tc>
        <w:tc>
          <w:tcPr>
            <w:tcW w:w="1785" w:type="dxa"/>
            <w:shd w:val="clear" w:color="auto" w:fill="A8D08D" w:themeFill="accent6" w:themeFillTint="99"/>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£m</w:t>
            </w:r>
          </w:p>
        </w:tc>
      </w:tr>
      <w:tr w:rsidR="006A2C17" w:rsidTr="00E245D6">
        <w:tc>
          <w:tcPr>
            <w:tcW w:w="8502" w:type="dxa"/>
            <w:shd w:val="clear" w:color="auto" w:fill="E2EFD9" w:themeFill="accent6" w:themeFillTint="33"/>
          </w:tcPr>
          <w:p w:rsidR="00CD7572" w:rsidRPr="00CD7572" w:rsidRDefault="0062660D" w:rsidP="00CD7572">
            <w:pPr>
              <w:tabs>
                <w:tab w:val="left" w:pos="1080"/>
              </w:tabs>
              <w:spacing w:after="80"/>
              <w:jc w:val="left"/>
              <w:rPr>
                <w:rFonts w:ascii="Arial" w:hAnsi="Arial" w:cs="Arial"/>
                <w:b/>
              </w:rPr>
            </w:pPr>
            <w:r w:rsidRPr="00CD7572">
              <w:rPr>
                <w:rFonts w:ascii="Arial" w:hAnsi="Arial" w:cs="Arial"/>
                <w:b/>
              </w:rPr>
              <w:t>Financial assets</w:t>
            </w:r>
          </w:p>
        </w:tc>
        <w:tc>
          <w:tcPr>
            <w:tcW w:w="2268" w:type="dxa"/>
            <w:shd w:val="clear" w:color="auto" w:fill="E2EFD9" w:themeFill="accent6" w:themeFillTint="33"/>
          </w:tcPr>
          <w:p w:rsidR="00CD7572" w:rsidRPr="00CD7572" w:rsidRDefault="0062660D" w:rsidP="00CD7572">
            <w:pPr>
              <w:tabs>
                <w:tab w:val="left" w:pos="1080"/>
              </w:tabs>
              <w:spacing w:after="80"/>
              <w:jc w:val="right"/>
              <w:rPr>
                <w:rFonts w:ascii="Arial" w:hAnsi="Arial" w:cs="Arial"/>
              </w:rPr>
            </w:pPr>
          </w:p>
        </w:tc>
        <w:tc>
          <w:tcPr>
            <w:tcW w:w="2835" w:type="dxa"/>
            <w:shd w:val="clear" w:color="auto" w:fill="E2EFD9" w:themeFill="accent6" w:themeFillTint="33"/>
          </w:tcPr>
          <w:p w:rsidR="00CD7572" w:rsidRPr="00CD7572" w:rsidRDefault="0062660D" w:rsidP="00CD7572">
            <w:pPr>
              <w:tabs>
                <w:tab w:val="left" w:pos="1080"/>
              </w:tabs>
              <w:spacing w:after="80"/>
              <w:jc w:val="right"/>
              <w:rPr>
                <w:rFonts w:ascii="Arial" w:hAnsi="Arial" w:cs="Arial"/>
              </w:rPr>
            </w:pPr>
          </w:p>
        </w:tc>
        <w:tc>
          <w:tcPr>
            <w:tcW w:w="1785" w:type="dxa"/>
            <w:shd w:val="clear" w:color="auto" w:fill="E2EFD9" w:themeFill="accent6" w:themeFillTint="33"/>
          </w:tcPr>
          <w:p w:rsidR="00CD7572" w:rsidRPr="00CD7572" w:rsidRDefault="0062660D" w:rsidP="00CD7572">
            <w:pPr>
              <w:tabs>
                <w:tab w:val="left" w:pos="1080"/>
              </w:tabs>
              <w:spacing w:after="80"/>
              <w:jc w:val="right"/>
              <w:rPr>
                <w:rFonts w:ascii="Arial" w:hAnsi="Arial" w:cs="Arial"/>
              </w:rPr>
            </w:pPr>
          </w:p>
        </w:tc>
      </w:tr>
      <w:tr w:rsidR="006A2C17" w:rsidTr="00E245D6">
        <w:tc>
          <w:tcPr>
            <w:tcW w:w="8502" w:type="dxa"/>
          </w:tcPr>
          <w:p w:rsidR="00CD7572" w:rsidRPr="00CD7572" w:rsidRDefault="0062660D" w:rsidP="00CD7572">
            <w:pPr>
              <w:tabs>
                <w:tab w:val="left" w:pos="1080"/>
              </w:tabs>
              <w:spacing w:after="80"/>
              <w:jc w:val="left"/>
              <w:rPr>
                <w:rFonts w:ascii="Arial" w:hAnsi="Arial" w:cs="Arial"/>
              </w:rPr>
            </w:pPr>
            <w:r w:rsidRPr="00CD7572">
              <w:rPr>
                <w:rFonts w:ascii="Arial" w:hAnsi="Arial" w:cs="Arial"/>
              </w:rPr>
              <w:t>Fixed interest securities</w:t>
            </w:r>
          </w:p>
        </w:tc>
        <w:tc>
          <w:tcPr>
            <w:tcW w:w="2268"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148.8</w:t>
            </w:r>
          </w:p>
        </w:tc>
        <w:tc>
          <w:tcPr>
            <w:tcW w:w="283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c>
          <w:tcPr>
            <w:tcW w:w="178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r>
      <w:tr w:rsidR="006A2C17" w:rsidTr="00E245D6">
        <w:tc>
          <w:tcPr>
            <w:tcW w:w="8502" w:type="dxa"/>
          </w:tcPr>
          <w:p w:rsidR="00CD7572" w:rsidRPr="00CD7572" w:rsidRDefault="0062660D" w:rsidP="00CD7572">
            <w:pPr>
              <w:tabs>
                <w:tab w:val="left" w:pos="1080"/>
              </w:tabs>
              <w:spacing w:after="80"/>
              <w:jc w:val="left"/>
              <w:rPr>
                <w:rFonts w:ascii="Arial" w:hAnsi="Arial" w:cs="Arial"/>
              </w:rPr>
            </w:pPr>
            <w:r w:rsidRPr="00CD7572">
              <w:rPr>
                <w:rFonts w:ascii="Arial" w:hAnsi="Arial" w:cs="Arial"/>
              </w:rPr>
              <w:t>Equities</w:t>
            </w:r>
          </w:p>
        </w:tc>
        <w:tc>
          <w:tcPr>
            <w:tcW w:w="2268"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2,000.7</w:t>
            </w:r>
          </w:p>
        </w:tc>
        <w:tc>
          <w:tcPr>
            <w:tcW w:w="283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c>
          <w:tcPr>
            <w:tcW w:w="178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r>
      <w:tr w:rsidR="006A2C17" w:rsidTr="00E245D6">
        <w:tc>
          <w:tcPr>
            <w:tcW w:w="8502" w:type="dxa"/>
          </w:tcPr>
          <w:p w:rsidR="00CD7572" w:rsidRPr="00CD7572" w:rsidRDefault="0062660D" w:rsidP="00CD7572">
            <w:pPr>
              <w:tabs>
                <w:tab w:val="left" w:pos="1080"/>
              </w:tabs>
              <w:spacing w:after="80"/>
              <w:jc w:val="left"/>
              <w:rPr>
                <w:rFonts w:cs="Arial"/>
              </w:rPr>
            </w:pPr>
            <w:r w:rsidRPr="00CD7572">
              <w:rPr>
                <w:rFonts w:ascii="Arial" w:hAnsi="Arial" w:cs="Arial"/>
              </w:rPr>
              <w:t>Index linked securities</w:t>
            </w:r>
          </w:p>
        </w:tc>
        <w:tc>
          <w:tcPr>
            <w:tcW w:w="2268"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317.9</w:t>
            </w:r>
          </w:p>
        </w:tc>
        <w:tc>
          <w:tcPr>
            <w:tcW w:w="283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c>
          <w:tcPr>
            <w:tcW w:w="178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r>
      <w:tr w:rsidR="006A2C17" w:rsidTr="00E245D6">
        <w:tc>
          <w:tcPr>
            <w:tcW w:w="8502" w:type="dxa"/>
          </w:tcPr>
          <w:p w:rsidR="00CD7572" w:rsidRPr="00CD7572" w:rsidRDefault="0062660D" w:rsidP="00CD7572">
            <w:pPr>
              <w:tabs>
                <w:tab w:val="left" w:pos="1080"/>
              </w:tabs>
              <w:spacing w:after="80"/>
              <w:jc w:val="left"/>
              <w:rPr>
                <w:rFonts w:ascii="Arial" w:hAnsi="Arial" w:cs="Arial"/>
              </w:rPr>
            </w:pPr>
            <w:r w:rsidRPr="00CD7572">
              <w:rPr>
                <w:rFonts w:ascii="Arial" w:hAnsi="Arial" w:cs="Arial"/>
              </w:rPr>
              <w:t>Pooled investment vehicles</w:t>
            </w:r>
          </w:p>
        </w:tc>
        <w:tc>
          <w:tcPr>
            <w:tcW w:w="2268"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2,740.2</w:t>
            </w:r>
          </w:p>
        </w:tc>
        <w:tc>
          <w:tcPr>
            <w:tcW w:w="283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c>
          <w:tcPr>
            <w:tcW w:w="178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r>
      <w:tr w:rsidR="006A2C17" w:rsidTr="00E245D6">
        <w:tc>
          <w:tcPr>
            <w:tcW w:w="8502" w:type="dxa"/>
          </w:tcPr>
          <w:p w:rsidR="00CD7572" w:rsidRPr="00CD7572" w:rsidRDefault="0062660D" w:rsidP="00CD7572">
            <w:pPr>
              <w:tabs>
                <w:tab w:val="left" w:pos="1080"/>
              </w:tabs>
              <w:spacing w:after="80"/>
              <w:jc w:val="left"/>
              <w:rPr>
                <w:rFonts w:ascii="Arial" w:hAnsi="Arial" w:cs="Arial"/>
              </w:rPr>
            </w:pPr>
            <w:r w:rsidRPr="00CD7572">
              <w:rPr>
                <w:rFonts w:ascii="Arial" w:hAnsi="Arial" w:cs="Arial"/>
              </w:rPr>
              <w:t>Derivative contracts</w:t>
            </w:r>
          </w:p>
        </w:tc>
        <w:tc>
          <w:tcPr>
            <w:tcW w:w="2268"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632.4</w:t>
            </w:r>
          </w:p>
        </w:tc>
        <w:tc>
          <w:tcPr>
            <w:tcW w:w="283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c>
          <w:tcPr>
            <w:tcW w:w="178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r>
      <w:tr w:rsidR="006A2C17" w:rsidTr="00E245D6">
        <w:tc>
          <w:tcPr>
            <w:tcW w:w="8502" w:type="dxa"/>
          </w:tcPr>
          <w:p w:rsidR="00CD7572" w:rsidRPr="00CD7572" w:rsidRDefault="0062660D" w:rsidP="00CD7572">
            <w:pPr>
              <w:tabs>
                <w:tab w:val="left" w:pos="1080"/>
              </w:tabs>
              <w:spacing w:after="80"/>
              <w:jc w:val="left"/>
              <w:rPr>
                <w:rFonts w:ascii="Arial" w:hAnsi="Arial" w:cs="Arial"/>
              </w:rPr>
            </w:pPr>
            <w:r w:rsidRPr="00CD7572">
              <w:rPr>
                <w:rFonts w:ascii="Arial" w:hAnsi="Arial" w:cs="Arial"/>
              </w:rPr>
              <w:t>Cash deposits</w:t>
            </w:r>
          </w:p>
        </w:tc>
        <w:tc>
          <w:tcPr>
            <w:tcW w:w="2268"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c>
          <w:tcPr>
            <w:tcW w:w="283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60.0</w:t>
            </w:r>
          </w:p>
        </w:tc>
        <w:tc>
          <w:tcPr>
            <w:tcW w:w="178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r>
      <w:tr w:rsidR="006A2C17" w:rsidTr="00E245D6">
        <w:trPr>
          <w:trHeight w:val="424"/>
        </w:trPr>
        <w:tc>
          <w:tcPr>
            <w:tcW w:w="8502" w:type="dxa"/>
          </w:tcPr>
          <w:p w:rsidR="00CD7572" w:rsidRPr="00CD7572" w:rsidRDefault="0062660D" w:rsidP="00CD7572">
            <w:pPr>
              <w:tabs>
                <w:tab w:val="left" w:pos="1080"/>
              </w:tabs>
              <w:spacing w:after="80"/>
              <w:jc w:val="left"/>
              <w:rPr>
                <w:rFonts w:ascii="Arial" w:hAnsi="Arial" w:cs="Arial"/>
              </w:rPr>
            </w:pPr>
            <w:r w:rsidRPr="00CD7572">
              <w:rPr>
                <w:rFonts w:ascii="Arial" w:hAnsi="Arial" w:cs="Arial"/>
              </w:rPr>
              <w:t>Investment accruals</w:t>
            </w:r>
          </w:p>
        </w:tc>
        <w:tc>
          <w:tcPr>
            <w:tcW w:w="2268"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11.7</w:t>
            </w:r>
          </w:p>
        </w:tc>
        <w:tc>
          <w:tcPr>
            <w:tcW w:w="283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c>
          <w:tcPr>
            <w:tcW w:w="178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r>
      <w:tr w:rsidR="006A2C17" w:rsidTr="00E245D6">
        <w:tc>
          <w:tcPr>
            <w:tcW w:w="8502" w:type="dxa"/>
          </w:tcPr>
          <w:p w:rsidR="00CD7572" w:rsidRPr="00CD7572" w:rsidRDefault="0062660D" w:rsidP="00CD7572">
            <w:pPr>
              <w:tabs>
                <w:tab w:val="left" w:pos="1080"/>
              </w:tabs>
              <w:spacing w:after="80"/>
              <w:jc w:val="left"/>
              <w:rPr>
                <w:rFonts w:ascii="Arial" w:hAnsi="Arial" w:cs="Arial"/>
              </w:rPr>
            </w:pPr>
            <w:r w:rsidRPr="00CD7572">
              <w:rPr>
                <w:rFonts w:ascii="Arial" w:hAnsi="Arial" w:cs="Arial"/>
              </w:rPr>
              <w:t>Debtors</w:t>
            </w:r>
          </w:p>
        </w:tc>
        <w:tc>
          <w:tcPr>
            <w:tcW w:w="2268"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c>
          <w:tcPr>
            <w:tcW w:w="283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28.1</w:t>
            </w:r>
          </w:p>
        </w:tc>
        <w:tc>
          <w:tcPr>
            <w:tcW w:w="178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r>
      <w:tr w:rsidR="006A2C17" w:rsidTr="00E245D6">
        <w:tc>
          <w:tcPr>
            <w:tcW w:w="8502" w:type="dxa"/>
            <w:shd w:val="clear" w:color="auto" w:fill="C5E0B3" w:themeFill="accent6" w:themeFillTint="66"/>
          </w:tcPr>
          <w:p w:rsidR="00CD7572" w:rsidRPr="00CD7572" w:rsidRDefault="0062660D" w:rsidP="00CD7572">
            <w:pPr>
              <w:tabs>
                <w:tab w:val="left" w:pos="1080"/>
              </w:tabs>
              <w:spacing w:after="80"/>
              <w:jc w:val="left"/>
              <w:rPr>
                <w:rFonts w:ascii="Arial" w:hAnsi="Arial" w:cs="Arial"/>
                <w:b/>
              </w:rPr>
            </w:pPr>
            <w:r w:rsidRPr="00CD7572">
              <w:rPr>
                <w:rFonts w:ascii="Arial" w:hAnsi="Arial" w:cs="Arial"/>
                <w:b/>
              </w:rPr>
              <w:t>Total financial assets</w:t>
            </w:r>
          </w:p>
        </w:tc>
        <w:tc>
          <w:tcPr>
            <w:tcW w:w="2268" w:type="dxa"/>
            <w:shd w:val="clear" w:color="auto" w:fill="C5E0B3" w:themeFill="accent6" w:themeFillTint="66"/>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5,851.7</w:t>
            </w:r>
          </w:p>
        </w:tc>
        <w:tc>
          <w:tcPr>
            <w:tcW w:w="2835" w:type="dxa"/>
            <w:shd w:val="clear" w:color="auto" w:fill="C5E0B3" w:themeFill="accent6" w:themeFillTint="66"/>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88.1</w:t>
            </w:r>
          </w:p>
        </w:tc>
        <w:tc>
          <w:tcPr>
            <w:tcW w:w="1785" w:type="dxa"/>
            <w:shd w:val="clear" w:color="auto" w:fill="C5E0B3" w:themeFill="accent6" w:themeFillTint="66"/>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w:t>
            </w:r>
          </w:p>
        </w:tc>
      </w:tr>
      <w:tr w:rsidR="006A2C17" w:rsidTr="00E245D6">
        <w:trPr>
          <w:trHeight w:val="177"/>
        </w:trPr>
        <w:tc>
          <w:tcPr>
            <w:tcW w:w="8502" w:type="dxa"/>
          </w:tcPr>
          <w:p w:rsidR="00CD7572" w:rsidRPr="00CD7572" w:rsidRDefault="0062660D" w:rsidP="00CD7572">
            <w:pPr>
              <w:tabs>
                <w:tab w:val="left" w:pos="1080"/>
              </w:tabs>
              <w:spacing w:after="80"/>
              <w:jc w:val="left"/>
              <w:rPr>
                <w:rFonts w:ascii="Arial" w:hAnsi="Arial" w:cs="Arial"/>
              </w:rPr>
            </w:pPr>
          </w:p>
        </w:tc>
        <w:tc>
          <w:tcPr>
            <w:tcW w:w="2268" w:type="dxa"/>
          </w:tcPr>
          <w:p w:rsidR="00CD7572" w:rsidRPr="00CD7572" w:rsidRDefault="0062660D" w:rsidP="00CD7572">
            <w:pPr>
              <w:tabs>
                <w:tab w:val="left" w:pos="1080"/>
              </w:tabs>
              <w:spacing w:after="80"/>
              <w:jc w:val="right"/>
              <w:rPr>
                <w:rFonts w:ascii="Arial" w:hAnsi="Arial" w:cs="Arial"/>
              </w:rPr>
            </w:pPr>
          </w:p>
        </w:tc>
        <w:tc>
          <w:tcPr>
            <w:tcW w:w="2835" w:type="dxa"/>
          </w:tcPr>
          <w:p w:rsidR="00CD7572" w:rsidRPr="00CD7572" w:rsidRDefault="0062660D" w:rsidP="00CD7572">
            <w:pPr>
              <w:tabs>
                <w:tab w:val="left" w:pos="1080"/>
              </w:tabs>
              <w:spacing w:after="80"/>
              <w:jc w:val="right"/>
              <w:rPr>
                <w:rFonts w:ascii="Arial" w:hAnsi="Arial" w:cs="Arial"/>
              </w:rPr>
            </w:pPr>
          </w:p>
        </w:tc>
        <w:tc>
          <w:tcPr>
            <w:tcW w:w="1785" w:type="dxa"/>
          </w:tcPr>
          <w:p w:rsidR="00CD7572" w:rsidRPr="00CD7572" w:rsidRDefault="0062660D" w:rsidP="00CD7572">
            <w:pPr>
              <w:tabs>
                <w:tab w:val="left" w:pos="1080"/>
              </w:tabs>
              <w:spacing w:after="80"/>
              <w:jc w:val="right"/>
              <w:rPr>
                <w:rFonts w:ascii="Arial" w:hAnsi="Arial" w:cs="Arial"/>
              </w:rPr>
            </w:pPr>
          </w:p>
        </w:tc>
      </w:tr>
      <w:tr w:rsidR="006A2C17" w:rsidTr="00E245D6">
        <w:tc>
          <w:tcPr>
            <w:tcW w:w="8502" w:type="dxa"/>
            <w:shd w:val="clear" w:color="auto" w:fill="E2EFD9" w:themeFill="accent6" w:themeFillTint="33"/>
          </w:tcPr>
          <w:p w:rsidR="00CD7572" w:rsidRPr="00CD7572" w:rsidRDefault="0062660D" w:rsidP="00CD7572">
            <w:pPr>
              <w:tabs>
                <w:tab w:val="left" w:pos="1080"/>
              </w:tabs>
              <w:spacing w:after="80"/>
              <w:jc w:val="left"/>
              <w:rPr>
                <w:rFonts w:ascii="Arial" w:hAnsi="Arial" w:cs="Arial"/>
                <w:b/>
              </w:rPr>
            </w:pPr>
            <w:r w:rsidRPr="00CD7572">
              <w:rPr>
                <w:rFonts w:ascii="Arial" w:hAnsi="Arial" w:cs="Arial"/>
                <w:b/>
              </w:rPr>
              <w:t xml:space="preserve">Financial </w:t>
            </w:r>
            <w:r w:rsidRPr="00CD7572">
              <w:rPr>
                <w:rFonts w:ascii="Arial" w:hAnsi="Arial" w:cs="Arial"/>
                <w:b/>
              </w:rPr>
              <w:t>liabilities</w:t>
            </w:r>
          </w:p>
        </w:tc>
        <w:tc>
          <w:tcPr>
            <w:tcW w:w="2268" w:type="dxa"/>
            <w:shd w:val="clear" w:color="auto" w:fill="E2EFD9" w:themeFill="accent6" w:themeFillTint="33"/>
          </w:tcPr>
          <w:p w:rsidR="00CD7572" w:rsidRPr="00CD7572" w:rsidRDefault="0062660D" w:rsidP="00CD7572">
            <w:pPr>
              <w:tabs>
                <w:tab w:val="left" w:pos="1080"/>
              </w:tabs>
              <w:spacing w:after="80"/>
              <w:jc w:val="right"/>
              <w:rPr>
                <w:rFonts w:ascii="Arial" w:hAnsi="Arial" w:cs="Arial"/>
                <w:b/>
              </w:rPr>
            </w:pPr>
          </w:p>
        </w:tc>
        <w:tc>
          <w:tcPr>
            <w:tcW w:w="2835" w:type="dxa"/>
            <w:shd w:val="clear" w:color="auto" w:fill="E2EFD9" w:themeFill="accent6" w:themeFillTint="33"/>
          </w:tcPr>
          <w:p w:rsidR="00CD7572" w:rsidRPr="00CD7572" w:rsidRDefault="0062660D" w:rsidP="00CD7572">
            <w:pPr>
              <w:tabs>
                <w:tab w:val="left" w:pos="1080"/>
              </w:tabs>
              <w:spacing w:after="80"/>
              <w:jc w:val="right"/>
              <w:rPr>
                <w:rFonts w:ascii="Arial" w:hAnsi="Arial" w:cs="Arial"/>
                <w:b/>
              </w:rPr>
            </w:pPr>
          </w:p>
        </w:tc>
        <w:tc>
          <w:tcPr>
            <w:tcW w:w="1785" w:type="dxa"/>
            <w:shd w:val="clear" w:color="auto" w:fill="E2EFD9" w:themeFill="accent6" w:themeFillTint="33"/>
          </w:tcPr>
          <w:p w:rsidR="00CD7572" w:rsidRPr="00CD7572" w:rsidRDefault="0062660D" w:rsidP="00CD7572">
            <w:pPr>
              <w:tabs>
                <w:tab w:val="left" w:pos="1080"/>
              </w:tabs>
              <w:spacing w:after="80"/>
              <w:jc w:val="right"/>
              <w:rPr>
                <w:rFonts w:ascii="Arial" w:hAnsi="Arial" w:cs="Arial"/>
                <w:b/>
              </w:rPr>
            </w:pPr>
          </w:p>
        </w:tc>
      </w:tr>
      <w:tr w:rsidR="006A2C17" w:rsidTr="00E245D6">
        <w:tc>
          <w:tcPr>
            <w:tcW w:w="8502" w:type="dxa"/>
          </w:tcPr>
          <w:p w:rsidR="00CD7572" w:rsidRPr="00CD7572" w:rsidRDefault="0062660D" w:rsidP="00CD7572">
            <w:pPr>
              <w:tabs>
                <w:tab w:val="left" w:pos="1080"/>
              </w:tabs>
              <w:spacing w:after="80"/>
              <w:jc w:val="left"/>
              <w:rPr>
                <w:rFonts w:cs="Arial"/>
              </w:rPr>
            </w:pPr>
            <w:r w:rsidRPr="00CD7572">
              <w:rPr>
                <w:rFonts w:ascii="Arial" w:hAnsi="Arial" w:cs="Arial"/>
              </w:rPr>
              <w:t>Derivative contracts</w:t>
            </w:r>
          </w:p>
        </w:tc>
        <w:tc>
          <w:tcPr>
            <w:tcW w:w="2268"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629.6</w:t>
            </w:r>
          </w:p>
        </w:tc>
        <w:tc>
          <w:tcPr>
            <w:tcW w:w="283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c>
          <w:tcPr>
            <w:tcW w:w="178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r>
      <w:tr w:rsidR="006A2C17" w:rsidTr="00E245D6">
        <w:tc>
          <w:tcPr>
            <w:tcW w:w="8502" w:type="dxa"/>
          </w:tcPr>
          <w:p w:rsidR="00CD7572" w:rsidRPr="00CD7572" w:rsidRDefault="0062660D" w:rsidP="00CD7572">
            <w:pPr>
              <w:tabs>
                <w:tab w:val="left" w:pos="1080"/>
              </w:tabs>
              <w:spacing w:after="80"/>
              <w:jc w:val="left"/>
              <w:rPr>
                <w:rFonts w:ascii="Arial" w:hAnsi="Arial" w:cs="Arial"/>
              </w:rPr>
            </w:pPr>
            <w:r w:rsidRPr="00CD7572">
              <w:rPr>
                <w:rFonts w:ascii="Arial" w:hAnsi="Arial" w:cs="Arial"/>
              </w:rPr>
              <w:t>Creditors</w:t>
            </w:r>
          </w:p>
        </w:tc>
        <w:tc>
          <w:tcPr>
            <w:tcW w:w="2268"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c>
          <w:tcPr>
            <w:tcW w:w="283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w:t>
            </w:r>
          </w:p>
        </w:tc>
        <w:tc>
          <w:tcPr>
            <w:tcW w:w="1785" w:type="dxa"/>
          </w:tcPr>
          <w:p w:rsidR="00CD7572" w:rsidRPr="00CD7572" w:rsidRDefault="0062660D" w:rsidP="00CD7572">
            <w:pPr>
              <w:tabs>
                <w:tab w:val="left" w:pos="1080"/>
              </w:tabs>
              <w:spacing w:after="80"/>
              <w:jc w:val="right"/>
              <w:rPr>
                <w:rFonts w:ascii="Arial" w:hAnsi="Arial" w:cs="Arial"/>
              </w:rPr>
            </w:pPr>
            <w:r w:rsidRPr="00CD7572">
              <w:rPr>
                <w:rFonts w:ascii="Arial" w:hAnsi="Arial" w:cs="Arial"/>
              </w:rPr>
              <w:t>10.9</w:t>
            </w:r>
          </w:p>
        </w:tc>
      </w:tr>
      <w:tr w:rsidR="006A2C17" w:rsidTr="00E245D6">
        <w:tc>
          <w:tcPr>
            <w:tcW w:w="8502" w:type="dxa"/>
            <w:shd w:val="clear" w:color="auto" w:fill="C5E0B3" w:themeFill="accent6" w:themeFillTint="66"/>
          </w:tcPr>
          <w:p w:rsidR="00CD7572" w:rsidRPr="00CD7572" w:rsidRDefault="0062660D" w:rsidP="00CD7572">
            <w:pPr>
              <w:tabs>
                <w:tab w:val="left" w:pos="1080"/>
              </w:tabs>
              <w:spacing w:after="80"/>
              <w:jc w:val="left"/>
              <w:rPr>
                <w:rFonts w:ascii="Arial" w:hAnsi="Arial" w:cs="Arial"/>
                <w:b/>
              </w:rPr>
            </w:pPr>
            <w:r w:rsidRPr="00CD7572">
              <w:rPr>
                <w:rFonts w:ascii="Arial" w:hAnsi="Arial" w:cs="Arial"/>
                <w:b/>
              </w:rPr>
              <w:t>Total financial liabilities</w:t>
            </w:r>
          </w:p>
        </w:tc>
        <w:tc>
          <w:tcPr>
            <w:tcW w:w="2268" w:type="dxa"/>
            <w:shd w:val="clear" w:color="auto" w:fill="C5E0B3" w:themeFill="accent6" w:themeFillTint="66"/>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629.6</w:t>
            </w:r>
          </w:p>
        </w:tc>
        <w:tc>
          <w:tcPr>
            <w:tcW w:w="2835" w:type="dxa"/>
            <w:shd w:val="clear" w:color="auto" w:fill="C5E0B3" w:themeFill="accent6" w:themeFillTint="66"/>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w:t>
            </w:r>
          </w:p>
        </w:tc>
        <w:tc>
          <w:tcPr>
            <w:tcW w:w="1785" w:type="dxa"/>
            <w:shd w:val="clear" w:color="auto" w:fill="C5E0B3" w:themeFill="accent6" w:themeFillTint="66"/>
          </w:tcPr>
          <w:p w:rsidR="00CD7572" w:rsidRPr="00CD7572" w:rsidRDefault="0062660D" w:rsidP="00CD7572">
            <w:pPr>
              <w:tabs>
                <w:tab w:val="left" w:pos="1080"/>
              </w:tabs>
              <w:spacing w:after="80"/>
              <w:jc w:val="right"/>
              <w:rPr>
                <w:rFonts w:ascii="Arial" w:hAnsi="Arial" w:cs="Arial"/>
                <w:b/>
              </w:rPr>
            </w:pPr>
            <w:r w:rsidRPr="00CD7572">
              <w:rPr>
                <w:rFonts w:ascii="Arial" w:hAnsi="Arial" w:cs="Arial"/>
                <w:b/>
              </w:rPr>
              <w:t>10.9</w:t>
            </w:r>
          </w:p>
        </w:tc>
      </w:tr>
    </w:tbl>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sectPr w:rsidR="00CD7572" w:rsidRPr="00CD7572" w:rsidSect="00721B23">
          <w:pgSz w:w="16840" w:h="11900" w:orient="landscape" w:code="9"/>
          <w:pgMar w:top="720" w:right="720" w:bottom="720" w:left="720" w:header="284" w:footer="284" w:gutter="0"/>
          <w:cols w:space="292"/>
          <w:docGrid w:linePitch="326"/>
        </w:sectPr>
      </w:pPr>
    </w:p>
    <w:p w:rsidR="00CD7572" w:rsidRPr="00CD7572" w:rsidRDefault="0062660D" w:rsidP="00CD7572">
      <w:pPr>
        <w:numPr>
          <w:ilvl w:val="0"/>
          <w:numId w:val="9"/>
        </w:numPr>
        <w:autoSpaceDE/>
        <w:autoSpaceDN/>
        <w:adjustRightInd/>
        <w:spacing w:after="0"/>
        <w:contextualSpacing/>
        <w:jc w:val="left"/>
        <w:rPr>
          <w:rFonts w:cs="Arial"/>
          <w:b/>
          <w:bCs/>
          <w:sz w:val="32"/>
          <w:szCs w:val="32"/>
        </w:rPr>
      </w:pPr>
      <w:r w:rsidRPr="00CD7572">
        <w:rPr>
          <w:rFonts w:cs="Arial"/>
          <w:b/>
          <w:bCs/>
          <w:sz w:val="32"/>
          <w:szCs w:val="32"/>
        </w:rPr>
        <w:t>Net gains and losses on financial instruments</w:t>
      </w:r>
    </w:p>
    <w:p w:rsidR="00CD7572" w:rsidRPr="00CD7572" w:rsidRDefault="0062660D" w:rsidP="00CD7572">
      <w:pPr>
        <w:ind w:left="862"/>
        <w:rPr>
          <w:rFonts w:cs="Arial"/>
          <w:b/>
          <w:bCs/>
        </w:rPr>
      </w:pPr>
    </w:p>
    <w:p w:rsidR="00CD7572" w:rsidRPr="00CD7572" w:rsidRDefault="0062660D" w:rsidP="00CD7572">
      <w:pPr>
        <w:ind w:left="709"/>
        <w:jc w:val="left"/>
        <w:rPr>
          <w:rFonts w:cs="Arial"/>
          <w:bCs/>
        </w:rPr>
      </w:pPr>
      <w:r w:rsidRPr="00CD7572">
        <w:rPr>
          <w:rFonts w:cs="Arial"/>
          <w:b/>
          <w:bCs/>
        </w:rPr>
        <w:t xml:space="preserve"> </w:t>
      </w:r>
      <w:r w:rsidRPr="00CD7572">
        <w:rPr>
          <w:rFonts w:cs="Arial"/>
          <w:bCs/>
        </w:rPr>
        <w:t xml:space="preserve">The net gain on financial assets at fair value through profit and </w:t>
      </w:r>
      <w:r w:rsidRPr="00CD7572">
        <w:rPr>
          <w:rFonts w:cs="Arial"/>
          <w:bCs/>
        </w:rPr>
        <w:t>loss is £121.0m</w:t>
      </w:r>
    </w:p>
    <w:p w:rsidR="00CD7572" w:rsidRPr="00CD7572" w:rsidRDefault="0062660D" w:rsidP="00CD7572">
      <w:pPr>
        <w:ind w:left="709"/>
        <w:jc w:val="left"/>
        <w:rPr>
          <w:rFonts w:cs="Arial"/>
          <w:bCs/>
        </w:rPr>
      </w:pPr>
      <w:r w:rsidRPr="00CD7572">
        <w:rPr>
          <w:rFonts w:cs="Arial"/>
          <w:bCs/>
        </w:rPr>
        <w:t xml:space="preserve"> (2014/15: £634.1m) </w:t>
      </w:r>
    </w:p>
    <w:p w:rsidR="00CD7572" w:rsidRPr="00CD7572" w:rsidRDefault="0062660D" w:rsidP="00CD7572">
      <w:pPr>
        <w:ind w:left="709"/>
        <w:rPr>
          <w:rFonts w:cs="Arial"/>
          <w:b/>
          <w:bCs/>
        </w:rPr>
      </w:pPr>
    </w:p>
    <w:p w:rsidR="00CD7572" w:rsidRPr="00CD7572" w:rsidRDefault="0062660D" w:rsidP="00CD7572">
      <w:pPr>
        <w:numPr>
          <w:ilvl w:val="0"/>
          <w:numId w:val="9"/>
        </w:numPr>
        <w:autoSpaceDE/>
        <w:autoSpaceDN/>
        <w:adjustRightInd/>
        <w:spacing w:after="0"/>
        <w:ind w:left="862"/>
        <w:contextualSpacing/>
        <w:jc w:val="left"/>
        <w:rPr>
          <w:b/>
          <w:sz w:val="32"/>
          <w:szCs w:val="32"/>
        </w:rPr>
      </w:pPr>
      <w:r w:rsidRPr="00CD7572">
        <w:rPr>
          <w:b/>
          <w:sz w:val="32"/>
          <w:szCs w:val="32"/>
        </w:rPr>
        <w:t xml:space="preserve">Financial instruments – valuation </w:t>
      </w:r>
    </w:p>
    <w:p w:rsidR="00CD7572" w:rsidRPr="00CD7572" w:rsidRDefault="0062660D" w:rsidP="00CD7572">
      <w:pPr>
        <w:ind w:left="720"/>
        <w:contextualSpacing/>
        <w:rPr>
          <w:b/>
        </w:rPr>
      </w:pPr>
    </w:p>
    <w:p w:rsidR="00CD7572" w:rsidRPr="00CD7572" w:rsidRDefault="0062660D" w:rsidP="00CD7572">
      <w:pPr>
        <w:spacing w:after="0"/>
        <w:ind w:left="720"/>
        <w:jc w:val="left"/>
        <w:rPr>
          <w:b/>
        </w:rPr>
      </w:pPr>
      <w:r w:rsidRPr="00CD7572">
        <w:rPr>
          <w:b/>
        </w:rPr>
        <w:t>17.1 Valuation of financial instruments carried at fair value</w:t>
      </w:r>
    </w:p>
    <w:p w:rsidR="00CD7572" w:rsidRPr="00CD7572" w:rsidRDefault="0062660D" w:rsidP="00CD7572">
      <w:pPr>
        <w:spacing w:after="0"/>
        <w:ind w:left="720"/>
        <w:jc w:val="left"/>
      </w:pPr>
      <w:r w:rsidRPr="00CD7572">
        <w:t xml:space="preserve">The valuation of financial instruments carried at fair value has been classified into three levels according to quality </w:t>
      </w:r>
      <w:r w:rsidRPr="00CD7572">
        <w:t>and reliability of information used to determine fair values.</w:t>
      </w:r>
    </w:p>
    <w:p w:rsidR="00CD7572" w:rsidRPr="00CD7572" w:rsidRDefault="0062660D" w:rsidP="00CD7572">
      <w:pPr>
        <w:spacing w:after="0"/>
        <w:ind w:left="720"/>
        <w:jc w:val="left"/>
      </w:pPr>
      <w:r w:rsidRPr="00CD7572">
        <w:t xml:space="preserve"> </w:t>
      </w:r>
    </w:p>
    <w:p w:rsidR="00CD7572" w:rsidRPr="00CD7572" w:rsidRDefault="0062660D" w:rsidP="00CD7572">
      <w:pPr>
        <w:spacing w:after="0"/>
        <w:ind w:left="720"/>
        <w:jc w:val="left"/>
        <w:rPr>
          <w:b/>
          <w:sz w:val="22"/>
          <w:szCs w:val="22"/>
        </w:rPr>
      </w:pPr>
      <w:r w:rsidRPr="00CD7572">
        <w:rPr>
          <w:b/>
          <w:sz w:val="22"/>
          <w:szCs w:val="22"/>
        </w:rPr>
        <w:t>17.1.1 Level 1</w:t>
      </w:r>
    </w:p>
    <w:p w:rsidR="00CD7572" w:rsidRPr="00CD7572" w:rsidRDefault="0062660D" w:rsidP="00CD7572">
      <w:pPr>
        <w:spacing w:after="0"/>
        <w:ind w:left="720"/>
        <w:jc w:val="left"/>
      </w:pPr>
      <w:r w:rsidRPr="00CD7572">
        <w:t xml:space="preserve">Level 1 fair value measurements are those derived from unadjusted quoted prices in active markets for identical assets or liabilities.  Examples include quoted equity </w:t>
      </w:r>
      <w:r w:rsidRPr="00CD7572">
        <w:t>investments, unit trusts, UK pooled fixed income funds, overseas pooled fixed income funds, UK and overseas quoted fixed interest securities.  Listed investments are shown at bid prices.  The bid value of the investment is based on the bid market quotation</w:t>
      </w:r>
      <w:r w:rsidRPr="00CD7572">
        <w:t xml:space="preserve"> of the relevant stock exchange.</w:t>
      </w:r>
    </w:p>
    <w:p w:rsidR="00CD7572" w:rsidRPr="00CD7572" w:rsidRDefault="0062660D" w:rsidP="00CD7572">
      <w:pPr>
        <w:spacing w:after="0"/>
        <w:ind w:left="720"/>
        <w:jc w:val="left"/>
        <w:rPr>
          <w:b/>
          <w:sz w:val="22"/>
          <w:szCs w:val="22"/>
        </w:rPr>
      </w:pPr>
    </w:p>
    <w:p w:rsidR="00CD7572" w:rsidRPr="00CD7572" w:rsidRDefault="0062660D" w:rsidP="00CD7572">
      <w:pPr>
        <w:spacing w:after="0"/>
        <w:ind w:left="720"/>
        <w:jc w:val="left"/>
        <w:rPr>
          <w:b/>
          <w:sz w:val="22"/>
          <w:szCs w:val="22"/>
        </w:rPr>
      </w:pPr>
      <w:r w:rsidRPr="00CD7572">
        <w:rPr>
          <w:b/>
          <w:sz w:val="22"/>
          <w:szCs w:val="22"/>
        </w:rPr>
        <w:t>17.1.2 Level 2</w:t>
      </w:r>
    </w:p>
    <w:p w:rsidR="00CD7572" w:rsidRPr="00CD7572" w:rsidRDefault="0062660D" w:rsidP="00CD7572">
      <w:pPr>
        <w:spacing w:after="0"/>
        <w:ind w:left="720"/>
        <w:jc w:val="left"/>
      </w:pPr>
      <w:r w:rsidRPr="00CD7572">
        <w:t>Level 2 investments are those where quoted market prices are not available, for example where an instrument is traded in a market that is not considered to be active or valuation techniques are used to deter</w:t>
      </w:r>
      <w:r w:rsidRPr="00CD7572">
        <w:t>mine fair value and where these techniques use inputs that are based significantly on observable market data. Such instruments include bonds secured on affordable housing assets.  The technique for valuing these assets is independently verified.</w:t>
      </w:r>
    </w:p>
    <w:p w:rsidR="00CD7572" w:rsidRPr="00CD7572" w:rsidRDefault="0062660D" w:rsidP="00CD7572">
      <w:pPr>
        <w:spacing w:after="0"/>
        <w:ind w:left="720"/>
        <w:jc w:val="left"/>
      </w:pPr>
    </w:p>
    <w:p w:rsidR="00CD7572" w:rsidRPr="00CD7572" w:rsidRDefault="0062660D" w:rsidP="00CD7572">
      <w:pPr>
        <w:spacing w:after="0"/>
        <w:ind w:left="720"/>
        <w:jc w:val="left"/>
      </w:pPr>
      <w:r w:rsidRPr="00CD7572">
        <w:t>The bonds</w:t>
      </w:r>
      <w:r w:rsidRPr="00CD7572">
        <w:t xml:space="preserve"> secured on affordable housing assets are based on long term expectations of interest rates, inflation and credit spreads in the housing association sector.</w:t>
      </w:r>
    </w:p>
    <w:p w:rsidR="00CD7572" w:rsidRPr="00CD7572" w:rsidRDefault="0062660D" w:rsidP="00CD7572">
      <w:pPr>
        <w:spacing w:after="0"/>
        <w:ind w:left="720"/>
        <w:jc w:val="left"/>
      </w:pPr>
    </w:p>
    <w:p w:rsidR="00CD7572" w:rsidRPr="00CD7572" w:rsidRDefault="0062660D" w:rsidP="00CD7572">
      <w:pPr>
        <w:spacing w:after="0"/>
        <w:ind w:left="720"/>
        <w:jc w:val="left"/>
        <w:rPr>
          <w:b/>
          <w:sz w:val="22"/>
          <w:szCs w:val="22"/>
        </w:rPr>
      </w:pPr>
      <w:r w:rsidRPr="00CD7572">
        <w:rPr>
          <w:b/>
          <w:sz w:val="22"/>
          <w:szCs w:val="22"/>
        </w:rPr>
        <w:t>17.1.3 Level 3</w:t>
      </w:r>
    </w:p>
    <w:p w:rsidR="00CD7572" w:rsidRPr="00CD7572" w:rsidRDefault="0062660D" w:rsidP="00CD7572">
      <w:pPr>
        <w:spacing w:after="0"/>
        <w:ind w:left="720"/>
        <w:jc w:val="left"/>
      </w:pPr>
      <w:r w:rsidRPr="00CD7572">
        <w:t>Level 3 portfolios are those where at least one input which could have a significan</w:t>
      </w:r>
      <w:r w:rsidRPr="00CD7572">
        <w:t xml:space="preserve">t effect on the instrument's valuation is not based on observable market data.  Such instruments include internally managed overseas equity funds, overseas quoted fixed income investments, pooled UK fixed income investments, private equity, infrastructure </w:t>
      </w:r>
      <w:r w:rsidRPr="00CD7572">
        <w:t>and indirect overseas property investments, which are valued using various valuation techniques that require significant management judgement in determining appropriate assumptions, including earnings, public market comparatives and estimated future cash f</w:t>
      </w:r>
      <w:r w:rsidRPr="00CD7572">
        <w:t>lows.</w:t>
      </w:r>
    </w:p>
    <w:p w:rsidR="00CD7572" w:rsidRPr="00CD7572" w:rsidRDefault="0062660D" w:rsidP="00CD7572">
      <w:pPr>
        <w:spacing w:after="0"/>
        <w:ind w:left="720"/>
        <w:jc w:val="left"/>
      </w:pPr>
    </w:p>
    <w:p w:rsidR="00CD7572" w:rsidRPr="00CD7572" w:rsidRDefault="0062660D" w:rsidP="00CD7572">
      <w:pPr>
        <w:ind w:left="720"/>
        <w:jc w:val="left"/>
      </w:pPr>
      <w:r w:rsidRPr="00CD7572">
        <w:t>The values of the investment in private equity and infrastructure are based on valuations provided to the private equity and infrastructure funds in which Lancashire County Pension Fund has invested.  These valuations are prepared in accordance with</w:t>
      </w:r>
      <w:r w:rsidRPr="00CD7572">
        <w:t xml:space="preserve"> the International Private Equity and Venture Capital Valuation Guidelines or equivalent, which follow the valuation principles of IFRS and US GAAP.  Valuations are performed annually mainly, and at the end of December.  Cash flow adjustments are used to r</w:t>
      </w:r>
      <w:r w:rsidRPr="00CD7572">
        <w:t>oll forward the valuations to 31 March as appropriate.</w:t>
      </w:r>
    </w:p>
    <w:p w:rsidR="00CD7572" w:rsidRPr="00CD7572" w:rsidRDefault="0062660D" w:rsidP="00CD7572">
      <w:pPr>
        <w:spacing w:after="0"/>
        <w:ind w:left="720"/>
        <w:jc w:val="left"/>
      </w:pPr>
      <w:r w:rsidRPr="00CD7572">
        <w:t>The value of the overseas indirect property fund investment is based on valuations provided to the overseas indirect property fund in which Lancashire County Pension Fund has invested.  These valuation</w:t>
      </w:r>
      <w:r w:rsidRPr="00CD7572">
        <w:t>s are at the current open market value, as defined by the RICS Appraisal and Valuation Standards.  These valuations are performed monthly.</w:t>
      </w:r>
    </w:p>
    <w:p w:rsidR="00CD7572" w:rsidRPr="00CD7572" w:rsidRDefault="0062660D" w:rsidP="00CD7572">
      <w:pPr>
        <w:spacing w:after="0"/>
        <w:ind w:left="720"/>
        <w:jc w:val="left"/>
      </w:pPr>
    </w:p>
    <w:p w:rsidR="00CD7572" w:rsidRPr="00CD7572" w:rsidRDefault="0062660D" w:rsidP="00CD7572">
      <w:pPr>
        <w:ind w:left="720"/>
        <w:jc w:val="left"/>
        <w:sectPr w:rsidR="00CD7572" w:rsidRPr="00CD7572" w:rsidSect="0014184C">
          <w:pgSz w:w="11900" w:h="16840" w:code="9"/>
          <w:pgMar w:top="720" w:right="720" w:bottom="720" w:left="720" w:header="284" w:footer="284" w:gutter="0"/>
          <w:cols w:space="292"/>
          <w:docGrid w:linePitch="326"/>
        </w:sectPr>
      </w:pPr>
    </w:p>
    <w:p w:rsidR="00CD7572" w:rsidRPr="00CD7572" w:rsidRDefault="0062660D" w:rsidP="00CD7572">
      <w:pPr>
        <w:ind w:left="720"/>
      </w:pPr>
    </w:p>
    <w:p w:rsidR="00CD7572" w:rsidRPr="00CD7572" w:rsidRDefault="0062660D" w:rsidP="00CD7572">
      <w:pPr>
        <w:ind w:left="720"/>
        <w:jc w:val="left"/>
      </w:pPr>
      <w:r w:rsidRPr="00CD7572">
        <w:t xml:space="preserve">The following table provides an analysis of the financial assets and liabilities </w:t>
      </w:r>
      <w:r w:rsidRPr="00CD7572">
        <w:t>(excluding direct property and cash) of the Pension Fund grouped into level 1 to 3 based on the level of which the fair value is observable.  Loans and receivables are excluded from this table as they are held at amortised cost.</w:t>
      </w:r>
    </w:p>
    <w:p w:rsidR="00CD7572" w:rsidRPr="00CD7572" w:rsidRDefault="0062660D" w:rsidP="00CD7572">
      <w:pPr>
        <w:ind w:left="720"/>
      </w:pPr>
    </w:p>
    <w:tbl>
      <w:tblPr>
        <w:tblStyle w:val="TableGrid6"/>
        <w:tblW w:w="0" w:type="auto"/>
        <w:tblInd w:w="709"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8644"/>
        <w:gridCol w:w="1417"/>
        <w:gridCol w:w="1701"/>
        <w:gridCol w:w="1560"/>
        <w:gridCol w:w="1363"/>
      </w:tblGrid>
      <w:tr w:rsidR="006A2C17" w:rsidTr="00E245D6">
        <w:tc>
          <w:tcPr>
            <w:tcW w:w="8644"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rPr>
                <w:b/>
              </w:rPr>
            </w:pPr>
            <w:r w:rsidRPr="00CD7572">
              <w:rPr>
                <w:b/>
              </w:rPr>
              <w:t>31/03/16</w:t>
            </w:r>
          </w:p>
        </w:tc>
        <w:tc>
          <w:tcPr>
            <w:tcW w:w="1417"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Level 1</w:t>
            </w:r>
          </w:p>
        </w:tc>
        <w:tc>
          <w:tcPr>
            <w:tcW w:w="1701"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Level 2</w:t>
            </w:r>
          </w:p>
        </w:tc>
        <w:tc>
          <w:tcPr>
            <w:tcW w:w="1560"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L</w:t>
            </w:r>
            <w:r w:rsidRPr="00CD7572">
              <w:rPr>
                <w:b/>
              </w:rPr>
              <w:t>evel 3</w:t>
            </w:r>
          </w:p>
        </w:tc>
        <w:tc>
          <w:tcPr>
            <w:tcW w:w="1363"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Total</w:t>
            </w:r>
          </w:p>
        </w:tc>
      </w:tr>
      <w:tr w:rsidR="006A2C17" w:rsidTr="00E245D6">
        <w:tc>
          <w:tcPr>
            <w:tcW w:w="8644"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rPr>
                <w:b/>
              </w:rPr>
            </w:pPr>
          </w:p>
        </w:tc>
        <w:tc>
          <w:tcPr>
            <w:tcW w:w="1417"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1701"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1560"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1363"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r>
      <w:tr w:rsidR="006A2C17" w:rsidTr="00E245D6">
        <w:tc>
          <w:tcPr>
            <w:tcW w:w="8644"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rPr>
                <w:b/>
              </w:rPr>
            </w:pPr>
            <w:r w:rsidRPr="00CD7572">
              <w:rPr>
                <w:b/>
              </w:rPr>
              <w:t>Financial assets</w:t>
            </w:r>
          </w:p>
        </w:tc>
        <w:tc>
          <w:tcPr>
            <w:tcW w:w="1417"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pPr>
          </w:p>
        </w:tc>
        <w:tc>
          <w:tcPr>
            <w:tcW w:w="1701"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pPr>
          </w:p>
        </w:tc>
        <w:tc>
          <w:tcPr>
            <w:tcW w:w="1560"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pPr>
          </w:p>
        </w:tc>
        <w:tc>
          <w:tcPr>
            <w:tcW w:w="1363"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pPr>
          </w:p>
        </w:tc>
      </w:tr>
      <w:tr w:rsidR="006A2C17" w:rsidTr="00E245D6">
        <w:tc>
          <w:tcPr>
            <w:tcW w:w="8644" w:type="dxa"/>
          </w:tcPr>
          <w:p w:rsidR="00CD7572" w:rsidRPr="00CD7572" w:rsidRDefault="0062660D" w:rsidP="00CD7572">
            <w:pPr>
              <w:tabs>
                <w:tab w:val="left" w:pos="1080"/>
              </w:tabs>
              <w:spacing w:after="80"/>
            </w:pPr>
            <w:r w:rsidRPr="00CD7572">
              <w:t>Financial assets at fair value through profit and loss</w:t>
            </w:r>
          </w:p>
        </w:tc>
        <w:tc>
          <w:tcPr>
            <w:tcW w:w="1417" w:type="dxa"/>
          </w:tcPr>
          <w:p w:rsidR="00CD7572" w:rsidRPr="00CD7572" w:rsidRDefault="0062660D" w:rsidP="00CD7572">
            <w:pPr>
              <w:tabs>
                <w:tab w:val="left" w:pos="1080"/>
              </w:tabs>
              <w:spacing w:after="80"/>
              <w:jc w:val="right"/>
            </w:pPr>
            <w:r w:rsidRPr="00CD7572">
              <w:t>3,341.1</w:t>
            </w:r>
          </w:p>
        </w:tc>
        <w:tc>
          <w:tcPr>
            <w:tcW w:w="1701" w:type="dxa"/>
          </w:tcPr>
          <w:p w:rsidR="00CD7572" w:rsidRPr="00CD7572" w:rsidRDefault="0062660D" w:rsidP="00CD7572">
            <w:pPr>
              <w:tabs>
                <w:tab w:val="left" w:pos="1080"/>
              </w:tabs>
              <w:spacing w:after="80"/>
              <w:jc w:val="right"/>
            </w:pPr>
            <w:r w:rsidRPr="00CD7572">
              <w:t>245.6</w:t>
            </w:r>
          </w:p>
        </w:tc>
        <w:tc>
          <w:tcPr>
            <w:tcW w:w="1560" w:type="dxa"/>
          </w:tcPr>
          <w:p w:rsidR="00CD7572" w:rsidRPr="00CD7572" w:rsidRDefault="0062660D" w:rsidP="00CD7572">
            <w:pPr>
              <w:tabs>
                <w:tab w:val="left" w:pos="1080"/>
              </w:tabs>
              <w:spacing w:after="80"/>
              <w:jc w:val="right"/>
            </w:pPr>
            <w:r w:rsidRPr="00CD7572">
              <w:t>1913.2</w:t>
            </w:r>
          </w:p>
        </w:tc>
        <w:tc>
          <w:tcPr>
            <w:tcW w:w="1363" w:type="dxa"/>
          </w:tcPr>
          <w:p w:rsidR="00CD7572" w:rsidRPr="00CD7572" w:rsidRDefault="0062660D" w:rsidP="00CD7572">
            <w:pPr>
              <w:tabs>
                <w:tab w:val="left" w:pos="1080"/>
              </w:tabs>
              <w:spacing w:after="80"/>
              <w:jc w:val="right"/>
            </w:pPr>
            <w:r w:rsidRPr="00CD7572">
              <w:t>5,499.9</w:t>
            </w:r>
          </w:p>
        </w:tc>
      </w:tr>
      <w:tr w:rsidR="006A2C17" w:rsidTr="00E245D6">
        <w:tc>
          <w:tcPr>
            <w:tcW w:w="8644" w:type="dxa"/>
            <w:shd w:val="clear" w:color="auto" w:fill="C5E0B3" w:themeFill="accent6" w:themeFillTint="66"/>
          </w:tcPr>
          <w:p w:rsidR="00CD7572" w:rsidRPr="00CD7572" w:rsidRDefault="0062660D" w:rsidP="00CD7572">
            <w:pPr>
              <w:tabs>
                <w:tab w:val="left" w:pos="1080"/>
              </w:tabs>
              <w:spacing w:after="80"/>
              <w:rPr>
                <w:b/>
              </w:rPr>
            </w:pPr>
            <w:r w:rsidRPr="00CD7572">
              <w:rPr>
                <w:b/>
              </w:rPr>
              <w:t>Total financial assets</w:t>
            </w:r>
          </w:p>
        </w:tc>
        <w:tc>
          <w:tcPr>
            <w:tcW w:w="1417"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3,341.1</w:t>
            </w:r>
          </w:p>
        </w:tc>
        <w:tc>
          <w:tcPr>
            <w:tcW w:w="1701"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245.6</w:t>
            </w:r>
          </w:p>
        </w:tc>
        <w:tc>
          <w:tcPr>
            <w:tcW w:w="1560"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1,913.2</w:t>
            </w:r>
          </w:p>
        </w:tc>
        <w:tc>
          <w:tcPr>
            <w:tcW w:w="1363"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5,499.9</w:t>
            </w:r>
          </w:p>
        </w:tc>
      </w:tr>
      <w:tr w:rsidR="006A2C17" w:rsidTr="00E245D6">
        <w:tc>
          <w:tcPr>
            <w:tcW w:w="8644" w:type="dxa"/>
            <w:shd w:val="clear" w:color="auto" w:fill="E2EFD9" w:themeFill="accent6" w:themeFillTint="33"/>
          </w:tcPr>
          <w:p w:rsidR="00CD7572" w:rsidRPr="00CD7572" w:rsidRDefault="0062660D" w:rsidP="00CD7572">
            <w:pPr>
              <w:tabs>
                <w:tab w:val="left" w:pos="1080"/>
              </w:tabs>
              <w:spacing w:after="80"/>
              <w:rPr>
                <w:b/>
              </w:rPr>
            </w:pPr>
            <w:r w:rsidRPr="00CD7572">
              <w:rPr>
                <w:b/>
              </w:rPr>
              <w:t>Financial liabilities</w:t>
            </w:r>
          </w:p>
        </w:tc>
        <w:tc>
          <w:tcPr>
            <w:tcW w:w="1417" w:type="dxa"/>
            <w:shd w:val="clear" w:color="auto" w:fill="E2EFD9" w:themeFill="accent6" w:themeFillTint="33"/>
          </w:tcPr>
          <w:p w:rsidR="00CD7572" w:rsidRPr="00CD7572" w:rsidRDefault="0062660D" w:rsidP="00CD7572">
            <w:pPr>
              <w:tabs>
                <w:tab w:val="left" w:pos="1080"/>
              </w:tabs>
              <w:spacing w:after="80"/>
              <w:jc w:val="right"/>
            </w:pPr>
          </w:p>
        </w:tc>
        <w:tc>
          <w:tcPr>
            <w:tcW w:w="1701" w:type="dxa"/>
            <w:shd w:val="clear" w:color="auto" w:fill="E2EFD9" w:themeFill="accent6" w:themeFillTint="33"/>
          </w:tcPr>
          <w:p w:rsidR="00CD7572" w:rsidRPr="00CD7572" w:rsidRDefault="0062660D" w:rsidP="00CD7572">
            <w:pPr>
              <w:tabs>
                <w:tab w:val="left" w:pos="1080"/>
              </w:tabs>
              <w:spacing w:after="80"/>
              <w:jc w:val="right"/>
            </w:pPr>
          </w:p>
        </w:tc>
        <w:tc>
          <w:tcPr>
            <w:tcW w:w="1560" w:type="dxa"/>
            <w:shd w:val="clear" w:color="auto" w:fill="E2EFD9" w:themeFill="accent6" w:themeFillTint="33"/>
          </w:tcPr>
          <w:p w:rsidR="00CD7572" w:rsidRPr="00CD7572" w:rsidRDefault="0062660D" w:rsidP="00CD7572">
            <w:pPr>
              <w:tabs>
                <w:tab w:val="left" w:pos="1080"/>
              </w:tabs>
              <w:spacing w:after="80"/>
              <w:jc w:val="right"/>
            </w:pPr>
          </w:p>
        </w:tc>
        <w:tc>
          <w:tcPr>
            <w:tcW w:w="1363" w:type="dxa"/>
            <w:shd w:val="clear" w:color="auto" w:fill="E2EFD9" w:themeFill="accent6" w:themeFillTint="33"/>
          </w:tcPr>
          <w:p w:rsidR="00CD7572" w:rsidRPr="00CD7572" w:rsidRDefault="0062660D" w:rsidP="00CD7572">
            <w:pPr>
              <w:tabs>
                <w:tab w:val="left" w:pos="1080"/>
              </w:tabs>
              <w:spacing w:after="80"/>
              <w:jc w:val="right"/>
            </w:pPr>
          </w:p>
        </w:tc>
      </w:tr>
      <w:tr w:rsidR="006A2C17" w:rsidTr="00E245D6">
        <w:tc>
          <w:tcPr>
            <w:tcW w:w="8644" w:type="dxa"/>
          </w:tcPr>
          <w:p w:rsidR="00CD7572" w:rsidRPr="00CD7572" w:rsidRDefault="0062660D" w:rsidP="00CD7572">
            <w:pPr>
              <w:tabs>
                <w:tab w:val="left" w:pos="1080"/>
              </w:tabs>
              <w:spacing w:after="80"/>
            </w:pPr>
            <w:r w:rsidRPr="00CD7572">
              <w:t xml:space="preserve">Financial liabilities at fair value </w:t>
            </w:r>
            <w:r w:rsidRPr="00CD7572">
              <w:t>through profit and loss</w:t>
            </w:r>
          </w:p>
        </w:tc>
        <w:tc>
          <w:tcPr>
            <w:tcW w:w="1417" w:type="dxa"/>
          </w:tcPr>
          <w:p w:rsidR="00CD7572" w:rsidRPr="00CD7572" w:rsidRDefault="0062660D" w:rsidP="00CD7572">
            <w:pPr>
              <w:tabs>
                <w:tab w:val="left" w:pos="1080"/>
              </w:tabs>
              <w:spacing w:after="80"/>
              <w:jc w:val="right"/>
            </w:pPr>
            <w:r w:rsidRPr="00CD7572">
              <w:t>291.0</w:t>
            </w:r>
          </w:p>
        </w:tc>
        <w:tc>
          <w:tcPr>
            <w:tcW w:w="1701" w:type="dxa"/>
          </w:tcPr>
          <w:p w:rsidR="00CD7572" w:rsidRPr="00CD7572" w:rsidRDefault="0062660D" w:rsidP="00CD7572">
            <w:pPr>
              <w:tabs>
                <w:tab w:val="left" w:pos="1080"/>
              </w:tabs>
              <w:spacing w:after="80"/>
              <w:jc w:val="right"/>
            </w:pPr>
            <w:r w:rsidRPr="00CD7572">
              <w:t>-</w:t>
            </w:r>
          </w:p>
        </w:tc>
        <w:tc>
          <w:tcPr>
            <w:tcW w:w="1560" w:type="dxa"/>
          </w:tcPr>
          <w:p w:rsidR="00CD7572" w:rsidRPr="00CD7572" w:rsidRDefault="0062660D" w:rsidP="00CD7572">
            <w:pPr>
              <w:tabs>
                <w:tab w:val="left" w:pos="1080"/>
              </w:tabs>
              <w:spacing w:after="80"/>
              <w:jc w:val="right"/>
            </w:pPr>
            <w:r w:rsidRPr="00CD7572">
              <w:t>-</w:t>
            </w:r>
          </w:p>
        </w:tc>
        <w:tc>
          <w:tcPr>
            <w:tcW w:w="1363" w:type="dxa"/>
          </w:tcPr>
          <w:p w:rsidR="00CD7572" w:rsidRPr="00CD7572" w:rsidRDefault="0062660D" w:rsidP="00CD7572">
            <w:pPr>
              <w:tabs>
                <w:tab w:val="left" w:pos="1080"/>
              </w:tabs>
              <w:spacing w:after="80"/>
              <w:jc w:val="right"/>
            </w:pPr>
            <w:r w:rsidRPr="00CD7572">
              <w:t>291.0</w:t>
            </w:r>
          </w:p>
        </w:tc>
      </w:tr>
      <w:tr w:rsidR="006A2C17" w:rsidTr="00E245D6">
        <w:tc>
          <w:tcPr>
            <w:tcW w:w="8644" w:type="dxa"/>
            <w:shd w:val="clear" w:color="auto" w:fill="C5E0B3" w:themeFill="accent6" w:themeFillTint="66"/>
          </w:tcPr>
          <w:p w:rsidR="00CD7572" w:rsidRPr="00CD7572" w:rsidRDefault="0062660D" w:rsidP="00CD7572">
            <w:pPr>
              <w:tabs>
                <w:tab w:val="left" w:pos="1080"/>
              </w:tabs>
              <w:spacing w:after="80"/>
              <w:rPr>
                <w:b/>
              </w:rPr>
            </w:pPr>
            <w:r w:rsidRPr="00CD7572">
              <w:rPr>
                <w:b/>
              </w:rPr>
              <w:t>Total financial liabilities</w:t>
            </w:r>
          </w:p>
        </w:tc>
        <w:tc>
          <w:tcPr>
            <w:tcW w:w="1417"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291.0</w:t>
            </w:r>
          </w:p>
        </w:tc>
        <w:tc>
          <w:tcPr>
            <w:tcW w:w="1701"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w:t>
            </w:r>
          </w:p>
        </w:tc>
        <w:tc>
          <w:tcPr>
            <w:tcW w:w="1560"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w:t>
            </w:r>
          </w:p>
        </w:tc>
        <w:tc>
          <w:tcPr>
            <w:tcW w:w="1363"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291.0</w:t>
            </w:r>
          </w:p>
        </w:tc>
      </w:tr>
    </w:tbl>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tbl>
      <w:tblPr>
        <w:tblStyle w:val="TableGrid6"/>
        <w:tblW w:w="0" w:type="auto"/>
        <w:tblInd w:w="709"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8219"/>
        <w:gridCol w:w="1842"/>
        <w:gridCol w:w="1701"/>
        <w:gridCol w:w="1560"/>
        <w:gridCol w:w="1363"/>
      </w:tblGrid>
      <w:tr w:rsidR="006A2C17" w:rsidTr="00E245D6">
        <w:tc>
          <w:tcPr>
            <w:tcW w:w="8219"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rPr>
                <w:b/>
              </w:rPr>
            </w:pPr>
            <w:r w:rsidRPr="00CD7572">
              <w:rPr>
                <w:b/>
              </w:rPr>
              <w:t>31/03/15</w:t>
            </w:r>
          </w:p>
        </w:tc>
        <w:tc>
          <w:tcPr>
            <w:tcW w:w="1842"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Level 1</w:t>
            </w:r>
          </w:p>
        </w:tc>
        <w:tc>
          <w:tcPr>
            <w:tcW w:w="1701"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Level 2</w:t>
            </w:r>
          </w:p>
        </w:tc>
        <w:tc>
          <w:tcPr>
            <w:tcW w:w="1560"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Level 3</w:t>
            </w:r>
          </w:p>
        </w:tc>
        <w:tc>
          <w:tcPr>
            <w:tcW w:w="1363"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Total</w:t>
            </w:r>
          </w:p>
        </w:tc>
      </w:tr>
      <w:tr w:rsidR="006A2C17" w:rsidTr="00E245D6">
        <w:tc>
          <w:tcPr>
            <w:tcW w:w="8219"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rPr>
                <w:b/>
              </w:rPr>
            </w:pPr>
          </w:p>
        </w:tc>
        <w:tc>
          <w:tcPr>
            <w:tcW w:w="1842"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1701"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1560"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1363"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r>
      <w:tr w:rsidR="006A2C17" w:rsidTr="00E245D6">
        <w:tc>
          <w:tcPr>
            <w:tcW w:w="8219"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rPr>
                <w:b/>
              </w:rPr>
            </w:pPr>
            <w:r w:rsidRPr="00CD7572">
              <w:rPr>
                <w:b/>
              </w:rPr>
              <w:t>Financial assets</w:t>
            </w:r>
          </w:p>
        </w:tc>
        <w:tc>
          <w:tcPr>
            <w:tcW w:w="1842"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pPr>
          </w:p>
        </w:tc>
        <w:tc>
          <w:tcPr>
            <w:tcW w:w="1701"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pPr>
          </w:p>
        </w:tc>
        <w:tc>
          <w:tcPr>
            <w:tcW w:w="1560"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pPr>
          </w:p>
        </w:tc>
        <w:tc>
          <w:tcPr>
            <w:tcW w:w="1363"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pPr>
          </w:p>
        </w:tc>
      </w:tr>
      <w:tr w:rsidR="006A2C17" w:rsidTr="00E245D6">
        <w:tc>
          <w:tcPr>
            <w:tcW w:w="8219" w:type="dxa"/>
          </w:tcPr>
          <w:p w:rsidR="00CD7572" w:rsidRPr="00CD7572" w:rsidRDefault="0062660D" w:rsidP="00CD7572">
            <w:pPr>
              <w:tabs>
                <w:tab w:val="left" w:pos="1080"/>
              </w:tabs>
              <w:spacing w:after="80"/>
            </w:pPr>
            <w:r w:rsidRPr="00CD7572">
              <w:t>Financial assets at fair value through profit and loss</w:t>
            </w:r>
          </w:p>
        </w:tc>
        <w:tc>
          <w:tcPr>
            <w:tcW w:w="1842" w:type="dxa"/>
          </w:tcPr>
          <w:p w:rsidR="00CD7572" w:rsidRPr="00CD7572" w:rsidRDefault="0062660D" w:rsidP="00CD7572">
            <w:pPr>
              <w:tabs>
                <w:tab w:val="left" w:pos="1080"/>
              </w:tabs>
              <w:spacing w:after="80"/>
              <w:jc w:val="right"/>
            </w:pPr>
            <w:r w:rsidRPr="00CD7572">
              <w:t>4,047.9</w:t>
            </w:r>
          </w:p>
        </w:tc>
        <w:tc>
          <w:tcPr>
            <w:tcW w:w="1701" w:type="dxa"/>
          </w:tcPr>
          <w:p w:rsidR="00CD7572" w:rsidRPr="00CD7572" w:rsidRDefault="0062660D" w:rsidP="00CD7572">
            <w:pPr>
              <w:tabs>
                <w:tab w:val="left" w:pos="1080"/>
              </w:tabs>
              <w:spacing w:after="80"/>
              <w:jc w:val="right"/>
            </w:pPr>
            <w:r w:rsidRPr="00CD7572">
              <w:t>368.8</w:t>
            </w:r>
          </w:p>
        </w:tc>
        <w:tc>
          <w:tcPr>
            <w:tcW w:w="1560" w:type="dxa"/>
          </w:tcPr>
          <w:p w:rsidR="00CD7572" w:rsidRPr="00CD7572" w:rsidRDefault="0062660D" w:rsidP="00CD7572">
            <w:pPr>
              <w:tabs>
                <w:tab w:val="left" w:pos="1080"/>
              </w:tabs>
              <w:spacing w:after="80"/>
              <w:jc w:val="right"/>
            </w:pPr>
            <w:r w:rsidRPr="00CD7572">
              <w:t>1,420.5</w:t>
            </w:r>
          </w:p>
        </w:tc>
        <w:tc>
          <w:tcPr>
            <w:tcW w:w="1363" w:type="dxa"/>
          </w:tcPr>
          <w:p w:rsidR="00CD7572" w:rsidRPr="00CD7572" w:rsidRDefault="0062660D" w:rsidP="00CD7572">
            <w:pPr>
              <w:tabs>
                <w:tab w:val="left" w:pos="1080"/>
              </w:tabs>
              <w:spacing w:after="80"/>
              <w:jc w:val="right"/>
            </w:pPr>
            <w:r w:rsidRPr="00CD7572">
              <w:t>5,837.2</w:t>
            </w:r>
          </w:p>
        </w:tc>
      </w:tr>
      <w:tr w:rsidR="006A2C17" w:rsidTr="00E245D6">
        <w:tc>
          <w:tcPr>
            <w:tcW w:w="8219" w:type="dxa"/>
            <w:shd w:val="clear" w:color="auto" w:fill="C5E0B3" w:themeFill="accent6" w:themeFillTint="66"/>
          </w:tcPr>
          <w:p w:rsidR="00CD7572" w:rsidRPr="00CD7572" w:rsidRDefault="0062660D" w:rsidP="00CD7572">
            <w:pPr>
              <w:tabs>
                <w:tab w:val="left" w:pos="1080"/>
              </w:tabs>
              <w:spacing w:after="80"/>
              <w:rPr>
                <w:b/>
              </w:rPr>
            </w:pPr>
            <w:r w:rsidRPr="00CD7572">
              <w:rPr>
                <w:b/>
              </w:rPr>
              <w:t xml:space="preserve">Total </w:t>
            </w:r>
            <w:r w:rsidRPr="00CD7572">
              <w:rPr>
                <w:b/>
              </w:rPr>
              <w:t>financial assets</w:t>
            </w:r>
          </w:p>
        </w:tc>
        <w:tc>
          <w:tcPr>
            <w:tcW w:w="1842"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4,047.9</w:t>
            </w:r>
          </w:p>
        </w:tc>
        <w:tc>
          <w:tcPr>
            <w:tcW w:w="1701"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368.8</w:t>
            </w:r>
          </w:p>
        </w:tc>
        <w:tc>
          <w:tcPr>
            <w:tcW w:w="1560"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1,420.5</w:t>
            </w:r>
          </w:p>
        </w:tc>
        <w:tc>
          <w:tcPr>
            <w:tcW w:w="1363"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5,837.2</w:t>
            </w:r>
          </w:p>
        </w:tc>
      </w:tr>
      <w:tr w:rsidR="006A2C17" w:rsidTr="00E245D6">
        <w:tc>
          <w:tcPr>
            <w:tcW w:w="8219" w:type="dxa"/>
            <w:shd w:val="clear" w:color="auto" w:fill="E2EFD9" w:themeFill="accent6" w:themeFillTint="33"/>
          </w:tcPr>
          <w:p w:rsidR="00CD7572" w:rsidRPr="00CD7572" w:rsidRDefault="0062660D" w:rsidP="00CD7572">
            <w:pPr>
              <w:tabs>
                <w:tab w:val="left" w:pos="1080"/>
              </w:tabs>
              <w:spacing w:after="80"/>
              <w:rPr>
                <w:b/>
              </w:rPr>
            </w:pPr>
            <w:r w:rsidRPr="00CD7572">
              <w:rPr>
                <w:b/>
              </w:rPr>
              <w:t>Financial liabilities</w:t>
            </w:r>
          </w:p>
        </w:tc>
        <w:tc>
          <w:tcPr>
            <w:tcW w:w="1842" w:type="dxa"/>
            <w:shd w:val="clear" w:color="auto" w:fill="E2EFD9" w:themeFill="accent6" w:themeFillTint="33"/>
          </w:tcPr>
          <w:p w:rsidR="00CD7572" w:rsidRPr="00CD7572" w:rsidRDefault="0062660D" w:rsidP="00CD7572">
            <w:pPr>
              <w:tabs>
                <w:tab w:val="left" w:pos="1080"/>
              </w:tabs>
              <w:spacing w:after="80"/>
              <w:jc w:val="right"/>
            </w:pPr>
          </w:p>
        </w:tc>
        <w:tc>
          <w:tcPr>
            <w:tcW w:w="1701" w:type="dxa"/>
            <w:shd w:val="clear" w:color="auto" w:fill="E2EFD9" w:themeFill="accent6" w:themeFillTint="33"/>
          </w:tcPr>
          <w:p w:rsidR="00CD7572" w:rsidRPr="00CD7572" w:rsidRDefault="0062660D" w:rsidP="00CD7572">
            <w:pPr>
              <w:tabs>
                <w:tab w:val="left" w:pos="1080"/>
              </w:tabs>
              <w:spacing w:after="80"/>
              <w:jc w:val="right"/>
            </w:pPr>
          </w:p>
        </w:tc>
        <w:tc>
          <w:tcPr>
            <w:tcW w:w="1560" w:type="dxa"/>
            <w:shd w:val="clear" w:color="auto" w:fill="E2EFD9" w:themeFill="accent6" w:themeFillTint="33"/>
          </w:tcPr>
          <w:p w:rsidR="00CD7572" w:rsidRPr="00CD7572" w:rsidRDefault="0062660D" w:rsidP="00CD7572">
            <w:pPr>
              <w:tabs>
                <w:tab w:val="left" w:pos="1080"/>
              </w:tabs>
              <w:spacing w:after="80"/>
              <w:jc w:val="right"/>
            </w:pPr>
          </w:p>
        </w:tc>
        <w:tc>
          <w:tcPr>
            <w:tcW w:w="1363" w:type="dxa"/>
            <w:shd w:val="clear" w:color="auto" w:fill="E2EFD9" w:themeFill="accent6" w:themeFillTint="33"/>
          </w:tcPr>
          <w:p w:rsidR="00CD7572" w:rsidRPr="00CD7572" w:rsidRDefault="0062660D" w:rsidP="00CD7572">
            <w:pPr>
              <w:tabs>
                <w:tab w:val="left" w:pos="1080"/>
              </w:tabs>
              <w:spacing w:after="80"/>
              <w:jc w:val="right"/>
            </w:pPr>
          </w:p>
        </w:tc>
      </w:tr>
      <w:tr w:rsidR="006A2C17" w:rsidTr="00E245D6">
        <w:tc>
          <w:tcPr>
            <w:tcW w:w="8219" w:type="dxa"/>
          </w:tcPr>
          <w:p w:rsidR="00CD7572" w:rsidRPr="00CD7572" w:rsidRDefault="0062660D" w:rsidP="00CD7572">
            <w:pPr>
              <w:tabs>
                <w:tab w:val="left" w:pos="1080"/>
              </w:tabs>
              <w:spacing w:after="80"/>
            </w:pPr>
            <w:r w:rsidRPr="00CD7572">
              <w:t>Financial liabilities at fair value through profit and loss</w:t>
            </w:r>
          </w:p>
        </w:tc>
        <w:tc>
          <w:tcPr>
            <w:tcW w:w="1842" w:type="dxa"/>
          </w:tcPr>
          <w:p w:rsidR="00CD7572" w:rsidRPr="00CD7572" w:rsidRDefault="0062660D" w:rsidP="00CD7572">
            <w:pPr>
              <w:tabs>
                <w:tab w:val="left" w:pos="1080"/>
              </w:tabs>
              <w:spacing w:after="80"/>
              <w:jc w:val="right"/>
            </w:pPr>
            <w:r w:rsidRPr="00CD7572">
              <w:t>629.6</w:t>
            </w:r>
          </w:p>
        </w:tc>
        <w:tc>
          <w:tcPr>
            <w:tcW w:w="1701" w:type="dxa"/>
          </w:tcPr>
          <w:p w:rsidR="00CD7572" w:rsidRPr="00CD7572" w:rsidRDefault="0062660D" w:rsidP="00CD7572">
            <w:pPr>
              <w:tabs>
                <w:tab w:val="left" w:pos="1080"/>
              </w:tabs>
              <w:spacing w:after="80"/>
              <w:jc w:val="right"/>
            </w:pPr>
            <w:r w:rsidRPr="00CD7572">
              <w:t>-</w:t>
            </w:r>
          </w:p>
        </w:tc>
        <w:tc>
          <w:tcPr>
            <w:tcW w:w="1560" w:type="dxa"/>
          </w:tcPr>
          <w:p w:rsidR="00CD7572" w:rsidRPr="00CD7572" w:rsidRDefault="0062660D" w:rsidP="00CD7572">
            <w:pPr>
              <w:tabs>
                <w:tab w:val="left" w:pos="1080"/>
              </w:tabs>
              <w:spacing w:after="80"/>
              <w:jc w:val="right"/>
            </w:pPr>
            <w:r w:rsidRPr="00CD7572">
              <w:t>-</w:t>
            </w:r>
          </w:p>
        </w:tc>
        <w:tc>
          <w:tcPr>
            <w:tcW w:w="1363" w:type="dxa"/>
          </w:tcPr>
          <w:p w:rsidR="00CD7572" w:rsidRPr="00CD7572" w:rsidRDefault="0062660D" w:rsidP="00CD7572">
            <w:pPr>
              <w:tabs>
                <w:tab w:val="left" w:pos="1080"/>
              </w:tabs>
              <w:spacing w:after="80"/>
              <w:jc w:val="right"/>
            </w:pPr>
            <w:r w:rsidRPr="00CD7572">
              <w:t>629.6</w:t>
            </w:r>
          </w:p>
        </w:tc>
      </w:tr>
      <w:tr w:rsidR="006A2C17" w:rsidTr="00E245D6">
        <w:tc>
          <w:tcPr>
            <w:tcW w:w="8219" w:type="dxa"/>
            <w:shd w:val="clear" w:color="auto" w:fill="C5E0B3" w:themeFill="accent6" w:themeFillTint="66"/>
          </w:tcPr>
          <w:p w:rsidR="00CD7572" w:rsidRPr="00CD7572" w:rsidRDefault="0062660D" w:rsidP="00CD7572">
            <w:pPr>
              <w:tabs>
                <w:tab w:val="left" w:pos="1080"/>
              </w:tabs>
              <w:spacing w:after="80"/>
              <w:rPr>
                <w:b/>
              </w:rPr>
            </w:pPr>
            <w:r w:rsidRPr="00CD7572">
              <w:rPr>
                <w:b/>
              </w:rPr>
              <w:t>Total financial liabilities</w:t>
            </w:r>
          </w:p>
        </w:tc>
        <w:tc>
          <w:tcPr>
            <w:tcW w:w="1842"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629.6</w:t>
            </w:r>
          </w:p>
        </w:tc>
        <w:tc>
          <w:tcPr>
            <w:tcW w:w="1701"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w:t>
            </w:r>
          </w:p>
        </w:tc>
        <w:tc>
          <w:tcPr>
            <w:tcW w:w="1560"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w:t>
            </w:r>
          </w:p>
        </w:tc>
        <w:tc>
          <w:tcPr>
            <w:tcW w:w="1363"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629.6</w:t>
            </w:r>
          </w:p>
        </w:tc>
      </w:tr>
    </w:tbl>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sectPr w:rsidR="00CD7572" w:rsidRPr="00CD7572" w:rsidSect="003504ED">
          <w:pgSz w:w="16840" w:h="11900" w:orient="landscape" w:code="9"/>
          <w:pgMar w:top="720" w:right="720" w:bottom="720" w:left="720" w:header="284" w:footer="284" w:gutter="0"/>
          <w:cols w:space="292"/>
          <w:docGrid w:linePitch="326"/>
        </w:sectPr>
      </w:pPr>
    </w:p>
    <w:p w:rsidR="00CD7572" w:rsidRPr="00CD7572" w:rsidRDefault="0062660D" w:rsidP="00CD7572">
      <w:pPr>
        <w:tabs>
          <w:tab w:val="left" w:pos="1080"/>
        </w:tabs>
        <w:spacing w:after="80"/>
        <w:ind w:left="709"/>
      </w:pPr>
    </w:p>
    <w:p w:rsidR="00CD7572" w:rsidRPr="00CD7572" w:rsidRDefault="0062660D" w:rsidP="00CD7572">
      <w:pPr>
        <w:numPr>
          <w:ilvl w:val="0"/>
          <w:numId w:val="9"/>
        </w:numPr>
        <w:autoSpaceDE/>
        <w:autoSpaceDN/>
        <w:adjustRightInd/>
        <w:jc w:val="left"/>
        <w:rPr>
          <w:b/>
          <w:sz w:val="32"/>
          <w:szCs w:val="32"/>
        </w:rPr>
      </w:pPr>
      <w:r w:rsidRPr="00CD7572">
        <w:rPr>
          <w:b/>
          <w:sz w:val="32"/>
          <w:szCs w:val="32"/>
        </w:rPr>
        <w:t xml:space="preserve">Nature and extent of </w:t>
      </w:r>
      <w:r w:rsidRPr="00CD7572">
        <w:rPr>
          <w:b/>
          <w:sz w:val="32"/>
          <w:szCs w:val="32"/>
        </w:rPr>
        <w:t>risks arising from financial instruments</w:t>
      </w:r>
    </w:p>
    <w:p w:rsidR="00CD7572" w:rsidRPr="00CD7572" w:rsidRDefault="0062660D" w:rsidP="00CD7572">
      <w:pPr>
        <w:ind w:firstLine="720"/>
      </w:pPr>
    </w:p>
    <w:p w:rsidR="00CD7572" w:rsidRPr="00CD7572" w:rsidRDefault="0062660D" w:rsidP="00CD7572">
      <w:pPr>
        <w:spacing w:after="0"/>
        <w:ind w:firstLine="720"/>
        <w:jc w:val="left"/>
        <w:rPr>
          <w:b/>
        </w:rPr>
      </w:pPr>
      <w:r w:rsidRPr="00CD7572">
        <w:rPr>
          <w:b/>
        </w:rPr>
        <w:t xml:space="preserve">18.1 Risk and risk management </w:t>
      </w:r>
    </w:p>
    <w:p w:rsidR="00CD7572" w:rsidRPr="00CD7572" w:rsidRDefault="0062660D" w:rsidP="00CD7572">
      <w:pPr>
        <w:ind w:left="720"/>
        <w:jc w:val="left"/>
      </w:pPr>
      <w:r w:rsidRPr="00CD7572">
        <w:t>The Fund's primary long-term risk is that the Fund's assets will fall short of its liabilities (i.e. promised benefits payable to members).  The aim of investment risk management is to balance the minimisation of the risk of an overall reduction in the val</w:t>
      </w:r>
      <w:r w:rsidRPr="00CD7572">
        <w:t xml:space="preserve">ue of the Fund with maximising the opportunity for gains across the whole Fund portfolio.  The Fund achieves this through asset diversification to reduce exposure to market risk (price risk, currency risk and interest rate risk) and keep credit risk to an </w:t>
      </w:r>
      <w:r w:rsidRPr="00CD7572">
        <w:t xml:space="preserve">acceptable level.  In addition, the Fund manages its liquidity risk to ensure there is sufficient liquidity to meet the Fund's forecast cash flow.  </w:t>
      </w:r>
    </w:p>
    <w:p w:rsidR="00CD7572" w:rsidRPr="00CD7572" w:rsidRDefault="0062660D" w:rsidP="00CD7572">
      <w:pPr>
        <w:spacing w:after="0"/>
        <w:ind w:left="720"/>
        <w:jc w:val="left"/>
      </w:pPr>
      <w:r w:rsidRPr="00CD7572">
        <w:t>Responsibility for the Fund's risk management strategy rests with the Pension Fund Committee.  Risk managem</w:t>
      </w:r>
      <w:r w:rsidRPr="00CD7572">
        <w:t>ent policies are established to identify and analyse the risks faced by the Fund's operations.  Policies are reviewed regularly to reflect change in activity and in market conditions.</w:t>
      </w:r>
    </w:p>
    <w:p w:rsidR="00CD7572" w:rsidRPr="00CD7572" w:rsidRDefault="0062660D" w:rsidP="00CD7572">
      <w:pPr>
        <w:tabs>
          <w:tab w:val="left" w:pos="1080"/>
        </w:tabs>
        <w:spacing w:after="0"/>
        <w:ind w:left="709"/>
        <w:jc w:val="left"/>
      </w:pPr>
    </w:p>
    <w:p w:rsidR="00CD7572" w:rsidRPr="00CD7572" w:rsidRDefault="0062660D" w:rsidP="00CD7572">
      <w:pPr>
        <w:spacing w:after="0"/>
        <w:ind w:firstLine="709"/>
        <w:jc w:val="left"/>
      </w:pPr>
      <w:r w:rsidRPr="00CD7572">
        <w:rPr>
          <w:b/>
        </w:rPr>
        <w:t xml:space="preserve">18.2 Market risk </w:t>
      </w:r>
    </w:p>
    <w:p w:rsidR="00CD7572" w:rsidRPr="00CD7572" w:rsidRDefault="0062660D" w:rsidP="00CD7572">
      <w:pPr>
        <w:spacing w:after="0"/>
        <w:ind w:left="709"/>
        <w:jc w:val="left"/>
      </w:pPr>
      <w:r w:rsidRPr="00CD7572">
        <w:t>Market risk is risk of loss from fluctuations in equi</w:t>
      </w:r>
      <w:r w:rsidRPr="00CD7572">
        <w:t xml:space="preserve">ty and commodity prices, interest and foreign exchange rates and credit spreads.  The Fund is exposed to market risk from its investment activities, particularly through its equity holdings.  </w:t>
      </w:r>
    </w:p>
    <w:p w:rsidR="00CD7572" w:rsidRPr="00CD7572" w:rsidRDefault="0062660D" w:rsidP="00CD7572">
      <w:pPr>
        <w:spacing w:after="0"/>
        <w:ind w:left="709"/>
        <w:jc w:val="left"/>
      </w:pPr>
    </w:p>
    <w:p w:rsidR="00CD7572" w:rsidRPr="00CD7572" w:rsidRDefault="0062660D" w:rsidP="00CD7572">
      <w:pPr>
        <w:spacing w:after="0"/>
        <w:ind w:left="709"/>
        <w:jc w:val="left"/>
      </w:pPr>
      <w:r w:rsidRPr="00CD7572">
        <w:t>The objective of the Fund's risk management strategy is to ide</w:t>
      </w:r>
      <w:r w:rsidRPr="00CD7572">
        <w:t>ntify, manage and keep market risk exposure within acceptable parameters, whilst optimising the return on risk.</w:t>
      </w:r>
    </w:p>
    <w:p w:rsidR="00CD7572" w:rsidRPr="00CD7572" w:rsidRDefault="0062660D" w:rsidP="00CD7572">
      <w:pPr>
        <w:spacing w:after="0"/>
        <w:ind w:left="709"/>
        <w:jc w:val="left"/>
      </w:pPr>
    </w:p>
    <w:p w:rsidR="00CD7572" w:rsidRPr="00CD7572" w:rsidRDefault="0062660D" w:rsidP="00CD7572">
      <w:pPr>
        <w:spacing w:after="0"/>
        <w:ind w:left="709"/>
        <w:jc w:val="left"/>
      </w:pPr>
      <w:r w:rsidRPr="00CD7572">
        <w:t>In general, excessive volatility in market risk is managed through the diversification of the portfolio in terms of geographical and industry s</w:t>
      </w:r>
      <w:r w:rsidRPr="00CD7572">
        <w:t xml:space="preserve">ectors and individual securities.  To mitigate market risk, the Fund and its investment advisors undertake appropriate monitoring of market conditions and benchmarking analysis. </w:t>
      </w:r>
    </w:p>
    <w:p w:rsidR="00CD7572" w:rsidRPr="00CD7572" w:rsidRDefault="0062660D" w:rsidP="00CD7572">
      <w:pPr>
        <w:spacing w:after="0"/>
        <w:ind w:left="720"/>
        <w:jc w:val="left"/>
        <w:rPr>
          <w:b/>
        </w:rPr>
      </w:pPr>
    </w:p>
    <w:p w:rsidR="00CD7572" w:rsidRPr="00CD7572" w:rsidRDefault="0062660D" w:rsidP="00CD7572">
      <w:pPr>
        <w:spacing w:after="0"/>
        <w:ind w:left="720"/>
        <w:jc w:val="left"/>
      </w:pPr>
      <w:r w:rsidRPr="00CD7572">
        <w:rPr>
          <w:b/>
        </w:rPr>
        <w:t xml:space="preserve">18.3 Other price risk </w:t>
      </w:r>
      <w:r w:rsidRPr="00CD7572">
        <w:t xml:space="preserve"> </w:t>
      </w:r>
    </w:p>
    <w:p w:rsidR="00CD7572" w:rsidRPr="00CD7572" w:rsidRDefault="0062660D" w:rsidP="00CD7572">
      <w:pPr>
        <w:spacing w:after="0"/>
        <w:ind w:left="720"/>
        <w:jc w:val="left"/>
      </w:pPr>
      <w:r w:rsidRPr="00CD7572">
        <w:t xml:space="preserve">Other price risk represents the risk that the value </w:t>
      </w:r>
      <w:r w:rsidRPr="00CD7572">
        <w:t>of a financial instrument will fluctuate as a result of changes in market prices (other than those arising from interest rate risk or foreign exchange risk), whether those changes are caused by factors specific to the individual instrument or its issuer or</w:t>
      </w:r>
      <w:r w:rsidRPr="00CD7572">
        <w:t xml:space="preserve"> factors affecting all such instruments in the market.     </w:t>
      </w:r>
    </w:p>
    <w:p w:rsidR="00CD7572" w:rsidRPr="00CD7572" w:rsidRDefault="0062660D" w:rsidP="00CD7572">
      <w:pPr>
        <w:spacing w:after="0"/>
        <w:ind w:left="720"/>
        <w:jc w:val="left"/>
      </w:pPr>
    </w:p>
    <w:p w:rsidR="00CD7572" w:rsidRPr="00CD7572" w:rsidRDefault="0062660D" w:rsidP="00CD7572">
      <w:pPr>
        <w:spacing w:after="0"/>
        <w:ind w:left="720"/>
        <w:jc w:val="left"/>
      </w:pPr>
      <w:r w:rsidRPr="00CD7572">
        <w:t>The Fund is exposed to share and derivatives price risk.  This arises from investments held by the Fund for which the future price is uncertain.  All securities investments present a risk of loss</w:t>
      </w:r>
      <w:r w:rsidRPr="00CD7572">
        <w:t xml:space="preserve"> of capital.  Except for shares sold short, the maximum risk resulting from financial instruments is determined by the fair value of the financial instruments.  Possible losses from shares sold short is unlimited. </w:t>
      </w:r>
    </w:p>
    <w:p w:rsidR="00CD7572" w:rsidRPr="00CD7572" w:rsidRDefault="0062660D" w:rsidP="00CD7572">
      <w:pPr>
        <w:spacing w:after="0"/>
        <w:ind w:left="720"/>
        <w:jc w:val="left"/>
      </w:pPr>
    </w:p>
    <w:p w:rsidR="00CD7572" w:rsidRPr="00CD7572" w:rsidRDefault="0062660D" w:rsidP="00CD7572">
      <w:pPr>
        <w:spacing w:after="0"/>
        <w:ind w:left="720"/>
        <w:jc w:val="left"/>
      </w:pPr>
      <w:r w:rsidRPr="00CD7572">
        <w:t xml:space="preserve">The Fund's investment managers mitigate </w:t>
      </w:r>
      <w:r w:rsidRPr="00CD7572">
        <w:t>this price risk through diversification.  The selection of securities and other financial instruments is monitored by the Fund to ensure it is within limits specified in the fund investment strategy.</w:t>
      </w:r>
    </w:p>
    <w:p w:rsidR="00CD7572" w:rsidRPr="00CD7572" w:rsidRDefault="0062660D" w:rsidP="00CD7572">
      <w:pPr>
        <w:spacing w:after="0"/>
        <w:ind w:left="720"/>
        <w:jc w:val="left"/>
      </w:pPr>
      <w:r w:rsidRPr="00CD7572">
        <w:t xml:space="preserve"> </w:t>
      </w:r>
    </w:p>
    <w:p w:rsidR="00CD7572" w:rsidRPr="00CD7572" w:rsidRDefault="0062660D" w:rsidP="00CD7572">
      <w:pPr>
        <w:spacing w:after="0"/>
        <w:ind w:left="720"/>
        <w:jc w:val="left"/>
        <w:rPr>
          <w:b/>
        </w:rPr>
      </w:pPr>
      <w:r w:rsidRPr="00CD7572">
        <w:rPr>
          <w:b/>
        </w:rPr>
        <w:t>18.3.1 Other price risk – sensitivity analysis</w:t>
      </w:r>
    </w:p>
    <w:p w:rsidR="00CD7572" w:rsidRPr="00CD7572" w:rsidRDefault="0062660D" w:rsidP="00CD7572">
      <w:pPr>
        <w:spacing w:after="0"/>
        <w:ind w:left="720"/>
        <w:jc w:val="left"/>
      </w:pPr>
      <w:r w:rsidRPr="00CD7572">
        <w:t>Following analysis of historical data and expected investment return movement during the financial year, in consultation with the Fund's investment advisors, the Fund has determined that the following movements in market price risks are reasonably possible</w:t>
      </w:r>
      <w:r w:rsidRPr="00CD7572">
        <w:t xml:space="preserve"> for the 2015/16 reporting period. </w:t>
      </w: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tbl>
      <w:tblPr>
        <w:tblStyle w:val="TableGrid6"/>
        <w:tblW w:w="0" w:type="auto"/>
        <w:tblInd w:w="709"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5951"/>
        <w:gridCol w:w="3402"/>
      </w:tblGrid>
      <w:tr w:rsidR="006A2C17" w:rsidTr="00E245D6">
        <w:trPr>
          <w:trHeight w:val="632"/>
        </w:trPr>
        <w:tc>
          <w:tcPr>
            <w:tcW w:w="5951" w:type="dxa"/>
            <w:tcBorders>
              <w:top w:val="single" w:sz="2" w:space="0" w:color="auto"/>
              <w:bottom w:val="single" w:sz="2" w:space="0" w:color="auto"/>
            </w:tcBorders>
            <w:shd w:val="clear" w:color="auto" w:fill="A8D08D" w:themeFill="accent6" w:themeFillTint="99"/>
          </w:tcPr>
          <w:p w:rsidR="00CD7572" w:rsidRPr="00CD7572" w:rsidRDefault="0062660D" w:rsidP="00CD7572">
            <w:pPr>
              <w:tabs>
                <w:tab w:val="left" w:pos="1080"/>
              </w:tabs>
              <w:spacing w:after="80"/>
              <w:rPr>
                <w:b/>
              </w:rPr>
            </w:pPr>
            <w:r w:rsidRPr="00CD7572">
              <w:rPr>
                <w:b/>
              </w:rPr>
              <w:t>Asset type</w:t>
            </w:r>
          </w:p>
        </w:tc>
        <w:tc>
          <w:tcPr>
            <w:tcW w:w="3402" w:type="dxa"/>
            <w:tcBorders>
              <w:top w:val="single" w:sz="2" w:space="0" w:color="auto"/>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Potential market movements (+/-)</w:t>
            </w:r>
          </w:p>
        </w:tc>
      </w:tr>
      <w:tr w:rsidR="006A2C17" w:rsidTr="00E245D6">
        <w:trPr>
          <w:trHeight w:val="285"/>
        </w:trPr>
        <w:tc>
          <w:tcPr>
            <w:tcW w:w="5951" w:type="dxa"/>
            <w:shd w:val="clear" w:color="auto" w:fill="E2EFD9" w:themeFill="accent6" w:themeFillTint="33"/>
          </w:tcPr>
          <w:p w:rsidR="00CD7572" w:rsidRPr="00CD7572" w:rsidRDefault="0062660D" w:rsidP="00CD7572">
            <w:pPr>
              <w:tabs>
                <w:tab w:val="left" w:pos="1080"/>
              </w:tabs>
              <w:spacing w:after="80"/>
              <w:jc w:val="left"/>
            </w:pPr>
            <w:r w:rsidRPr="00CD7572">
              <w:t>Total bonds (including index linked)</w:t>
            </w:r>
          </w:p>
        </w:tc>
        <w:tc>
          <w:tcPr>
            <w:tcW w:w="3402" w:type="dxa"/>
            <w:shd w:val="clear" w:color="auto" w:fill="E2EFD9" w:themeFill="accent6" w:themeFillTint="33"/>
          </w:tcPr>
          <w:p w:rsidR="00CD7572" w:rsidRPr="00CD7572" w:rsidRDefault="0062660D" w:rsidP="00CD7572">
            <w:pPr>
              <w:tabs>
                <w:tab w:val="left" w:pos="1080"/>
              </w:tabs>
              <w:spacing w:after="80"/>
              <w:ind w:left="2129" w:hanging="142"/>
            </w:pPr>
            <w:r w:rsidRPr="00CD7572">
              <w:t>6.4%</w:t>
            </w:r>
          </w:p>
        </w:tc>
      </w:tr>
      <w:tr w:rsidR="006A2C17" w:rsidTr="00E245D6">
        <w:trPr>
          <w:trHeight w:val="272"/>
        </w:trPr>
        <w:tc>
          <w:tcPr>
            <w:tcW w:w="5951" w:type="dxa"/>
            <w:shd w:val="clear" w:color="auto" w:fill="E2EFD9" w:themeFill="accent6" w:themeFillTint="33"/>
          </w:tcPr>
          <w:p w:rsidR="00CD7572" w:rsidRPr="00CD7572" w:rsidRDefault="0062660D" w:rsidP="00CD7572">
            <w:pPr>
              <w:tabs>
                <w:tab w:val="left" w:pos="1080"/>
              </w:tabs>
              <w:spacing w:after="80"/>
              <w:jc w:val="left"/>
            </w:pPr>
            <w:r w:rsidRPr="00CD7572">
              <w:t>Total equities</w:t>
            </w:r>
          </w:p>
        </w:tc>
        <w:tc>
          <w:tcPr>
            <w:tcW w:w="3402" w:type="dxa"/>
            <w:shd w:val="clear" w:color="auto" w:fill="E2EFD9" w:themeFill="accent6" w:themeFillTint="33"/>
          </w:tcPr>
          <w:p w:rsidR="00CD7572" w:rsidRPr="00CD7572" w:rsidRDefault="0062660D" w:rsidP="00CD7572">
            <w:pPr>
              <w:tabs>
                <w:tab w:val="left" w:pos="1080"/>
              </w:tabs>
              <w:spacing w:after="80"/>
              <w:ind w:left="1987"/>
            </w:pPr>
            <w:r w:rsidRPr="00CD7572">
              <w:t>9.6%</w:t>
            </w:r>
          </w:p>
        </w:tc>
      </w:tr>
      <w:tr w:rsidR="006A2C17" w:rsidTr="00E245D6">
        <w:trPr>
          <w:trHeight w:val="344"/>
        </w:trPr>
        <w:tc>
          <w:tcPr>
            <w:tcW w:w="5951" w:type="dxa"/>
            <w:shd w:val="clear" w:color="auto" w:fill="E2EFD9" w:themeFill="accent6" w:themeFillTint="33"/>
          </w:tcPr>
          <w:p w:rsidR="00CD7572" w:rsidRPr="00CD7572" w:rsidRDefault="0062660D" w:rsidP="00CD7572">
            <w:pPr>
              <w:tabs>
                <w:tab w:val="left" w:pos="1080"/>
              </w:tabs>
              <w:spacing w:after="80"/>
              <w:jc w:val="left"/>
            </w:pPr>
            <w:r w:rsidRPr="00CD7572">
              <w:t>Alternatives</w:t>
            </w:r>
          </w:p>
        </w:tc>
        <w:tc>
          <w:tcPr>
            <w:tcW w:w="3402" w:type="dxa"/>
            <w:shd w:val="clear" w:color="auto" w:fill="E2EFD9" w:themeFill="accent6" w:themeFillTint="33"/>
          </w:tcPr>
          <w:p w:rsidR="00CD7572" w:rsidRPr="00CD7572" w:rsidRDefault="0062660D" w:rsidP="00CD7572">
            <w:pPr>
              <w:tabs>
                <w:tab w:val="left" w:pos="1080"/>
              </w:tabs>
              <w:spacing w:after="80"/>
              <w:ind w:left="1987"/>
            </w:pPr>
            <w:r w:rsidRPr="00CD7572">
              <w:t>6.4%</w:t>
            </w:r>
          </w:p>
        </w:tc>
      </w:tr>
      <w:tr w:rsidR="006A2C17" w:rsidTr="00E245D6">
        <w:trPr>
          <w:trHeight w:val="264"/>
        </w:trPr>
        <w:tc>
          <w:tcPr>
            <w:tcW w:w="5951" w:type="dxa"/>
            <w:shd w:val="clear" w:color="auto" w:fill="E2EFD9" w:themeFill="accent6" w:themeFillTint="33"/>
          </w:tcPr>
          <w:p w:rsidR="00CD7572" w:rsidRPr="00CD7572" w:rsidRDefault="0062660D" w:rsidP="00CD7572">
            <w:pPr>
              <w:tabs>
                <w:tab w:val="left" w:pos="1080"/>
              </w:tabs>
              <w:spacing w:after="80"/>
              <w:jc w:val="left"/>
            </w:pPr>
            <w:r w:rsidRPr="00CD7572">
              <w:t>Total property</w:t>
            </w:r>
          </w:p>
        </w:tc>
        <w:tc>
          <w:tcPr>
            <w:tcW w:w="3402" w:type="dxa"/>
            <w:shd w:val="clear" w:color="auto" w:fill="E2EFD9" w:themeFill="accent6" w:themeFillTint="33"/>
          </w:tcPr>
          <w:p w:rsidR="00CD7572" w:rsidRPr="00CD7572" w:rsidRDefault="0062660D" w:rsidP="00CD7572">
            <w:pPr>
              <w:tabs>
                <w:tab w:val="left" w:pos="1080"/>
              </w:tabs>
              <w:spacing w:after="80"/>
              <w:ind w:left="1987"/>
            </w:pPr>
            <w:r w:rsidRPr="00CD7572">
              <w:t>2.4%</w:t>
            </w:r>
          </w:p>
        </w:tc>
      </w:tr>
    </w:tbl>
    <w:p w:rsidR="00CD7572" w:rsidRPr="00CD7572" w:rsidRDefault="0062660D" w:rsidP="00CD7572">
      <w:pPr>
        <w:tabs>
          <w:tab w:val="left" w:pos="1080"/>
        </w:tabs>
        <w:spacing w:after="80"/>
        <w:ind w:left="709"/>
      </w:pPr>
    </w:p>
    <w:p w:rsidR="00CD7572" w:rsidRPr="00CD7572" w:rsidRDefault="0062660D" w:rsidP="00CD7572">
      <w:pPr>
        <w:ind w:left="720"/>
        <w:jc w:val="left"/>
      </w:pPr>
      <w:r w:rsidRPr="00CD7572">
        <w:t xml:space="preserve">The potential price changes disclosed above are broadly consistent </w:t>
      </w:r>
      <w:r w:rsidRPr="00CD7572">
        <w:t>with a one-standard deviation movement in value of the asset.  The sensitivities are consistent with the assumption contained in the investment advisors' most recent review.  This analysis assumes that all other variables, in particular foreign currency ex</w:t>
      </w:r>
      <w:r w:rsidRPr="00CD7572">
        <w:t>change rates and interest rates, remain the same.  Had the market of the Fund's investments increased/decreased in line with the above, the change in the net assets available to pay benefits in the market place would have been as follows (the prior year co</w:t>
      </w:r>
      <w:r w:rsidRPr="00CD7572">
        <w:t>mparator is also shown):</w:t>
      </w:r>
    </w:p>
    <w:p w:rsidR="00CD7572" w:rsidRPr="00CD7572" w:rsidRDefault="0062660D" w:rsidP="00CD7572">
      <w:pPr>
        <w:tabs>
          <w:tab w:val="left" w:pos="1080"/>
        </w:tabs>
        <w:spacing w:after="80"/>
        <w:ind w:left="709"/>
      </w:pPr>
    </w:p>
    <w:tbl>
      <w:tblPr>
        <w:tblStyle w:val="TableGrid6"/>
        <w:tblW w:w="0" w:type="auto"/>
        <w:tblInd w:w="709"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4374"/>
        <w:gridCol w:w="1151"/>
        <w:gridCol w:w="1701"/>
        <w:gridCol w:w="1262"/>
        <w:gridCol w:w="1257"/>
      </w:tblGrid>
      <w:tr w:rsidR="006A2C17" w:rsidTr="00E245D6">
        <w:tc>
          <w:tcPr>
            <w:tcW w:w="4374"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rPr>
                <w:b/>
              </w:rPr>
            </w:pPr>
            <w:r w:rsidRPr="00CD7572">
              <w:rPr>
                <w:b/>
              </w:rPr>
              <w:t>Asset type</w:t>
            </w:r>
          </w:p>
        </w:tc>
        <w:tc>
          <w:tcPr>
            <w:tcW w:w="1151"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31/03/16</w:t>
            </w:r>
          </w:p>
        </w:tc>
        <w:tc>
          <w:tcPr>
            <w:tcW w:w="1701"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Percentage change</w:t>
            </w:r>
          </w:p>
        </w:tc>
        <w:tc>
          <w:tcPr>
            <w:tcW w:w="1262"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Value on increase</w:t>
            </w:r>
          </w:p>
        </w:tc>
        <w:tc>
          <w:tcPr>
            <w:tcW w:w="1257"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Value on decrease</w:t>
            </w:r>
          </w:p>
        </w:tc>
      </w:tr>
      <w:tr w:rsidR="006A2C17" w:rsidTr="00E245D6">
        <w:tc>
          <w:tcPr>
            <w:tcW w:w="4374"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rPr>
                <w:b/>
              </w:rPr>
            </w:pPr>
          </w:p>
        </w:tc>
        <w:tc>
          <w:tcPr>
            <w:tcW w:w="1151"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1701"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w:t>
            </w:r>
          </w:p>
        </w:tc>
        <w:tc>
          <w:tcPr>
            <w:tcW w:w="1262"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1257"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r>
      <w:tr w:rsidR="006A2C17" w:rsidTr="00E245D6">
        <w:tc>
          <w:tcPr>
            <w:tcW w:w="4374"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jc w:val="left"/>
            </w:pPr>
            <w:r w:rsidRPr="00CD7572">
              <w:t>Investment portfolio assets:</w:t>
            </w:r>
          </w:p>
        </w:tc>
        <w:tc>
          <w:tcPr>
            <w:tcW w:w="1151"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jc w:val="right"/>
            </w:pPr>
          </w:p>
        </w:tc>
        <w:tc>
          <w:tcPr>
            <w:tcW w:w="1701"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jc w:val="right"/>
            </w:pPr>
          </w:p>
        </w:tc>
        <w:tc>
          <w:tcPr>
            <w:tcW w:w="1262"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jc w:val="right"/>
            </w:pPr>
          </w:p>
        </w:tc>
        <w:tc>
          <w:tcPr>
            <w:tcW w:w="1257"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jc w:val="right"/>
            </w:pPr>
          </w:p>
        </w:tc>
      </w:tr>
      <w:tr w:rsidR="006A2C17" w:rsidTr="00E245D6">
        <w:tc>
          <w:tcPr>
            <w:tcW w:w="4374" w:type="dxa"/>
          </w:tcPr>
          <w:p w:rsidR="00CD7572" w:rsidRPr="00CD7572" w:rsidRDefault="0062660D" w:rsidP="00CD7572">
            <w:pPr>
              <w:tabs>
                <w:tab w:val="left" w:pos="1080"/>
              </w:tabs>
              <w:spacing w:after="80"/>
              <w:jc w:val="left"/>
            </w:pPr>
            <w:r w:rsidRPr="00CD7572">
              <w:t>Total bonds (including index linked)</w:t>
            </w:r>
          </w:p>
        </w:tc>
        <w:tc>
          <w:tcPr>
            <w:tcW w:w="1151" w:type="dxa"/>
          </w:tcPr>
          <w:p w:rsidR="00CD7572" w:rsidRPr="00CD7572" w:rsidRDefault="0062660D" w:rsidP="00CD7572">
            <w:pPr>
              <w:tabs>
                <w:tab w:val="left" w:pos="1080"/>
              </w:tabs>
              <w:spacing w:after="80"/>
              <w:jc w:val="right"/>
            </w:pPr>
            <w:r w:rsidRPr="00CD7572">
              <w:t>1,233.0</w:t>
            </w:r>
          </w:p>
        </w:tc>
        <w:tc>
          <w:tcPr>
            <w:tcW w:w="1701" w:type="dxa"/>
          </w:tcPr>
          <w:p w:rsidR="00CD7572" w:rsidRPr="00CD7572" w:rsidRDefault="0062660D" w:rsidP="00CD7572">
            <w:pPr>
              <w:tabs>
                <w:tab w:val="left" w:pos="1080"/>
              </w:tabs>
              <w:spacing w:after="80"/>
              <w:jc w:val="right"/>
            </w:pPr>
            <w:r w:rsidRPr="00CD7572">
              <w:t>6.4%</w:t>
            </w:r>
          </w:p>
        </w:tc>
        <w:tc>
          <w:tcPr>
            <w:tcW w:w="1262" w:type="dxa"/>
          </w:tcPr>
          <w:p w:rsidR="00CD7572" w:rsidRPr="00CD7572" w:rsidRDefault="0062660D" w:rsidP="00CD7572">
            <w:pPr>
              <w:tabs>
                <w:tab w:val="left" w:pos="1080"/>
              </w:tabs>
              <w:spacing w:after="80"/>
              <w:jc w:val="right"/>
            </w:pPr>
            <w:r w:rsidRPr="00CD7572">
              <w:t>1,311.9</w:t>
            </w:r>
          </w:p>
        </w:tc>
        <w:tc>
          <w:tcPr>
            <w:tcW w:w="1257" w:type="dxa"/>
          </w:tcPr>
          <w:p w:rsidR="00CD7572" w:rsidRPr="00CD7572" w:rsidRDefault="0062660D" w:rsidP="00CD7572">
            <w:pPr>
              <w:tabs>
                <w:tab w:val="left" w:pos="1080"/>
              </w:tabs>
              <w:spacing w:after="80"/>
              <w:jc w:val="right"/>
            </w:pPr>
            <w:r w:rsidRPr="00CD7572">
              <w:t>1,154.1</w:t>
            </w:r>
          </w:p>
        </w:tc>
      </w:tr>
      <w:tr w:rsidR="006A2C17" w:rsidTr="00E245D6">
        <w:tc>
          <w:tcPr>
            <w:tcW w:w="4374" w:type="dxa"/>
          </w:tcPr>
          <w:p w:rsidR="00CD7572" w:rsidRPr="00CD7572" w:rsidRDefault="0062660D" w:rsidP="00CD7572">
            <w:pPr>
              <w:tabs>
                <w:tab w:val="left" w:pos="1080"/>
              </w:tabs>
              <w:spacing w:after="80"/>
              <w:jc w:val="left"/>
            </w:pPr>
            <w:r w:rsidRPr="00CD7572">
              <w:t>Total equities</w:t>
            </w:r>
          </w:p>
        </w:tc>
        <w:tc>
          <w:tcPr>
            <w:tcW w:w="1151" w:type="dxa"/>
          </w:tcPr>
          <w:p w:rsidR="00CD7572" w:rsidRPr="00CD7572" w:rsidRDefault="0062660D" w:rsidP="00CD7572">
            <w:pPr>
              <w:tabs>
                <w:tab w:val="left" w:pos="1080"/>
              </w:tabs>
              <w:spacing w:after="80"/>
              <w:jc w:val="right"/>
            </w:pPr>
            <w:r w:rsidRPr="00CD7572">
              <w:t>2,902.9</w:t>
            </w:r>
          </w:p>
        </w:tc>
        <w:tc>
          <w:tcPr>
            <w:tcW w:w="1701" w:type="dxa"/>
          </w:tcPr>
          <w:p w:rsidR="00CD7572" w:rsidRPr="00CD7572" w:rsidRDefault="0062660D" w:rsidP="00CD7572">
            <w:pPr>
              <w:tabs>
                <w:tab w:val="left" w:pos="1080"/>
              </w:tabs>
              <w:spacing w:after="80"/>
              <w:jc w:val="right"/>
            </w:pPr>
            <w:r w:rsidRPr="00CD7572">
              <w:t>9.6%</w:t>
            </w:r>
          </w:p>
        </w:tc>
        <w:tc>
          <w:tcPr>
            <w:tcW w:w="1262" w:type="dxa"/>
          </w:tcPr>
          <w:p w:rsidR="00CD7572" w:rsidRPr="00CD7572" w:rsidRDefault="0062660D" w:rsidP="00CD7572">
            <w:pPr>
              <w:tabs>
                <w:tab w:val="left" w:pos="1080"/>
              </w:tabs>
              <w:spacing w:after="80"/>
              <w:jc w:val="right"/>
            </w:pPr>
            <w:r w:rsidRPr="00CD7572">
              <w:t>3,181.6</w:t>
            </w:r>
          </w:p>
        </w:tc>
        <w:tc>
          <w:tcPr>
            <w:tcW w:w="1257" w:type="dxa"/>
          </w:tcPr>
          <w:p w:rsidR="00CD7572" w:rsidRPr="00CD7572" w:rsidRDefault="0062660D" w:rsidP="00CD7572">
            <w:pPr>
              <w:tabs>
                <w:tab w:val="left" w:pos="1080"/>
              </w:tabs>
              <w:spacing w:after="80"/>
              <w:jc w:val="right"/>
            </w:pPr>
            <w:r w:rsidRPr="00CD7572">
              <w:t>2,624.2</w:t>
            </w:r>
          </w:p>
        </w:tc>
      </w:tr>
      <w:tr w:rsidR="006A2C17" w:rsidTr="00E245D6">
        <w:tc>
          <w:tcPr>
            <w:tcW w:w="4374" w:type="dxa"/>
          </w:tcPr>
          <w:p w:rsidR="00CD7572" w:rsidRPr="00CD7572" w:rsidRDefault="0062660D" w:rsidP="00CD7572">
            <w:pPr>
              <w:tabs>
                <w:tab w:val="left" w:pos="1080"/>
              </w:tabs>
              <w:spacing w:after="80"/>
              <w:jc w:val="left"/>
            </w:pPr>
            <w:r w:rsidRPr="00CD7572">
              <w:t>Alternatives</w:t>
            </w:r>
          </w:p>
        </w:tc>
        <w:tc>
          <w:tcPr>
            <w:tcW w:w="1151" w:type="dxa"/>
          </w:tcPr>
          <w:p w:rsidR="00CD7572" w:rsidRPr="00CD7572" w:rsidRDefault="0062660D" w:rsidP="00CD7572">
            <w:pPr>
              <w:tabs>
                <w:tab w:val="left" w:pos="1080"/>
              </w:tabs>
              <w:spacing w:after="80"/>
              <w:jc w:val="right"/>
            </w:pPr>
            <w:r w:rsidRPr="00CD7572">
              <w:t>975.7</w:t>
            </w:r>
          </w:p>
        </w:tc>
        <w:tc>
          <w:tcPr>
            <w:tcW w:w="1701" w:type="dxa"/>
          </w:tcPr>
          <w:p w:rsidR="00CD7572" w:rsidRPr="00CD7572" w:rsidRDefault="0062660D" w:rsidP="00CD7572">
            <w:pPr>
              <w:tabs>
                <w:tab w:val="left" w:pos="1080"/>
              </w:tabs>
              <w:spacing w:after="80"/>
              <w:jc w:val="right"/>
            </w:pPr>
            <w:r w:rsidRPr="00CD7572">
              <w:t>6.4%</w:t>
            </w:r>
          </w:p>
        </w:tc>
        <w:tc>
          <w:tcPr>
            <w:tcW w:w="1262" w:type="dxa"/>
          </w:tcPr>
          <w:p w:rsidR="00CD7572" w:rsidRPr="00CD7572" w:rsidRDefault="0062660D" w:rsidP="00CD7572">
            <w:pPr>
              <w:tabs>
                <w:tab w:val="left" w:pos="1080"/>
              </w:tabs>
              <w:spacing w:after="80"/>
              <w:jc w:val="right"/>
            </w:pPr>
            <w:r w:rsidRPr="00CD7572">
              <w:t>1,038.1</w:t>
            </w:r>
          </w:p>
        </w:tc>
        <w:tc>
          <w:tcPr>
            <w:tcW w:w="1257" w:type="dxa"/>
          </w:tcPr>
          <w:p w:rsidR="00CD7572" w:rsidRPr="00CD7572" w:rsidRDefault="0062660D" w:rsidP="00CD7572">
            <w:pPr>
              <w:tabs>
                <w:tab w:val="left" w:pos="1080"/>
              </w:tabs>
              <w:spacing w:after="80"/>
              <w:jc w:val="right"/>
            </w:pPr>
            <w:r w:rsidRPr="00CD7572">
              <w:t>913.3</w:t>
            </w:r>
          </w:p>
        </w:tc>
      </w:tr>
      <w:tr w:rsidR="006A2C17" w:rsidTr="00E245D6">
        <w:tc>
          <w:tcPr>
            <w:tcW w:w="4374" w:type="dxa"/>
          </w:tcPr>
          <w:p w:rsidR="00CD7572" w:rsidRPr="00CD7572" w:rsidRDefault="0062660D" w:rsidP="00CD7572">
            <w:pPr>
              <w:tabs>
                <w:tab w:val="left" w:pos="1080"/>
              </w:tabs>
              <w:spacing w:after="80"/>
              <w:jc w:val="left"/>
            </w:pPr>
            <w:r w:rsidRPr="00CD7572">
              <w:t>Total property</w:t>
            </w:r>
          </w:p>
        </w:tc>
        <w:tc>
          <w:tcPr>
            <w:tcW w:w="1151" w:type="dxa"/>
          </w:tcPr>
          <w:p w:rsidR="00CD7572" w:rsidRPr="00CD7572" w:rsidRDefault="0062660D" w:rsidP="00CD7572">
            <w:pPr>
              <w:tabs>
                <w:tab w:val="left" w:pos="1080"/>
              </w:tabs>
              <w:spacing w:after="80"/>
              <w:jc w:val="right"/>
            </w:pPr>
            <w:r w:rsidRPr="00CD7572">
              <w:t>688.8</w:t>
            </w:r>
          </w:p>
        </w:tc>
        <w:tc>
          <w:tcPr>
            <w:tcW w:w="1701" w:type="dxa"/>
          </w:tcPr>
          <w:p w:rsidR="00CD7572" w:rsidRPr="00CD7572" w:rsidRDefault="0062660D" w:rsidP="00CD7572">
            <w:pPr>
              <w:tabs>
                <w:tab w:val="left" w:pos="1080"/>
              </w:tabs>
              <w:spacing w:after="80"/>
              <w:jc w:val="right"/>
            </w:pPr>
            <w:r w:rsidRPr="00CD7572">
              <w:t>2.4%</w:t>
            </w:r>
          </w:p>
        </w:tc>
        <w:tc>
          <w:tcPr>
            <w:tcW w:w="1262" w:type="dxa"/>
          </w:tcPr>
          <w:p w:rsidR="00CD7572" w:rsidRPr="00CD7572" w:rsidRDefault="0062660D" w:rsidP="00CD7572">
            <w:pPr>
              <w:tabs>
                <w:tab w:val="left" w:pos="1080"/>
              </w:tabs>
              <w:spacing w:after="80"/>
              <w:jc w:val="right"/>
            </w:pPr>
            <w:r w:rsidRPr="00CD7572">
              <w:t>705.3</w:t>
            </w:r>
          </w:p>
        </w:tc>
        <w:tc>
          <w:tcPr>
            <w:tcW w:w="1257" w:type="dxa"/>
          </w:tcPr>
          <w:p w:rsidR="00CD7572" w:rsidRPr="00CD7572" w:rsidRDefault="0062660D" w:rsidP="00CD7572">
            <w:pPr>
              <w:tabs>
                <w:tab w:val="left" w:pos="1080"/>
              </w:tabs>
              <w:spacing w:after="80"/>
              <w:jc w:val="right"/>
            </w:pPr>
            <w:r w:rsidRPr="00CD7572">
              <w:t>672.3</w:t>
            </w:r>
          </w:p>
        </w:tc>
      </w:tr>
      <w:tr w:rsidR="006A2C17" w:rsidTr="00E245D6">
        <w:tc>
          <w:tcPr>
            <w:tcW w:w="4374" w:type="dxa"/>
            <w:shd w:val="clear" w:color="auto" w:fill="C5E0B3" w:themeFill="accent6" w:themeFillTint="66"/>
          </w:tcPr>
          <w:p w:rsidR="00CD7572" w:rsidRPr="00CD7572" w:rsidRDefault="0062660D" w:rsidP="00CD7572">
            <w:pPr>
              <w:tabs>
                <w:tab w:val="left" w:pos="1080"/>
              </w:tabs>
              <w:spacing w:after="80"/>
              <w:jc w:val="left"/>
              <w:rPr>
                <w:b/>
              </w:rPr>
            </w:pPr>
            <w:r w:rsidRPr="00CD7572">
              <w:rPr>
                <w:b/>
              </w:rPr>
              <w:t>Total assets available to pay benefits</w:t>
            </w:r>
          </w:p>
        </w:tc>
        <w:tc>
          <w:tcPr>
            <w:tcW w:w="1151"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5,800.4</w:t>
            </w:r>
          </w:p>
        </w:tc>
        <w:tc>
          <w:tcPr>
            <w:tcW w:w="1701" w:type="dxa"/>
            <w:shd w:val="clear" w:color="auto" w:fill="C5E0B3" w:themeFill="accent6" w:themeFillTint="66"/>
          </w:tcPr>
          <w:p w:rsidR="00CD7572" w:rsidRPr="00CD7572" w:rsidRDefault="0062660D" w:rsidP="00CD7572">
            <w:pPr>
              <w:tabs>
                <w:tab w:val="left" w:pos="1080"/>
              </w:tabs>
              <w:spacing w:after="80"/>
              <w:jc w:val="right"/>
              <w:rPr>
                <w:b/>
              </w:rPr>
            </w:pPr>
          </w:p>
        </w:tc>
        <w:tc>
          <w:tcPr>
            <w:tcW w:w="1262"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6,236.9</w:t>
            </w:r>
          </w:p>
        </w:tc>
        <w:tc>
          <w:tcPr>
            <w:tcW w:w="1257"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5,363.9</w:t>
            </w:r>
          </w:p>
        </w:tc>
      </w:tr>
    </w:tbl>
    <w:p w:rsidR="00CD7572" w:rsidRPr="00CD7572" w:rsidRDefault="0062660D" w:rsidP="00CD7572">
      <w:pPr>
        <w:tabs>
          <w:tab w:val="left" w:pos="1080"/>
        </w:tabs>
        <w:spacing w:after="80"/>
        <w:ind w:left="709"/>
      </w:pPr>
    </w:p>
    <w:tbl>
      <w:tblPr>
        <w:tblStyle w:val="TableGrid6"/>
        <w:tblW w:w="0" w:type="auto"/>
        <w:tblInd w:w="709"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4250"/>
        <w:gridCol w:w="1275"/>
        <w:gridCol w:w="1701"/>
        <w:gridCol w:w="1262"/>
        <w:gridCol w:w="1257"/>
      </w:tblGrid>
      <w:tr w:rsidR="006A2C17" w:rsidTr="00E245D6">
        <w:tc>
          <w:tcPr>
            <w:tcW w:w="4250"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rPr>
                <w:b/>
              </w:rPr>
            </w:pPr>
            <w:r w:rsidRPr="00CD7572">
              <w:rPr>
                <w:b/>
              </w:rPr>
              <w:t>Asset type</w:t>
            </w:r>
          </w:p>
        </w:tc>
        <w:tc>
          <w:tcPr>
            <w:tcW w:w="1275"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31/03/15</w:t>
            </w:r>
          </w:p>
        </w:tc>
        <w:tc>
          <w:tcPr>
            <w:tcW w:w="1701"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Percentage change</w:t>
            </w:r>
          </w:p>
        </w:tc>
        <w:tc>
          <w:tcPr>
            <w:tcW w:w="1262"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Value on increase</w:t>
            </w:r>
          </w:p>
        </w:tc>
        <w:tc>
          <w:tcPr>
            <w:tcW w:w="1257"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Value on decrease</w:t>
            </w:r>
          </w:p>
        </w:tc>
      </w:tr>
      <w:tr w:rsidR="006A2C17" w:rsidTr="00E245D6">
        <w:tc>
          <w:tcPr>
            <w:tcW w:w="4250"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rPr>
                <w:b/>
              </w:rPr>
            </w:pPr>
          </w:p>
        </w:tc>
        <w:tc>
          <w:tcPr>
            <w:tcW w:w="1275"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1701"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w:t>
            </w:r>
          </w:p>
        </w:tc>
        <w:tc>
          <w:tcPr>
            <w:tcW w:w="1262"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1257"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r>
      <w:tr w:rsidR="006A2C17" w:rsidTr="00E245D6">
        <w:tc>
          <w:tcPr>
            <w:tcW w:w="4250"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jc w:val="left"/>
            </w:pPr>
            <w:r w:rsidRPr="00CD7572">
              <w:t xml:space="preserve">Investment </w:t>
            </w:r>
            <w:r w:rsidRPr="00CD7572">
              <w:t>portfolio assets:</w:t>
            </w:r>
          </w:p>
        </w:tc>
        <w:tc>
          <w:tcPr>
            <w:tcW w:w="1275"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jc w:val="right"/>
            </w:pPr>
          </w:p>
        </w:tc>
        <w:tc>
          <w:tcPr>
            <w:tcW w:w="1701"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jc w:val="right"/>
            </w:pPr>
          </w:p>
        </w:tc>
        <w:tc>
          <w:tcPr>
            <w:tcW w:w="1262"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jc w:val="right"/>
            </w:pPr>
          </w:p>
        </w:tc>
        <w:tc>
          <w:tcPr>
            <w:tcW w:w="1257"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jc w:val="right"/>
            </w:pPr>
          </w:p>
        </w:tc>
      </w:tr>
      <w:tr w:rsidR="006A2C17" w:rsidTr="00E245D6">
        <w:tc>
          <w:tcPr>
            <w:tcW w:w="4250" w:type="dxa"/>
          </w:tcPr>
          <w:p w:rsidR="00CD7572" w:rsidRPr="00CD7572" w:rsidRDefault="0062660D" w:rsidP="00CD7572">
            <w:pPr>
              <w:tabs>
                <w:tab w:val="left" w:pos="1080"/>
              </w:tabs>
              <w:spacing w:after="80"/>
              <w:jc w:val="left"/>
            </w:pPr>
            <w:r w:rsidRPr="00CD7572">
              <w:t>Total bonds (including index linked)</w:t>
            </w:r>
          </w:p>
        </w:tc>
        <w:tc>
          <w:tcPr>
            <w:tcW w:w="1275" w:type="dxa"/>
          </w:tcPr>
          <w:p w:rsidR="00CD7572" w:rsidRPr="00CD7572" w:rsidRDefault="0062660D" w:rsidP="00CD7572">
            <w:pPr>
              <w:tabs>
                <w:tab w:val="left" w:pos="1080"/>
              </w:tabs>
              <w:spacing w:after="80"/>
              <w:jc w:val="right"/>
            </w:pPr>
            <w:r w:rsidRPr="00CD7572">
              <w:t>1,968.6</w:t>
            </w:r>
          </w:p>
        </w:tc>
        <w:tc>
          <w:tcPr>
            <w:tcW w:w="1701" w:type="dxa"/>
          </w:tcPr>
          <w:p w:rsidR="00CD7572" w:rsidRPr="00CD7572" w:rsidRDefault="0062660D" w:rsidP="00CD7572">
            <w:pPr>
              <w:tabs>
                <w:tab w:val="left" w:pos="1080"/>
              </w:tabs>
              <w:spacing w:after="80"/>
              <w:jc w:val="right"/>
            </w:pPr>
            <w:r w:rsidRPr="00CD7572">
              <w:t>6.0%</w:t>
            </w:r>
          </w:p>
        </w:tc>
        <w:tc>
          <w:tcPr>
            <w:tcW w:w="1262" w:type="dxa"/>
          </w:tcPr>
          <w:p w:rsidR="00CD7572" w:rsidRPr="00CD7572" w:rsidRDefault="0062660D" w:rsidP="00CD7572">
            <w:pPr>
              <w:tabs>
                <w:tab w:val="left" w:pos="1080"/>
              </w:tabs>
              <w:spacing w:after="80"/>
              <w:jc w:val="right"/>
            </w:pPr>
            <w:r w:rsidRPr="00CD7572">
              <w:t>2,086.7</w:t>
            </w:r>
          </w:p>
        </w:tc>
        <w:tc>
          <w:tcPr>
            <w:tcW w:w="1257" w:type="dxa"/>
          </w:tcPr>
          <w:p w:rsidR="00CD7572" w:rsidRPr="00CD7572" w:rsidRDefault="0062660D" w:rsidP="00CD7572">
            <w:pPr>
              <w:tabs>
                <w:tab w:val="left" w:pos="1080"/>
              </w:tabs>
              <w:spacing w:after="80"/>
              <w:jc w:val="right"/>
            </w:pPr>
            <w:r w:rsidRPr="00CD7572">
              <w:t>1,850.5</w:t>
            </w:r>
          </w:p>
        </w:tc>
      </w:tr>
      <w:tr w:rsidR="006A2C17" w:rsidTr="00E245D6">
        <w:tc>
          <w:tcPr>
            <w:tcW w:w="4250" w:type="dxa"/>
          </w:tcPr>
          <w:p w:rsidR="00CD7572" w:rsidRPr="00CD7572" w:rsidRDefault="0062660D" w:rsidP="00CD7572">
            <w:pPr>
              <w:tabs>
                <w:tab w:val="left" w:pos="1080"/>
              </w:tabs>
              <w:spacing w:after="80"/>
              <w:jc w:val="left"/>
            </w:pPr>
            <w:r w:rsidRPr="00CD7572">
              <w:t>Total equities</w:t>
            </w:r>
          </w:p>
        </w:tc>
        <w:tc>
          <w:tcPr>
            <w:tcW w:w="1275" w:type="dxa"/>
          </w:tcPr>
          <w:p w:rsidR="00CD7572" w:rsidRPr="00CD7572" w:rsidRDefault="0062660D" w:rsidP="00CD7572">
            <w:pPr>
              <w:tabs>
                <w:tab w:val="left" w:pos="1080"/>
              </w:tabs>
              <w:spacing w:after="80"/>
              <w:jc w:val="right"/>
            </w:pPr>
            <w:r w:rsidRPr="00CD7572">
              <w:t>2,871.7</w:t>
            </w:r>
          </w:p>
        </w:tc>
        <w:tc>
          <w:tcPr>
            <w:tcW w:w="1701" w:type="dxa"/>
          </w:tcPr>
          <w:p w:rsidR="00CD7572" w:rsidRPr="00CD7572" w:rsidRDefault="0062660D" w:rsidP="00CD7572">
            <w:pPr>
              <w:tabs>
                <w:tab w:val="left" w:pos="1080"/>
              </w:tabs>
              <w:spacing w:after="80"/>
              <w:jc w:val="right"/>
            </w:pPr>
            <w:r w:rsidRPr="00CD7572">
              <w:t>9.6%</w:t>
            </w:r>
          </w:p>
        </w:tc>
        <w:tc>
          <w:tcPr>
            <w:tcW w:w="1262" w:type="dxa"/>
          </w:tcPr>
          <w:p w:rsidR="00CD7572" w:rsidRPr="00CD7572" w:rsidRDefault="0062660D" w:rsidP="00CD7572">
            <w:pPr>
              <w:tabs>
                <w:tab w:val="left" w:pos="1080"/>
              </w:tabs>
              <w:spacing w:after="80"/>
              <w:jc w:val="right"/>
            </w:pPr>
            <w:r w:rsidRPr="00CD7572">
              <w:t>3,147.4</w:t>
            </w:r>
          </w:p>
        </w:tc>
        <w:tc>
          <w:tcPr>
            <w:tcW w:w="1257" w:type="dxa"/>
          </w:tcPr>
          <w:p w:rsidR="00CD7572" w:rsidRPr="00CD7572" w:rsidRDefault="0062660D" w:rsidP="00CD7572">
            <w:pPr>
              <w:tabs>
                <w:tab w:val="left" w:pos="1080"/>
              </w:tabs>
              <w:spacing w:after="80"/>
              <w:jc w:val="right"/>
            </w:pPr>
            <w:r w:rsidRPr="00CD7572">
              <w:t>2,596.0</w:t>
            </w:r>
          </w:p>
        </w:tc>
      </w:tr>
      <w:tr w:rsidR="006A2C17" w:rsidTr="00E245D6">
        <w:tc>
          <w:tcPr>
            <w:tcW w:w="4250" w:type="dxa"/>
          </w:tcPr>
          <w:p w:rsidR="00CD7572" w:rsidRPr="00CD7572" w:rsidRDefault="0062660D" w:rsidP="00CD7572">
            <w:pPr>
              <w:tabs>
                <w:tab w:val="left" w:pos="1080"/>
              </w:tabs>
              <w:spacing w:after="80"/>
              <w:jc w:val="left"/>
            </w:pPr>
            <w:r w:rsidRPr="00CD7572">
              <w:t>Alternatives</w:t>
            </w:r>
          </w:p>
        </w:tc>
        <w:tc>
          <w:tcPr>
            <w:tcW w:w="1275" w:type="dxa"/>
          </w:tcPr>
          <w:p w:rsidR="00CD7572" w:rsidRPr="00CD7572" w:rsidRDefault="0062660D" w:rsidP="00CD7572">
            <w:pPr>
              <w:tabs>
                <w:tab w:val="left" w:pos="1080"/>
              </w:tabs>
              <w:spacing w:after="80"/>
              <w:jc w:val="right"/>
            </w:pPr>
            <w:r w:rsidRPr="00CD7572">
              <w:t>324.3</w:t>
            </w:r>
          </w:p>
        </w:tc>
        <w:tc>
          <w:tcPr>
            <w:tcW w:w="1701" w:type="dxa"/>
          </w:tcPr>
          <w:p w:rsidR="00CD7572" w:rsidRPr="00CD7572" w:rsidRDefault="0062660D" w:rsidP="00CD7572">
            <w:pPr>
              <w:tabs>
                <w:tab w:val="left" w:pos="1080"/>
              </w:tabs>
              <w:spacing w:after="80"/>
              <w:jc w:val="right"/>
            </w:pPr>
            <w:r w:rsidRPr="00CD7572">
              <w:t>9.6%</w:t>
            </w:r>
          </w:p>
        </w:tc>
        <w:tc>
          <w:tcPr>
            <w:tcW w:w="1262" w:type="dxa"/>
          </w:tcPr>
          <w:p w:rsidR="00CD7572" w:rsidRPr="00CD7572" w:rsidRDefault="0062660D" w:rsidP="00CD7572">
            <w:pPr>
              <w:tabs>
                <w:tab w:val="left" w:pos="1080"/>
              </w:tabs>
              <w:spacing w:after="80"/>
              <w:jc w:val="right"/>
            </w:pPr>
            <w:r w:rsidRPr="00CD7572">
              <w:t>355.4</w:t>
            </w:r>
          </w:p>
        </w:tc>
        <w:tc>
          <w:tcPr>
            <w:tcW w:w="1257" w:type="dxa"/>
          </w:tcPr>
          <w:p w:rsidR="00CD7572" w:rsidRPr="00CD7572" w:rsidRDefault="0062660D" w:rsidP="00CD7572">
            <w:pPr>
              <w:tabs>
                <w:tab w:val="left" w:pos="1080"/>
              </w:tabs>
              <w:spacing w:after="80"/>
              <w:jc w:val="right"/>
            </w:pPr>
            <w:r w:rsidRPr="00CD7572">
              <w:t>293.2</w:t>
            </w:r>
          </w:p>
        </w:tc>
      </w:tr>
      <w:tr w:rsidR="006A2C17" w:rsidTr="00E245D6">
        <w:tc>
          <w:tcPr>
            <w:tcW w:w="4250" w:type="dxa"/>
          </w:tcPr>
          <w:p w:rsidR="00CD7572" w:rsidRPr="00CD7572" w:rsidRDefault="0062660D" w:rsidP="00CD7572">
            <w:pPr>
              <w:tabs>
                <w:tab w:val="left" w:pos="1080"/>
              </w:tabs>
              <w:spacing w:after="80"/>
              <w:jc w:val="left"/>
            </w:pPr>
            <w:r w:rsidRPr="00CD7572">
              <w:t>Total property</w:t>
            </w:r>
          </w:p>
        </w:tc>
        <w:tc>
          <w:tcPr>
            <w:tcW w:w="1275" w:type="dxa"/>
          </w:tcPr>
          <w:p w:rsidR="00CD7572" w:rsidRPr="00CD7572" w:rsidRDefault="0062660D" w:rsidP="00CD7572">
            <w:pPr>
              <w:tabs>
                <w:tab w:val="left" w:pos="1080"/>
              </w:tabs>
              <w:spacing w:after="80"/>
              <w:jc w:val="right"/>
            </w:pPr>
            <w:r w:rsidRPr="00CD7572">
              <w:t>574.4</w:t>
            </w:r>
          </w:p>
        </w:tc>
        <w:tc>
          <w:tcPr>
            <w:tcW w:w="1701" w:type="dxa"/>
          </w:tcPr>
          <w:p w:rsidR="00CD7572" w:rsidRPr="00CD7572" w:rsidRDefault="0062660D" w:rsidP="00CD7572">
            <w:pPr>
              <w:tabs>
                <w:tab w:val="left" w:pos="1080"/>
              </w:tabs>
              <w:spacing w:after="80"/>
              <w:jc w:val="right"/>
            </w:pPr>
            <w:r w:rsidRPr="00CD7572">
              <w:t>2.1%</w:t>
            </w:r>
          </w:p>
        </w:tc>
        <w:tc>
          <w:tcPr>
            <w:tcW w:w="1262" w:type="dxa"/>
          </w:tcPr>
          <w:p w:rsidR="00CD7572" w:rsidRPr="00CD7572" w:rsidRDefault="0062660D" w:rsidP="00CD7572">
            <w:pPr>
              <w:tabs>
                <w:tab w:val="left" w:pos="1080"/>
              </w:tabs>
              <w:spacing w:after="80"/>
              <w:jc w:val="right"/>
            </w:pPr>
            <w:r w:rsidRPr="00CD7572">
              <w:t>586.4</w:t>
            </w:r>
          </w:p>
        </w:tc>
        <w:tc>
          <w:tcPr>
            <w:tcW w:w="1257" w:type="dxa"/>
          </w:tcPr>
          <w:p w:rsidR="00CD7572" w:rsidRPr="00CD7572" w:rsidRDefault="0062660D" w:rsidP="00CD7572">
            <w:pPr>
              <w:tabs>
                <w:tab w:val="left" w:pos="1080"/>
              </w:tabs>
              <w:spacing w:after="80"/>
              <w:jc w:val="right"/>
            </w:pPr>
            <w:r w:rsidRPr="00CD7572">
              <w:t>562.3</w:t>
            </w:r>
          </w:p>
        </w:tc>
      </w:tr>
      <w:tr w:rsidR="006A2C17" w:rsidTr="00E245D6">
        <w:tc>
          <w:tcPr>
            <w:tcW w:w="4250" w:type="dxa"/>
            <w:shd w:val="clear" w:color="auto" w:fill="C5E0B3" w:themeFill="accent6" w:themeFillTint="66"/>
          </w:tcPr>
          <w:p w:rsidR="00CD7572" w:rsidRPr="00CD7572" w:rsidRDefault="0062660D" w:rsidP="00CD7572">
            <w:pPr>
              <w:tabs>
                <w:tab w:val="left" w:pos="1080"/>
              </w:tabs>
              <w:spacing w:after="80"/>
              <w:jc w:val="left"/>
              <w:rPr>
                <w:b/>
              </w:rPr>
            </w:pPr>
            <w:r w:rsidRPr="00CD7572">
              <w:rPr>
                <w:b/>
              </w:rPr>
              <w:t>Total assets available to pay benefits</w:t>
            </w:r>
          </w:p>
        </w:tc>
        <w:tc>
          <w:tcPr>
            <w:tcW w:w="1275"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5,739.0</w:t>
            </w:r>
          </w:p>
        </w:tc>
        <w:tc>
          <w:tcPr>
            <w:tcW w:w="1701" w:type="dxa"/>
            <w:shd w:val="clear" w:color="auto" w:fill="C5E0B3" w:themeFill="accent6" w:themeFillTint="66"/>
          </w:tcPr>
          <w:p w:rsidR="00CD7572" w:rsidRPr="00CD7572" w:rsidRDefault="0062660D" w:rsidP="00CD7572">
            <w:pPr>
              <w:tabs>
                <w:tab w:val="left" w:pos="1080"/>
              </w:tabs>
              <w:spacing w:after="80"/>
              <w:jc w:val="right"/>
              <w:rPr>
                <w:b/>
              </w:rPr>
            </w:pPr>
          </w:p>
        </w:tc>
        <w:tc>
          <w:tcPr>
            <w:tcW w:w="1262"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6,175.9</w:t>
            </w:r>
          </w:p>
        </w:tc>
        <w:tc>
          <w:tcPr>
            <w:tcW w:w="1257"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5,302.0</w:t>
            </w:r>
          </w:p>
        </w:tc>
      </w:tr>
    </w:tbl>
    <w:p w:rsidR="00CD7572" w:rsidRPr="00CD7572" w:rsidRDefault="0062660D" w:rsidP="00CD7572">
      <w:pPr>
        <w:tabs>
          <w:tab w:val="left" w:pos="1080"/>
        </w:tabs>
        <w:spacing w:after="80"/>
        <w:ind w:left="709"/>
      </w:pPr>
    </w:p>
    <w:p w:rsidR="00CD7572" w:rsidRPr="00CD7572" w:rsidRDefault="0062660D" w:rsidP="00CD7572">
      <w:pPr>
        <w:spacing w:after="0"/>
        <w:ind w:firstLine="709"/>
        <w:rPr>
          <w:b/>
        </w:rPr>
      </w:pPr>
      <w:r w:rsidRPr="00CD7572">
        <w:rPr>
          <w:b/>
        </w:rPr>
        <w:t>18.4 Interest Rate Risk</w:t>
      </w:r>
    </w:p>
    <w:p w:rsidR="00CD7572" w:rsidRPr="00CD7572" w:rsidRDefault="0062660D" w:rsidP="00CD7572">
      <w:pPr>
        <w:ind w:left="720"/>
        <w:jc w:val="left"/>
      </w:pPr>
      <w:r w:rsidRPr="00CD7572">
        <w:t>The Fund invests in financial assets for the primary purpose of obtaining a return on investments.  These investments are subject to interest rate risks, which represent the risks that the fair value of future cash flow of a financial instrument will fluct</w:t>
      </w:r>
      <w:r w:rsidRPr="00CD7572">
        <w:t xml:space="preserve">uate because of changes in market interest rates.  </w:t>
      </w:r>
    </w:p>
    <w:p w:rsidR="00CD7572" w:rsidRPr="00CD7572" w:rsidRDefault="0062660D" w:rsidP="00CD7572">
      <w:pPr>
        <w:ind w:left="720"/>
        <w:jc w:val="left"/>
      </w:pPr>
      <w:r w:rsidRPr="00CD7572">
        <w:t>The Fund's interest rate risk is routinely monitored by the Investment Panel and its investment advisors.  The Fund's direct exposure to interest rate movements as at 31 March 2016 and 31 March 2015 is se</w:t>
      </w:r>
      <w:r w:rsidRPr="00CD7572">
        <w:t>t out below.  These disclosures present interest rate risk based on the underlying financial assets at fair value.</w:t>
      </w:r>
    </w:p>
    <w:p w:rsidR="00CD7572" w:rsidRPr="00CD7572" w:rsidRDefault="0062660D" w:rsidP="00CD7572">
      <w:pPr>
        <w:ind w:left="720"/>
      </w:pPr>
    </w:p>
    <w:tbl>
      <w:tblPr>
        <w:tblStyle w:val="TableGrid6"/>
        <w:tblW w:w="0" w:type="auto"/>
        <w:tblInd w:w="709"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5100"/>
        <w:gridCol w:w="2410"/>
        <w:gridCol w:w="2235"/>
      </w:tblGrid>
      <w:tr w:rsidR="006A2C17" w:rsidTr="00E245D6">
        <w:tc>
          <w:tcPr>
            <w:tcW w:w="5100"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left"/>
              <w:rPr>
                <w:b/>
              </w:rPr>
            </w:pPr>
            <w:r w:rsidRPr="00CD7572">
              <w:rPr>
                <w:b/>
              </w:rPr>
              <w:t>Asset Type</w:t>
            </w:r>
          </w:p>
        </w:tc>
        <w:tc>
          <w:tcPr>
            <w:tcW w:w="2410"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31/03/16</w:t>
            </w:r>
          </w:p>
        </w:tc>
        <w:tc>
          <w:tcPr>
            <w:tcW w:w="2235"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31/03/15</w:t>
            </w:r>
          </w:p>
        </w:tc>
      </w:tr>
      <w:tr w:rsidR="006A2C17" w:rsidTr="00E245D6">
        <w:tc>
          <w:tcPr>
            <w:tcW w:w="5100"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pPr>
          </w:p>
        </w:tc>
        <w:tc>
          <w:tcPr>
            <w:tcW w:w="2410"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2235"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r>
      <w:tr w:rsidR="006A2C17" w:rsidTr="00E245D6">
        <w:tc>
          <w:tcPr>
            <w:tcW w:w="5100" w:type="dxa"/>
            <w:tcBorders>
              <w:top w:val="single" w:sz="2" w:space="0" w:color="auto"/>
            </w:tcBorders>
          </w:tcPr>
          <w:p w:rsidR="00CD7572" w:rsidRPr="00CD7572" w:rsidRDefault="0062660D" w:rsidP="00CD7572">
            <w:pPr>
              <w:tabs>
                <w:tab w:val="left" w:pos="1080"/>
              </w:tabs>
              <w:spacing w:after="80"/>
              <w:jc w:val="left"/>
            </w:pPr>
            <w:r w:rsidRPr="00CD7572">
              <w:t>Cash and cash equivalents</w:t>
            </w:r>
          </w:p>
        </w:tc>
        <w:tc>
          <w:tcPr>
            <w:tcW w:w="2410" w:type="dxa"/>
            <w:tcBorders>
              <w:top w:val="single" w:sz="2" w:space="0" w:color="auto"/>
            </w:tcBorders>
          </w:tcPr>
          <w:p w:rsidR="00CD7572" w:rsidRPr="00CD7572" w:rsidRDefault="0062660D" w:rsidP="00CD7572">
            <w:pPr>
              <w:tabs>
                <w:tab w:val="left" w:pos="1080"/>
              </w:tabs>
              <w:spacing w:after="80"/>
              <w:jc w:val="right"/>
            </w:pPr>
            <w:r w:rsidRPr="00CD7572">
              <w:t>210.3</w:t>
            </w:r>
          </w:p>
        </w:tc>
        <w:tc>
          <w:tcPr>
            <w:tcW w:w="2235" w:type="dxa"/>
            <w:tcBorders>
              <w:top w:val="single" w:sz="2" w:space="0" w:color="auto"/>
            </w:tcBorders>
          </w:tcPr>
          <w:p w:rsidR="00CD7572" w:rsidRPr="00CD7572" w:rsidRDefault="0062660D" w:rsidP="00CD7572">
            <w:pPr>
              <w:tabs>
                <w:tab w:val="left" w:pos="1080"/>
              </w:tabs>
              <w:spacing w:after="80"/>
              <w:jc w:val="right"/>
            </w:pPr>
            <w:r w:rsidRPr="00CD7572">
              <w:t>60.0</w:t>
            </w:r>
          </w:p>
        </w:tc>
      </w:tr>
      <w:tr w:rsidR="006A2C17" w:rsidTr="00E245D6">
        <w:tc>
          <w:tcPr>
            <w:tcW w:w="5100" w:type="dxa"/>
          </w:tcPr>
          <w:p w:rsidR="00CD7572" w:rsidRPr="00CD7572" w:rsidRDefault="0062660D" w:rsidP="00CD7572">
            <w:pPr>
              <w:tabs>
                <w:tab w:val="left" w:pos="1080"/>
              </w:tabs>
              <w:spacing w:after="80"/>
              <w:jc w:val="left"/>
            </w:pPr>
            <w:r w:rsidRPr="00CD7572">
              <w:t>Fixed interest securities</w:t>
            </w:r>
          </w:p>
        </w:tc>
        <w:tc>
          <w:tcPr>
            <w:tcW w:w="2410" w:type="dxa"/>
          </w:tcPr>
          <w:p w:rsidR="00CD7572" w:rsidRPr="00CD7572" w:rsidRDefault="0062660D" w:rsidP="00CD7572">
            <w:pPr>
              <w:tabs>
                <w:tab w:val="left" w:pos="1080"/>
              </w:tabs>
              <w:spacing w:after="80"/>
              <w:jc w:val="right"/>
            </w:pPr>
            <w:r w:rsidRPr="00CD7572">
              <w:t>1,280.3</w:t>
            </w:r>
          </w:p>
        </w:tc>
        <w:tc>
          <w:tcPr>
            <w:tcW w:w="2235" w:type="dxa"/>
          </w:tcPr>
          <w:p w:rsidR="00CD7572" w:rsidRPr="00CD7572" w:rsidRDefault="0062660D" w:rsidP="00CD7572">
            <w:pPr>
              <w:tabs>
                <w:tab w:val="left" w:pos="1080"/>
              </w:tabs>
              <w:spacing w:after="80"/>
              <w:jc w:val="right"/>
            </w:pPr>
            <w:r w:rsidRPr="00CD7572">
              <w:t>1,650.8</w:t>
            </w:r>
          </w:p>
        </w:tc>
      </w:tr>
      <w:tr w:rsidR="006A2C17" w:rsidTr="00E245D6">
        <w:tc>
          <w:tcPr>
            <w:tcW w:w="5100" w:type="dxa"/>
            <w:shd w:val="clear" w:color="auto" w:fill="C5E0B3" w:themeFill="accent6" w:themeFillTint="66"/>
          </w:tcPr>
          <w:p w:rsidR="00CD7572" w:rsidRPr="00CD7572" w:rsidRDefault="0062660D" w:rsidP="00CD7572">
            <w:pPr>
              <w:tabs>
                <w:tab w:val="left" w:pos="1080"/>
              </w:tabs>
              <w:spacing w:after="80"/>
              <w:rPr>
                <w:b/>
              </w:rPr>
            </w:pPr>
            <w:r w:rsidRPr="00CD7572">
              <w:rPr>
                <w:b/>
              </w:rPr>
              <w:t>Total</w:t>
            </w:r>
          </w:p>
        </w:tc>
        <w:tc>
          <w:tcPr>
            <w:tcW w:w="2410"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1,490.6</w:t>
            </w:r>
          </w:p>
        </w:tc>
        <w:tc>
          <w:tcPr>
            <w:tcW w:w="2235"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1,710.8</w:t>
            </w:r>
          </w:p>
        </w:tc>
      </w:tr>
    </w:tbl>
    <w:p w:rsidR="00CD7572" w:rsidRPr="00CD7572" w:rsidRDefault="0062660D" w:rsidP="00CD7572">
      <w:pPr>
        <w:ind w:left="720"/>
        <w:rPr>
          <w:b/>
        </w:rPr>
      </w:pPr>
    </w:p>
    <w:p w:rsidR="00CD7572" w:rsidRPr="00CD7572" w:rsidRDefault="0062660D" w:rsidP="00CD7572">
      <w:pPr>
        <w:spacing w:after="0"/>
        <w:ind w:left="720"/>
        <w:rPr>
          <w:b/>
        </w:rPr>
      </w:pPr>
      <w:r w:rsidRPr="00CD7572">
        <w:rPr>
          <w:b/>
        </w:rPr>
        <w:t xml:space="preserve">18.4.1 Interest rate risk - sensitivity analysis </w:t>
      </w:r>
    </w:p>
    <w:p w:rsidR="00CD7572" w:rsidRPr="00CD7572" w:rsidRDefault="0062660D" w:rsidP="00CD7572">
      <w:pPr>
        <w:ind w:left="720"/>
        <w:jc w:val="left"/>
      </w:pPr>
      <w:r w:rsidRPr="00CD7572">
        <w:t>The Fund has recognised that interest rates can vary and can affect both income to the Fund and the value of the net assets available to pay benefits. A 110 basis point (BPS) movement in interest rates is consistent with the level of sensitivity applied as</w:t>
      </w:r>
      <w:r w:rsidRPr="00CD7572">
        <w:t xml:space="preserve"> part of the Fund's risk management strategy (1BPS = 0.01%).  The Fund's investment advisor has advised that long–term average rates are expected to move less than 110 basis point for one year to the next and experience suggests that such movements are lik</w:t>
      </w:r>
      <w:r w:rsidRPr="00CD7572">
        <w:t xml:space="preserve">ely. </w:t>
      </w:r>
    </w:p>
    <w:p w:rsidR="00CD7572" w:rsidRPr="00CD7572" w:rsidRDefault="0062660D" w:rsidP="00CD7572">
      <w:pPr>
        <w:ind w:left="720"/>
        <w:jc w:val="left"/>
      </w:pPr>
      <w:r w:rsidRPr="00CD7572">
        <w:t xml:space="preserve">The analysis that follows assumes that all other variables, in particular exchange rates, remain constant, and shows the effect in the year on the net assets available to pay benefits of a +/- 100 BPS change in interest rates: </w:t>
      </w:r>
    </w:p>
    <w:tbl>
      <w:tblPr>
        <w:tblStyle w:val="TableGrid6"/>
        <w:tblW w:w="0" w:type="auto"/>
        <w:tblInd w:w="709"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4250"/>
        <w:gridCol w:w="1134"/>
        <w:gridCol w:w="425"/>
        <w:gridCol w:w="2126"/>
        <w:gridCol w:w="992"/>
        <w:gridCol w:w="818"/>
      </w:tblGrid>
      <w:tr w:rsidR="006A2C17" w:rsidTr="00E245D6">
        <w:tc>
          <w:tcPr>
            <w:tcW w:w="4250"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rPr>
                <w:b/>
              </w:rPr>
            </w:pPr>
            <w:r w:rsidRPr="00CD7572">
              <w:rPr>
                <w:b/>
              </w:rPr>
              <w:t>Asset type</w:t>
            </w:r>
          </w:p>
        </w:tc>
        <w:tc>
          <w:tcPr>
            <w:tcW w:w="1134"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pPr>
          </w:p>
        </w:tc>
        <w:tc>
          <w:tcPr>
            <w:tcW w:w="3543" w:type="dxa"/>
            <w:gridSpan w:val="3"/>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rPr>
                <w:b/>
              </w:rPr>
            </w:pPr>
            <w:r w:rsidRPr="00CD7572">
              <w:rPr>
                <w:b/>
              </w:rPr>
              <w:t xml:space="preserve">Change in </w:t>
            </w:r>
            <w:r w:rsidRPr="00CD7572">
              <w:rPr>
                <w:b/>
              </w:rPr>
              <w:t>year in net assets available to pay benefits</w:t>
            </w:r>
          </w:p>
        </w:tc>
        <w:tc>
          <w:tcPr>
            <w:tcW w:w="818"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rPr>
                <w:b/>
              </w:rPr>
            </w:pPr>
          </w:p>
        </w:tc>
      </w:tr>
      <w:tr w:rsidR="006A2C17" w:rsidTr="00E245D6">
        <w:tc>
          <w:tcPr>
            <w:tcW w:w="4250" w:type="dxa"/>
            <w:tcBorders>
              <w:top w:val="nil"/>
              <w:bottom w:val="nil"/>
            </w:tcBorders>
            <w:shd w:val="clear" w:color="auto" w:fill="A8D08D" w:themeFill="accent6" w:themeFillTint="99"/>
          </w:tcPr>
          <w:p w:rsidR="00CD7572" w:rsidRPr="00CD7572" w:rsidRDefault="0062660D" w:rsidP="00CD7572">
            <w:pPr>
              <w:tabs>
                <w:tab w:val="left" w:pos="1080"/>
              </w:tabs>
              <w:spacing w:after="80"/>
            </w:pPr>
          </w:p>
        </w:tc>
        <w:tc>
          <w:tcPr>
            <w:tcW w:w="1559" w:type="dxa"/>
            <w:gridSpan w:val="2"/>
            <w:tcBorders>
              <w:top w:val="nil"/>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31/03/16</w:t>
            </w:r>
          </w:p>
        </w:tc>
        <w:tc>
          <w:tcPr>
            <w:tcW w:w="2126" w:type="dxa"/>
            <w:tcBorders>
              <w:top w:val="nil"/>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+100BPS</w:t>
            </w:r>
          </w:p>
        </w:tc>
        <w:tc>
          <w:tcPr>
            <w:tcW w:w="1810" w:type="dxa"/>
            <w:gridSpan w:val="2"/>
            <w:tcBorders>
              <w:top w:val="nil"/>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-100BPS</w:t>
            </w:r>
          </w:p>
        </w:tc>
      </w:tr>
      <w:tr w:rsidR="006A2C17" w:rsidTr="00E245D6">
        <w:tc>
          <w:tcPr>
            <w:tcW w:w="4250"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pPr>
          </w:p>
        </w:tc>
        <w:tc>
          <w:tcPr>
            <w:tcW w:w="1559" w:type="dxa"/>
            <w:gridSpan w:val="2"/>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2126"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1810" w:type="dxa"/>
            <w:gridSpan w:val="2"/>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r>
      <w:tr w:rsidR="006A2C17" w:rsidTr="00E245D6">
        <w:tc>
          <w:tcPr>
            <w:tcW w:w="4250" w:type="dxa"/>
            <w:tcBorders>
              <w:top w:val="single" w:sz="2" w:space="0" w:color="auto"/>
            </w:tcBorders>
          </w:tcPr>
          <w:p w:rsidR="00CD7572" w:rsidRPr="00CD7572" w:rsidRDefault="0062660D" w:rsidP="00CD7572">
            <w:pPr>
              <w:tabs>
                <w:tab w:val="left" w:pos="1080"/>
              </w:tabs>
              <w:spacing w:after="80"/>
              <w:jc w:val="left"/>
            </w:pPr>
            <w:r w:rsidRPr="00CD7572">
              <w:t>Cash and cash equivalents</w:t>
            </w:r>
          </w:p>
        </w:tc>
        <w:tc>
          <w:tcPr>
            <w:tcW w:w="1559" w:type="dxa"/>
            <w:gridSpan w:val="2"/>
            <w:tcBorders>
              <w:top w:val="single" w:sz="2" w:space="0" w:color="auto"/>
            </w:tcBorders>
          </w:tcPr>
          <w:p w:rsidR="00CD7572" w:rsidRPr="00CD7572" w:rsidRDefault="0062660D" w:rsidP="00CD7572">
            <w:pPr>
              <w:tabs>
                <w:tab w:val="left" w:pos="1080"/>
              </w:tabs>
              <w:spacing w:after="80"/>
              <w:jc w:val="right"/>
            </w:pPr>
            <w:r w:rsidRPr="00CD7572">
              <w:t>210.3</w:t>
            </w:r>
          </w:p>
        </w:tc>
        <w:tc>
          <w:tcPr>
            <w:tcW w:w="2126" w:type="dxa"/>
            <w:tcBorders>
              <w:top w:val="single" w:sz="2" w:space="0" w:color="auto"/>
            </w:tcBorders>
          </w:tcPr>
          <w:p w:rsidR="00CD7572" w:rsidRPr="00CD7572" w:rsidRDefault="0062660D" w:rsidP="00CD7572">
            <w:pPr>
              <w:tabs>
                <w:tab w:val="left" w:pos="1080"/>
              </w:tabs>
              <w:spacing w:after="80"/>
              <w:jc w:val="right"/>
            </w:pPr>
            <w:r w:rsidRPr="00CD7572">
              <w:t>2.1</w:t>
            </w:r>
          </w:p>
        </w:tc>
        <w:tc>
          <w:tcPr>
            <w:tcW w:w="1810" w:type="dxa"/>
            <w:gridSpan w:val="2"/>
            <w:tcBorders>
              <w:top w:val="single" w:sz="2" w:space="0" w:color="auto"/>
            </w:tcBorders>
          </w:tcPr>
          <w:p w:rsidR="00CD7572" w:rsidRPr="00CD7572" w:rsidRDefault="0062660D" w:rsidP="00CD7572">
            <w:pPr>
              <w:tabs>
                <w:tab w:val="left" w:pos="1080"/>
              </w:tabs>
              <w:spacing w:after="80"/>
              <w:jc w:val="right"/>
            </w:pPr>
            <w:r w:rsidRPr="00CD7572">
              <w:t>(2.1)</w:t>
            </w:r>
          </w:p>
        </w:tc>
      </w:tr>
      <w:tr w:rsidR="006A2C17" w:rsidTr="00E245D6">
        <w:tc>
          <w:tcPr>
            <w:tcW w:w="4250" w:type="dxa"/>
          </w:tcPr>
          <w:p w:rsidR="00CD7572" w:rsidRPr="00CD7572" w:rsidRDefault="0062660D" w:rsidP="00CD7572">
            <w:pPr>
              <w:tabs>
                <w:tab w:val="left" w:pos="1080"/>
              </w:tabs>
              <w:spacing w:after="80"/>
              <w:jc w:val="left"/>
            </w:pPr>
            <w:r w:rsidRPr="00CD7572">
              <w:t>Fixed interest securities</w:t>
            </w:r>
          </w:p>
        </w:tc>
        <w:tc>
          <w:tcPr>
            <w:tcW w:w="1559" w:type="dxa"/>
            <w:gridSpan w:val="2"/>
          </w:tcPr>
          <w:p w:rsidR="00CD7572" w:rsidRPr="00CD7572" w:rsidRDefault="0062660D" w:rsidP="00CD7572">
            <w:pPr>
              <w:tabs>
                <w:tab w:val="left" w:pos="1080"/>
              </w:tabs>
              <w:spacing w:after="80"/>
              <w:jc w:val="right"/>
            </w:pPr>
            <w:r w:rsidRPr="00CD7572">
              <w:t>1,280.3</w:t>
            </w:r>
          </w:p>
        </w:tc>
        <w:tc>
          <w:tcPr>
            <w:tcW w:w="2126" w:type="dxa"/>
          </w:tcPr>
          <w:p w:rsidR="00CD7572" w:rsidRPr="00CD7572" w:rsidRDefault="0062660D" w:rsidP="00CD7572">
            <w:pPr>
              <w:tabs>
                <w:tab w:val="left" w:pos="1080"/>
              </w:tabs>
              <w:spacing w:after="80"/>
              <w:jc w:val="right"/>
            </w:pPr>
            <w:r w:rsidRPr="00CD7572">
              <w:t>12.8</w:t>
            </w:r>
          </w:p>
        </w:tc>
        <w:tc>
          <w:tcPr>
            <w:tcW w:w="1810" w:type="dxa"/>
            <w:gridSpan w:val="2"/>
          </w:tcPr>
          <w:p w:rsidR="00CD7572" w:rsidRPr="00CD7572" w:rsidRDefault="0062660D" w:rsidP="00CD7572">
            <w:pPr>
              <w:tabs>
                <w:tab w:val="left" w:pos="1080"/>
              </w:tabs>
              <w:spacing w:after="80"/>
              <w:jc w:val="right"/>
            </w:pPr>
            <w:r w:rsidRPr="00CD7572">
              <w:t>(12.8)</w:t>
            </w:r>
          </w:p>
        </w:tc>
      </w:tr>
      <w:tr w:rsidR="006A2C17" w:rsidTr="00E245D6">
        <w:tc>
          <w:tcPr>
            <w:tcW w:w="4250" w:type="dxa"/>
            <w:shd w:val="clear" w:color="auto" w:fill="C5E0B3" w:themeFill="accent6" w:themeFillTint="66"/>
          </w:tcPr>
          <w:p w:rsidR="00CD7572" w:rsidRPr="00CD7572" w:rsidRDefault="0062660D" w:rsidP="00CD7572">
            <w:pPr>
              <w:tabs>
                <w:tab w:val="left" w:pos="1080"/>
              </w:tabs>
              <w:spacing w:after="80"/>
              <w:jc w:val="left"/>
              <w:rPr>
                <w:b/>
              </w:rPr>
            </w:pPr>
            <w:r w:rsidRPr="00CD7572">
              <w:rPr>
                <w:b/>
              </w:rPr>
              <w:t>Total change in assets available</w:t>
            </w:r>
          </w:p>
        </w:tc>
        <w:tc>
          <w:tcPr>
            <w:tcW w:w="1559" w:type="dxa"/>
            <w:gridSpan w:val="2"/>
            <w:shd w:val="clear" w:color="auto" w:fill="C5E0B3" w:themeFill="accent6" w:themeFillTint="66"/>
          </w:tcPr>
          <w:p w:rsidR="00CD7572" w:rsidRPr="00CD7572" w:rsidRDefault="0062660D" w:rsidP="00CD7572">
            <w:pPr>
              <w:tabs>
                <w:tab w:val="left" w:pos="1080"/>
              </w:tabs>
              <w:spacing w:after="80"/>
              <w:jc w:val="right"/>
              <w:rPr>
                <w:b/>
              </w:rPr>
            </w:pPr>
            <w:r w:rsidRPr="00CD7572">
              <w:rPr>
                <w:b/>
              </w:rPr>
              <w:t>1,490.6</w:t>
            </w:r>
          </w:p>
        </w:tc>
        <w:tc>
          <w:tcPr>
            <w:tcW w:w="2126"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14.9</w:t>
            </w:r>
          </w:p>
        </w:tc>
        <w:tc>
          <w:tcPr>
            <w:tcW w:w="1810" w:type="dxa"/>
            <w:gridSpan w:val="2"/>
            <w:shd w:val="clear" w:color="auto" w:fill="C5E0B3" w:themeFill="accent6" w:themeFillTint="66"/>
          </w:tcPr>
          <w:p w:rsidR="00CD7572" w:rsidRPr="00CD7572" w:rsidRDefault="0062660D" w:rsidP="00CD7572">
            <w:pPr>
              <w:tabs>
                <w:tab w:val="left" w:pos="1080"/>
              </w:tabs>
              <w:spacing w:after="80"/>
              <w:jc w:val="right"/>
              <w:rPr>
                <w:b/>
              </w:rPr>
            </w:pPr>
            <w:r w:rsidRPr="00CD7572">
              <w:rPr>
                <w:b/>
              </w:rPr>
              <w:t>(14.9)</w:t>
            </w:r>
          </w:p>
        </w:tc>
      </w:tr>
    </w:tbl>
    <w:p w:rsidR="00CD7572" w:rsidRPr="00CD7572" w:rsidRDefault="0062660D" w:rsidP="00CD7572">
      <w:pPr>
        <w:tabs>
          <w:tab w:val="left" w:pos="1080"/>
        </w:tabs>
        <w:spacing w:after="80"/>
        <w:ind w:left="709"/>
      </w:pPr>
    </w:p>
    <w:tbl>
      <w:tblPr>
        <w:tblStyle w:val="TableGrid6"/>
        <w:tblW w:w="0" w:type="auto"/>
        <w:tblInd w:w="709"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4250"/>
        <w:gridCol w:w="1134"/>
        <w:gridCol w:w="425"/>
        <w:gridCol w:w="2126"/>
        <w:gridCol w:w="992"/>
        <w:gridCol w:w="818"/>
      </w:tblGrid>
      <w:tr w:rsidR="006A2C17" w:rsidTr="00E245D6">
        <w:tc>
          <w:tcPr>
            <w:tcW w:w="4250"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rPr>
                <w:b/>
              </w:rPr>
            </w:pPr>
            <w:r w:rsidRPr="00CD7572">
              <w:rPr>
                <w:b/>
              </w:rPr>
              <w:t>Asset type</w:t>
            </w:r>
          </w:p>
        </w:tc>
        <w:tc>
          <w:tcPr>
            <w:tcW w:w="1134"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pPr>
          </w:p>
        </w:tc>
        <w:tc>
          <w:tcPr>
            <w:tcW w:w="3543" w:type="dxa"/>
            <w:gridSpan w:val="3"/>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rPr>
                <w:b/>
              </w:rPr>
            </w:pPr>
            <w:r w:rsidRPr="00CD7572">
              <w:rPr>
                <w:b/>
              </w:rPr>
              <w:t>Change in year</w:t>
            </w:r>
            <w:r w:rsidRPr="00CD7572">
              <w:rPr>
                <w:b/>
              </w:rPr>
              <w:t xml:space="preserve"> in net assets available to pay benefits</w:t>
            </w:r>
          </w:p>
        </w:tc>
        <w:tc>
          <w:tcPr>
            <w:tcW w:w="818"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rPr>
                <w:b/>
              </w:rPr>
            </w:pPr>
          </w:p>
        </w:tc>
      </w:tr>
      <w:tr w:rsidR="006A2C17" w:rsidTr="00E245D6">
        <w:tc>
          <w:tcPr>
            <w:tcW w:w="4250" w:type="dxa"/>
            <w:tcBorders>
              <w:top w:val="nil"/>
              <w:bottom w:val="nil"/>
            </w:tcBorders>
            <w:shd w:val="clear" w:color="auto" w:fill="A8D08D" w:themeFill="accent6" w:themeFillTint="99"/>
          </w:tcPr>
          <w:p w:rsidR="00CD7572" w:rsidRPr="00CD7572" w:rsidRDefault="0062660D" w:rsidP="00CD7572">
            <w:pPr>
              <w:tabs>
                <w:tab w:val="left" w:pos="1080"/>
              </w:tabs>
              <w:spacing w:after="80"/>
            </w:pPr>
          </w:p>
        </w:tc>
        <w:tc>
          <w:tcPr>
            <w:tcW w:w="1559" w:type="dxa"/>
            <w:gridSpan w:val="2"/>
            <w:tcBorders>
              <w:top w:val="nil"/>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31/03/15</w:t>
            </w:r>
          </w:p>
        </w:tc>
        <w:tc>
          <w:tcPr>
            <w:tcW w:w="2126" w:type="dxa"/>
            <w:tcBorders>
              <w:top w:val="nil"/>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+100BPS</w:t>
            </w:r>
          </w:p>
        </w:tc>
        <w:tc>
          <w:tcPr>
            <w:tcW w:w="1810" w:type="dxa"/>
            <w:gridSpan w:val="2"/>
            <w:tcBorders>
              <w:top w:val="nil"/>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-100BPS</w:t>
            </w:r>
          </w:p>
        </w:tc>
      </w:tr>
      <w:tr w:rsidR="006A2C17" w:rsidTr="00E245D6">
        <w:tc>
          <w:tcPr>
            <w:tcW w:w="4250"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pPr>
          </w:p>
        </w:tc>
        <w:tc>
          <w:tcPr>
            <w:tcW w:w="1559" w:type="dxa"/>
            <w:gridSpan w:val="2"/>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2126"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1810" w:type="dxa"/>
            <w:gridSpan w:val="2"/>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r>
      <w:tr w:rsidR="006A2C17" w:rsidTr="00E245D6">
        <w:tc>
          <w:tcPr>
            <w:tcW w:w="4250" w:type="dxa"/>
            <w:tcBorders>
              <w:top w:val="single" w:sz="2" w:space="0" w:color="auto"/>
            </w:tcBorders>
          </w:tcPr>
          <w:p w:rsidR="00CD7572" w:rsidRPr="00CD7572" w:rsidRDefault="0062660D" w:rsidP="00CD7572">
            <w:pPr>
              <w:tabs>
                <w:tab w:val="left" w:pos="1080"/>
              </w:tabs>
              <w:spacing w:after="80"/>
              <w:jc w:val="left"/>
            </w:pPr>
            <w:r w:rsidRPr="00CD7572">
              <w:t>Cash and cash equivalents</w:t>
            </w:r>
          </w:p>
        </w:tc>
        <w:tc>
          <w:tcPr>
            <w:tcW w:w="1559" w:type="dxa"/>
            <w:gridSpan w:val="2"/>
            <w:tcBorders>
              <w:top w:val="single" w:sz="2" w:space="0" w:color="auto"/>
            </w:tcBorders>
          </w:tcPr>
          <w:p w:rsidR="00CD7572" w:rsidRPr="00CD7572" w:rsidRDefault="0062660D" w:rsidP="00CD7572">
            <w:pPr>
              <w:tabs>
                <w:tab w:val="left" w:pos="1080"/>
              </w:tabs>
              <w:spacing w:after="80"/>
              <w:jc w:val="right"/>
            </w:pPr>
            <w:r w:rsidRPr="00CD7572">
              <w:t>60.0</w:t>
            </w:r>
          </w:p>
        </w:tc>
        <w:tc>
          <w:tcPr>
            <w:tcW w:w="2126" w:type="dxa"/>
            <w:tcBorders>
              <w:top w:val="single" w:sz="2" w:space="0" w:color="auto"/>
            </w:tcBorders>
          </w:tcPr>
          <w:p w:rsidR="00CD7572" w:rsidRPr="00CD7572" w:rsidRDefault="0062660D" w:rsidP="00CD7572">
            <w:pPr>
              <w:tabs>
                <w:tab w:val="left" w:pos="1080"/>
              </w:tabs>
              <w:spacing w:after="80"/>
              <w:jc w:val="right"/>
            </w:pPr>
            <w:r w:rsidRPr="00CD7572">
              <w:t>0.6</w:t>
            </w:r>
          </w:p>
        </w:tc>
        <w:tc>
          <w:tcPr>
            <w:tcW w:w="1810" w:type="dxa"/>
            <w:gridSpan w:val="2"/>
            <w:tcBorders>
              <w:top w:val="single" w:sz="2" w:space="0" w:color="auto"/>
            </w:tcBorders>
          </w:tcPr>
          <w:p w:rsidR="00CD7572" w:rsidRPr="00CD7572" w:rsidRDefault="0062660D" w:rsidP="00CD7572">
            <w:pPr>
              <w:tabs>
                <w:tab w:val="left" w:pos="1080"/>
              </w:tabs>
              <w:spacing w:after="80"/>
              <w:jc w:val="right"/>
            </w:pPr>
            <w:r w:rsidRPr="00CD7572">
              <w:t>(0.6)</w:t>
            </w:r>
          </w:p>
        </w:tc>
      </w:tr>
      <w:tr w:rsidR="006A2C17" w:rsidTr="00E245D6">
        <w:tc>
          <w:tcPr>
            <w:tcW w:w="4250" w:type="dxa"/>
          </w:tcPr>
          <w:p w:rsidR="00CD7572" w:rsidRPr="00CD7572" w:rsidRDefault="0062660D" w:rsidP="00CD7572">
            <w:pPr>
              <w:tabs>
                <w:tab w:val="left" w:pos="1080"/>
              </w:tabs>
              <w:spacing w:after="80"/>
              <w:jc w:val="left"/>
            </w:pPr>
            <w:r w:rsidRPr="00CD7572">
              <w:t>Fixed interest securities</w:t>
            </w:r>
          </w:p>
        </w:tc>
        <w:tc>
          <w:tcPr>
            <w:tcW w:w="1559" w:type="dxa"/>
            <w:gridSpan w:val="2"/>
          </w:tcPr>
          <w:p w:rsidR="00CD7572" w:rsidRPr="00CD7572" w:rsidRDefault="0062660D" w:rsidP="00CD7572">
            <w:pPr>
              <w:tabs>
                <w:tab w:val="left" w:pos="1080"/>
              </w:tabs>
              <w:spacing w:after="80"/>
              <w:jc w:val="right"/>
            </w:pPr>
            <w:r w:rsidRPr="00CD7572">
              <w:t>1,650.8</w:t>
            </w:r>
          </w:p>
        </w:tc>
        <w:tc>
          <w:tcPr>
            <w:tcW w:w="2126" w:type="dxa"/>
          </w:tcPr>
          <w:p w:rsidR="00CD7572" w:rsidRPr="00CD7572" w:rsidRDefault="0062660D" w:rsidP="00CD7572">
            <w:pPr>
              <w:tabs>
                <w:tab w:val="left" w:pos="1080"/>
              </w:tabs>
              <w:spacing w:after="80"/>
              <w:jc w:val="right"/>
            </w:pPr>
            <w:r w:rsidRPr="00CD7572">
              <w:t>16.5</w:t>
            </w:r>
          </w:p>
        </w:tc>
        <w:tc>
          <w:tcPr>
            <w:tcW w:w="1810" w:type="dxa"/>
            <w:gridSpan w:val="2"/>
          </w:tcPr>
          <w:p w:rsidR="00CD7572" w:rsidRPr="00CD7572" w:rsidRDefault="0062660D" w:rsidP="00CD7572">
            <w:pPr>
              <w:tabs>
                <w:tab w:val="left" w:pos="1080"/>
              </w:tabs>
              <w:spacing w:after="80"/>
              <w:jc w:val="right"/>
            </w:pPr>
            <w:r w:rsidRPr="00CD7572">
              <w:t>(16.5)</w:t>
            </w:r>
          </w:p>
        </w:tc>
      </w:tr>
      <w:tr w:rsidR="006A2C17" w:rsidTr="00E245D6">
        <w:tc>
          <w:tcPr>
            <w:tcW w:w="4250" w:type="dxa"/>
            <w:shd w:val="clear" w:color="auto" w:fill="C5E0B3" w:themeFill="accent6" w:themeFillTint="66"/>
          </w:tcPr>
          <w:p w:rsidR="00CD7572" w:rsidRPr="00CD7572" w:rsidRDefault="0062660D" w:rsidP="00CD7572">
            <w:pPr>
              <w:tabs>
                <w:tab w:val="left" w:pos="1080"/>
              </w:tabs>
              <w:spacing w:after="80"/>
              <w:jc w:val="left"/>
              <w:rPr>
                <w:b/>
              </w:rPr>
            </w:pPr>
            <w:r w:rsidRPr="00CD7572">
              <w:rPr>
                <w:b/>
              </w:rPr>
              <w:t>Total change in assets available</w:t>
            </w:r>
          </w:p>
        </w:tc>
        <w:tc>
          <w:tcPr>
            <w:tcW w:w="1559" w:type="dxa"/>
            <w:gridSpan w:val="2"/>
            <w:shd w:val="clear" w:color="auto" w:fill="C5E0B3" w:themeFill="accent6" w:themeFillTint="66"/>
          </w:tcPr>
          <w:p w:rsidR="00CD7572" w:rsidRPr="00CD7572" w:rsidRDefault="0062660D" w:rsidP="00CD7572">
            <w:pPr>
              <w:tabs>
                <w:tab w:val="left" w:pos="1080"/>
              </w:tabs>
              <w:spacing w:after="80"/>
              <w:jc w:val="right"/>
              <w:rPr>
                <w:b/>
              </w:rPr>
            </w:pPr>
            <w:r w:rsidRPr="00CD7572">
              <w:rPr>
                <w:b/>
              </w:rPr>
              <w:t>1,710.8</w:t>
            </w:r>
          </w:p>
        </w:tc>
        <w:tc>
          <w:tcPr>
            <w:tcW w:w="2126"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17.1</w:t>
            </w:r>
          </w:p>
        </w:tc>
        <w:tc>
          <w:tcPr>
            <w:tcW w:w="1810" w:type="dxa"/>
            <w:gridSpan w:val="2"/>
            <w:shd w:val="clear" w:color="auto" w:fill="C5E0B3" w:themeFill="accent6" w:themeFillTint="66"/>
          </w:tcPr>
          <w:p w:rsidR="00CD7572" w:rsidRPr="00CD7572" w:rsidRDefault="0062660D" w:rsidP="00CD7572">
            <w:pPr>
              <w:tabs>
                <w:tab w:val="left" w:pos="1080"/>
              </w:tabs>
              <w:spacing w:after="80"/>
              <w:jc w:val="right"/>
              <w:rPr>
                <w:b/>
              </w:rPr>
            </w:pPr>
            <w:r w:rsidRPr="00CD7572">
              <w:rPr>
                <w:b/>
              </w:rPr>
              <w:t>(17.1)</w:t>
            </w:r>
          </w:p>
        </w:tc>
      </w:tr>
    </w:tbl>
    <w:p w:rsidR="00CD7572" w:rsidRPr="00CD7572" w:rsidRDefault="0062660D" w:rsidP="00CD7572">
      <w:pPr>
        <w:spacing w:after="0"/>
        <w:ind w:left="720"/>
        <w:rPr>
          <w:b/>
        </w:rPr>
      </w:pPr>
    </w:p>
    <w:p w:rsidR="00CD7572" w:rsidRPr="00CD7572" w:rsidRDefault="0062660D" w:rsidP="00CD7572">
      <w:pPr>
        <w:spacing w:after="0"/>
        <w:ind w:left="720"/>
      </w:pPr>
      <w:r w:rsidRPr="00CD7572">
        <w:rPr>
          <w:b/>
        </w:rPr>
        <w:t>18.5 Currency risk</w:t>
      </w:r>
    </w:p>
    <w:p w:rsidR="00CD7572" w:rsidRPr="00CD7572" w:rsidRDefault="0062660D" w:rsidP="00CD7572">
      <w:pPr>
        <w:ind w:left="720"/>
        <w:jc w:val="left"/>
      </w:pPr>
      <w:r w:rsidRPr="00CD7572">
        <w:t xml:space="preserve">Currency risk represents the risk that the fair value cash flow of a financial instrument will fluctuate because of changes in foreign exchange rates. The Fund is exposed to currency risk on financial instruments that are denominated in any currency other </w:t>
      </w:r>
      <w:r w:rsidRPr="00CD7572">
        <w:t xml:space="preserve">than the functional currency of the Fund (£).  The Fund holds both monetary and non-monetary assets denominated in currencies other than £. </w:t>
      </w:r>
    </w:p>
    <w:p w:rsidR="00CD7572" w:rsidRPr="00CD7572" w:rsidRDefault="0062660D" w:rsidP="00CD7572">
      <w:pPr>
        <w:ind w:left="720"/>
        <w:jc w:val="left"/>
      </w:pPr>
      <w:r w:rsidRPr="00CD7572">
        <w:t>The Fund's currency rate risk is routinely monitored by the Fund and its investment advisors in accordance with the</w:t>
      </w:r>
      <w:r w:rsidRPr="00CD7572">
        <w:t xml:space="preserve"> Fund's risk management strategy. </w:t>
      </w:r>
    </w:p>
    <w:p w:rsidR="00CD7572" w:rsidRPr="00CD7572" w:rsidRDefault="0062660D" w:rsidP="00CD7572">
      <w:pPr>
        <w:ind w:left="720"/>
        <w:jc w:val="left"/>
      </w:pPr>
      <w:r w:rsidRPr="00CD7572">
        <w:t xml:space="preserve">The following table summarises the Fund's currency exposure as at 31 March 2016 and as at the previous year end:    </w:t>
      </w:r>
    </w:p>
    <w:p w:rsidR="00CD7572" w:rsidRPr="00CD7572" w:rsidRDefault="0062660D" w:rsidP="00CD7572">
      <w:pPr>
        <w:ind w:left="720"/>
      </w:pPr>
    </w:p>
    <w:p w:rsidR="00CD7572" w:rsidRPr="00CD7572" w:rsidRDefault="0062660D" w:rsidP="00CD7572">
      <w:pPr>
        <w:ind w:left="720"/>
      </w:pPr>
    </w:p>
    <w:p w:rsidR="00CD7572" w:rsidRPr="00CD7572" w:rsidRDefault="0062660D" w:rsidP="00CD7572">
      <w:pPr>
        <w:ind w:left="720"/>
      </w:pPr>
    </w:p>
    <w:tbl>
      <w:tblPr>
        <w:tblStyle w:val="TableGrid6"/>
        <w:tblW w:w="0" w:type="auto"/>
        <w:tblInd w:w="709"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4391"/>
        <w:gridCol w:w="426"/>
        <w:gridCol w:w="2409"/>
        <w:gridCol w:w="2519"/>
      </w:tblGrid>
      <w:tr w:rsidR="006A2C17" w:rsidTr="00E245D6">
        <w:trPr>
          <w:trHeight w:val="207"/>
        </w:trPr>
        <w:tc>
          <w:tcPr>
            <w:tcW w:w="4391"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left"/>
              <w:rPr>
                <w:b/>
              </w:rPr>
            </w:pPr>
            <w:r w:rsidRPr="00CD7572">
              <w:rPr>
                <w:b/>
              </w:rPr>
              <w:t>Currency exposure – asset type</w:t>
            </w:r>
          </w:p>
        </w:tc>
        <w:tc>
          <w:tcPr>
            <w:tcW w:w="2835" w:type="dxa"/>
            <w:gridSpan w:val="2"/>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p>
        </w:tc>
        <w:tc>
          <w:tcPr>
            <w:tcW w:w="2519"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p>
        </w:tc>
      </w:tr>
      <w:tr w:rsidR="006A2C17" w:rsidTr="00E245D6">
        <w:tc>
          <w:tcPr>
            <w:tcW w:w="4391" w:type="dxa"/>
            <w:tcBorders>
              <w:top w:val="nil"/>
              <w:bottom w:val="nil"/>
            </w:tcBorders>
            <w:shd w:val="clear" w:color="auto" w:fill="A8D08D" w:themeFill="accent6" w:themeFillTint="99"/>
          </w:tcPr>
          <w:p w:rsidR="00CD7572" w:rsidRPr="00CD7572" w:rsidRDefault="0062660D" w:rsidP="00CD7572">
            <w:pPr>
              <w:tabs>
                <w:tab w:val="left" w:pos="1080"/>
              </w:tabs>
              <w:spacing w:after="80"/>
              <w:jc w:val="left"/>
              <w:rPr>
                <w:b/>
              </w:rPr>
            </w:pPr>
          </w:p>
        </w:tc>
        <w:tc>
          <w:tcPr>
            <w:tcW w:w="2835" w:type="dxa"/>
            <w:gridSpan w:val="2"/>
            <w:tcBorders>
              <w:top w:val="nil"/>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31/03/16</w:t>
            </w:r>
          </w:p>
        </w:tc>
        <w:tc>
          <w:tcPr>
            <w:tcW w:w="2519" w:type="dxa"/>
            <w:tcBorders>
              <w:top w:val="nil"/>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31/03/15</w:t>
            </w:r>
          </w:p>
        </w:tc>
      </w:tr>
      <w:tr w:rsidR="006A2C17" w:rsidTr="00E245D6">
        <w:tc>
          <w:tcPr>
            <w:tcW w:w="4391"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left"/>
              <w:rPr>
                <w:b/>
              </w:rPr>
            </w:pPr>
          </w:p>
        </w:tc>
        <w:tc>
          <w:tcPr>
            <w:tcW w:w="2835" w:type="dxa"/>
            <w:gridSpan w:val="2"/>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2519"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r>
      <w:tr w:rsidR="006A2C17" w:rsidTr="00E245D6">
        <w:tc>
          <w:tcPr>
            <w:tcW w:w="4817" w:type="dxa"/>
            <w:gridSpan w:val="2"/>
            <w:tcBorders>
              <w:top w:val="single" w:sz="2" w:space="0" w:color="auto"/>
            </w:tcBorders>
          </w:tcPr>
          <w:p w:rsidR="00CD7572" w:rsidRPr="00CD7572" w:rsidRDefault="0062660D" w:rsidP="00CD7572">
            <w:pPr>
              <w:tabs>
                <w:tab w:val="left" w:pos="1080"/>
              </w:tabs>
              <w:spacing w:after="80"/>
              <w:jc w:val="left"/>
            </w:pPr>
            <w:r w:rsidRPr="00CD7572">
              <w:t>Overseas bonds (including index linked)</w:t>
            </w:r>
          </w:p>
        </w:tc>
        <w:tc>
          <w:tcPr>
            <w:tcW w:w="2409" w:type="dxa"/>
            <w:tcBorders>
              <w:top w:val="single" w:sz="2" w:space="0" w:color="auto"/>
            </w:tcBorders>
          </w:tcPr>
          <w:p w:rsidR="00CD7572" w:rsidRPr="00CD7572" w:rsidRDefault="0062660D" w:rsidP="00CD7572">
            <w:pPr>
              <w:tabs>
                <w:tab w:val="left" w:pos="1080"/>
              </w:tabs>
              <w:spacing w:after="80"/>
              <w:jc w:val="right"/>
            </w:pPr>
            <w:r w:rsidRPr="00CD7572">
              <w:t>850.9</w:t>
            </w:r>
          </w:p>
        </w:tc>
        <w:tc>
          <w:tcPr>
            <w:tcW w:w="2519" w:type="dxa"/>
            <w:tcBorders>
              <w:top w:val="single" w:sz="2" w:space="0" w:color="auto"/>
            </w:tcBorders>
          </w:tcPr>
          <w:p w:rsidR="00CD7572" w:rsidRPr="00CD7572" w:rsidRDefault="0062660D" w:rsidP="00CD7572">
            <w:pPr>
              <w:tabs>
                <w:tab w:val="left" w:pos="1080"/>
              </w:tabs>
              <w:spacing w:after="80"/>
              <w:jc w:val="right"/>
            </w:pPr>
            <w:r w:rsidRPr="00CD7572">
              <w:t>1,498.3</w:t>
            </w:r>
          </w:p>
        </w:tc>
      </w:tr>
      <w:tr w:rsidR="006A2C17" w:rsidTr="00E245D6">
        <w:tc>
          <w:tcPr>
            <w:tcW w:w="4817" w:type="dxa"/>
            <w:gridSpan w:val="2"/>
          </w:tcPr>
          <w:p w:rsidR="00CD7572" w:rsidRPr="00CD7572" w:rsidRDefault="0062660D" w:rsidP="00CD7572">
            <w:pPr>
              <w:tabs>
                <w:tab w:val="left" w:pos="1080"/>
              </w:tabs>
              <w:spacing w:after="80"/>
              <w:jc w:val="left"/>
            </w:pPr>
            <w:r w:rsidRPr="00CD7572">
              <w:t>Overseas equities</w:t>
            </w:r>
          </w:p>
        </w:tc>
        <w:tc>
          <w:tcPr>
            <w:tcW w:w="2409" w:type="dxa"/>
          </w:tcPr>
          <w:p w:rsidR="00CD7572" w:rsidRPr="00CD7572" w:rsidRDefault="0062660D" w:rsidP="00CD7572">
            <w:pPr>
              <w:tabs>
                <w:tab w:val="left" w:pos="1080"/>
              </w:tabs>
              <w:spacing w:after="80"/>
              <w:jc w:val="right"/>
            </w:pPr>
            <w:r w:rsidRPr="00CD7572">
              <w:t>2,622.9</w:t>
            </w:r>
          </w:p>
        </w:tc>
        <w:tc>
          <w:tcPr>
            <w:tcW w:w="2519" w:type="dxa"/>
          </w:tcPr>
          <w:p w:rsidR="00CD7572" w:rsidRPr="00CD7572" w:rsidRDefault="0062660D" w:rsidP="00CD7572">
            <w:pPr>
              <w:tabs>
                <w:tab w:val="left" w:pos="1080"/>
              </w:tabs>
              <w:spacing w:after="80"/>
              <w:jc w:val="right"/>
            </w:pPr>
            <w:r w:rsidRPr="00CD7572">
              <w:t>2,513.8</w:t>
            </w:r>
          </w:p>
        </w:tc>
      </w:tr>
      <w:tr w:rsidR="006A2C17" w:rsidTr="00E245D6">
        <w:tc>
          <w:tcPr>
            <w:tcW w:w="4817" w:type="dxa"/>
            <w:gridSpan w:val="2"/>
          </w:tcPr>
          <w:p w:rsidR="00CD7572" w:rsidRPr="00CD7572" w:rsidRDefault="0062660D" w:rsidP="00CD7572">
            <w:pPr>
              <w:tabs>
                <w:tab w:val="left" w:pos="1080"/>
              </w:tabs>
              <w:spacing w:after="80"/>
              <w:jc w:val="left"/>
            </w:pPr>
            <w:r w:rsidRPr="00CD7572">
              <w:t xml:space="preserve">Overseas alternatives </w:t>
            </w:r>
          </w:p>
        </w:tc>
        <w:tc>
          <w:tcPr>
            <w:tcW w:w="2409" w:type="dxa"/>
          </w:tcPr>
          <w:p w:rsidR="00CD7572" w:rsidRPr="00CD7572" w:rsidRDefault="0062660D" w:rsidP="00CD7572">
            <w:pPr>
              <w:tabs>
                <w:tab w:val="left" w:pos="1080"/>
              </w:tabs>
              <w:spacing w:after="80"/>
              <w:jc w:val="right"/>
            </w:pPr>
            <w:r w:rsidRPr="00CD7572">
              <w:t>868.0</w:t>
            </w:r>
          </w:p>
        </w:tc>
        <w:tc>
          <w:tcPr>
            <w:tcW w:w="2519" w:type="dxa"/>
          </w:tcPr>
          <w:p w:rsidR="00CD7572" w:rsidRPr="00CD7572" w:rsidRDefault="0062660D" w:rsidP="00CD7572">
            <w:pPr>
              <w:tabs>
                <w:tab w:val="left" w:pos="1080"/>
              </w:tabs>
              <w:spacing w:after="80"/>
              <w:jc w:val="right"/>
            </w:pPr>
            <w:r w:rsidRPr="00CD7572">
              <w:t>191.4</w:t>
            </w:r>
          </w:p>
        </w:tc>
      </w:tr>
      <w:tr w:rsidR="006A2C17" w:rsidTr="00E245D6">
        <w:tc>
          <w:tcPr>
            <w:tcW w:w="4817" w:type="dxa"/>
            <w:gridSpan w:val="2"/>
          </w:tcPr>
          <w:p w:rsidR="00CD7572" w:rsidRPr="00CD7572" w:rsidRDefault="0062660D" w:rsidP="00CD7572">
            <w:pPr>
              <w:tabs>
                <w:tab w:val="left" w:pos="1080"/>
              </w:tabs>
              <w:spacing w:after="80"/>
              <w:jc w:val="left"/>
            </w:pPr>
            <w:r w:rsidRPr="00CD7572">
              <w:t>Overseas property</w:t>
            </w:r>
          </w:p>
        </w:tc>
        <w:tc>
          <w:tcPr>
            <w:tcW w:w="2409" w:type="dxa"/>
          </w:tcPr>
          <w:p w:rsidR="00CD7572" w:rsidRPr="00CD7572" w:rsidRDefault="0062660D" w:rsidP="00CD7572">
            <w:pPr>
              <w:tabs>
                <w:tab w:val="left" w:pos="1080"/>
              </w:tabs>
              <w:spacing w:after="80"/>
              <w:jc w:val="right"/>
            </w:pPr>
            <w:r w:rsidRPr="00CD7572">
              <w:t>36.1</w:t>
            </w:r>
          </w:p>
        </w:tc>
        <w:tc>
          <w:tcPr>
            <w:tcW w:w="2519" w:type="dxa"/>
          </w:tcPr>
          <w:p w:rsidR="00CD7572" w:rsidRPr="00CD7572" w:rsidRDefault="0062660D" w:rsidP="00CD7572">
            <w:pPr>
              <w:tabs>
                <w:tab w:val="left" w:pos="1080"/>
              </w:tabs>
              <w:spacing w:after="80"/>
              <w:jc w:val="right"/>
            </w:pPr>
            <w:r w:rsidRPr="00CD7572">
              <w:t>30.1</w:t>
            </w:r>
          </w:p>
        </w:tc>
      </w:tr>
      <w:tr w:rsidR="006A2C17" w:rsidTr="00E245D6">
        <w:tc>
          <w:tcPr>
            <w:tcW w:w="4817" w:type="dxa"/>
            <w:gridSpan w:val="2"/>
            <w:shd w:val="clear" w:color="auto" w:fill="C5E0B3" w:themeFill="accent6" w:themeFillTint="66"/>
          </w:tcPr>
          <w:p w:rsidR="00CD7572" w:rsidRPr="00CD7572" w:rsidRDefault="0062660D" w:rsidP="00CD7572">
            <w:pPr>
              <w:tabs>
                <w:tab w:val="left" w:pos="1080"/>
              </w:tabs>
              <w:spacing w:after="80"/>
              <w:jc w:val="left"/>
              <w:rPr>
                <w:b/>
              </w:rPr>
            </w:pPr>
            <w:r w:rsidRPr="00CD7572">
              <w:rPr>
                <w:b/>
              </w:rPr>
              <w:t>Total overseas assets</w:t>
            </w:r>
          </w:p>
        </w:tc>
        <w:tc>
          <w:tcPr>
            <w:tcW w:w="2409"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4,377.9</w:t>
            </w:r>
          </w:p>
        </w:tc>
        <w:tc>
          <w:tcPr>
            <w:tcW w:w="2519"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4,233.6</w:t>
            </w:r>
          </w:p>
        </w:tc>
      </w:tr>
    </w:tbl>
    <w:p w:rsidR="00CD7572" w:rsidRPr="00CD7572" w:rsidRDefault="0062660D" w:rsidP="00CD7572">
      <w:pPr>
        <w:tabs>
          <w:tab w:val="left" w:pos="1080"/>
        </w:tabs>
        <w:spacing w:after="80"/>
        <w:ind w:left="709"/>
      </w:pPr>
    </w:p>
    <w:p w:rsidR="00CD7572" w:rsidRPr="00CD7572" w:rsidRDefault="0062660D" w:rsidP="00CD7572">
      <w:pPr>
        <w:spacing w:after="0"/>
        <w:ind w:left="720"/>
      </w:pPr>
      <w:r w:rsidRPr="00CD7572">
        <w:rPr>
          <w:b/>
        </w:rPr>
        <w:t xml:space="preserve">18.5.1 Currency risk – sensitivity analysis </w:t>
      </w:r>
    </w:p>
    <w:p w:rsidR="00CD7572" w:rsidRPr="00CD7572" w:rsidRDefault="0062660D" w:rsidP="00CD7572">
      <w:pPr>
        <w:ind w:left="720"/>
        <w:jc w:val="left"/>
      </w:pPr>
      <w:r w:rsidRPr="00CD7572">
        <w:t xml:space="preserve">Following analysis of historical data in consultation with the Fund's investment advisors, the Fund considers the likely volatility associated with foreign exchange rate movement to be 6.1% (as measured by one standard deviation). </w:t>
      </w:r>
    </w:p>
    <w:p w:rsidR="00CD7572" w:rsidRPr="00CD7572" w:rsidRDefault="0062660D" w:rsidP="00CD7572">
      <w:pPr>
        <w:ind w:left="720"/>
        <w:jc w:val="left"/>
      </w:pPr>
      <w:r w:rsidRPr="00CD7572">
        <w:t>A 6.1% fluctuation in th</w:t>
      </w:r>
      <w:r w:rsidRPr="00CD7572">
        <w:t>e currency is considered reasonable based on the Fund advisor's analysis of long-term historical movements in the month-end exchange rates over a rolling 36-month period.  This analysis assumes that all other variables, in particular interest rates, remain</w:t>
      </w:r>
      <w:r w:rsidRPr="00CD7572">
        <w:t xml:space="preserve"> constant (previous year = 6.2%).</w:t>
      </w:r>
    </w:p>
    <w:p w:rsidR="00CD7572" w:rsidRPr="00CD7572" w:rsidRDefault="0062660D" w:rsidP="00CD7572">
      <w:pPr>
        <w:ind w:left="709"/>
        <w:jc w:val="left"/>
      </w:pPr>
      <w:r w:rsidRPr="00CD7572">
        <w:t>A 6.1% strengthening/weakening of the pound against the various currencies in which the Fund holds investments would increase/decrease the net assets available to pay benefits as follows:</w:t>
      </w:r>
    </w:p>
    <w:tbl>
      <w:tblPr>
        <w:tblStyle w:val="TableGrid6"/>
        <w:tblW w:w="0" w:type="auto"/>
        <w:tblInd w:w="709"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4250"/>
        <w:gridCol w:w="394"/>
        <w:gridCol w:w="740"/>
        <w:gridCol w:w="425"/>
        <w:gridCol w:w="2126"/>
        <w:gridCol w:w="992"/>
        <w:gridCol w:w="818"/>
      </w:tblGrid>
      <w:tr w:rsidR="006A2C17" w:rsidTr="00E245D6">
        <w:tc>
          <w:tcPr>
            <w:tcW w:w="4250"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rPr>
                <w:b/>
              </w:rPr>
            </w:pPr>
            <w:r w:rsidRPr="00CD7572">
              <w:rPr>
                <w:b/>
              </w:rPr>
              <w:t>Currency exposure - asset type</w:t>
            </w:r>
          </w:p>
        </w:tc>
        <w:tc>
          <w:tcPr>
            <w:tcW w:w="1134" w:type="dxa"/>
            <w:gridSpan w:val="2"/>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pPr>
          </w:p>
        </w:tc>
        <w:tc>
          <w:tcPr>
            <w:tcW w:w="3543" w:type="dxa"/>
            <w:gridSpan w:val="3"/>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rPr>
                <w:b/>
              </w:rPr>
            </w:pPr>
            <w:r w:rsidRPr="00CD7572">
              <w:rPr>
                <w:b/>
              </w:rPr>
              <w:t>Ch</w:t>
            </w:r>
            <w:r w:rsidRPr="00CD7572">
              <w:rPr>
                <w:b/>
              </w:rPr>
              <w:t>ange in year in net assets available to pay benefits</w:t>
            </w:r>
          </w:p>
        </w:tc>
        <w:tc>
          <w:tcPr>
            <w:tcW w:w="818"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rPr>
                <w:b/>
              </w:rPr>
            </w:pPr>
          </w:p>
        </w:tc>
      </w:tr>
      <w:tr w:rsidR="006A2C17" w:rsidTr="00E245D6">
        <w:tc>
          <w:tcPr>
            <w:tcW w:w="4250" w:type="dxa"/>
            <w:tcBorders>
              <w:top w:val="nil"/>
              <w:bottom w:val="nil"/>
            </w:tcBorders>
            <w:shd w:val="clear" w:color="auto" w:fill="A8D08D" w:themeFill="accent6" w:themeFillTint="99"/>
          </w:tcPr>
          <w:p w:rsidR="00CD7572" w:rsidRPr="00CD7572" w:rsidRDefault="0062660D" w:rsidP="00CD7572">
            <w:pPr>
              <w:tabs>
                <w:tab w:val="left" w:pos="1080"/>
              </w:tabs>
              <w:spacing w:after="80"/>
            </w:pPr>
          </w:p>
        </w:tc>
        <w:tc>
          <w:tcPr>
            <w:tcW w:w="1559" w:type="dxa"/>
            <w:gridSpan w:val="3"/>
            <w:tcBorders>
              <w:top w:val="nil"/>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31/03/16</w:t>
            </w:r>
          </w:p>
        </w:tc>
        <w:tc>
          <w:tcPr>
            <w:tcW w:w="2126" w:type="dxa"/>
            <w:tcBorders>
              <w:top w:val="nil"/>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w:t>
            </w:r>
            <w:r w:rsidRPr="00CD7572">
              <w:rPr>
                <w:b/>
                <w:shd w:val="clear" w:color="auto" w:fill="A8D08D" w:themeFill="accent6" w:themeFillTint="99"/>
              </w:rPr>
              <w:t>6.1%</w:t>
            </w:r>
          </w:p>
        </w:tc>
        <w:tc>
          <w:tcPr>
            <w:tcW w:w="1810" w:type="dxa"/>
            <w:gridSpan w:val="2"/>
            <w:tcBorders>
              <w:top w:val="nil"/>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w:t>
            </w:r>
            <w:r w:rsidRPr="00CD7572">
              <w:rPr>
                <w:b/>
                <w:shd w:val="clear" w:color="auto" w:fill="A8D08D" w:themeFill="accent6" w:themeFillTint="99"/>
              </w:rPr>
              <w:t>6.1%</w:t>
            </w:r>
          </w:p>
        </w:tc>
      </w:tr>
      <w:tr w:rsidR="006A2C17" w:rsidTr="00E245D6">
        <w:tc>
          <w:tcPr>
            <w:tcW w:w="4250"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pPr>
          </w:p>
        </w:tc>
        <w:tc>
          <w:tcPr>
            <w:tcW w:w="1559" w:type="dxa"/>
            <w:gridSpan w:val="3"/>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2126"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1810" w:type="dxa"/>
            <w:gridSpan w:val="2"/>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r>
      <w:tr w:rsidR="006A2C17" w:rsidTr="00E245D6">
        <w:tc>
          <w:tcPr>
            <w:tcW w:w="4644" w:type="dxa"/>
            <w:gridSpan w:val="2"/>
            <w:tcBorders>
              <w:top w:val="single" w:sz="2" w:space="0" w:color="auto"/>
            </w:tcBorders>
          </w:tcPr>
          <w:p w:rsidR="00CD7572" w:rsidRPr="00CD7572" w:rsidRDefault="0062660D" w:rsidP="00CD7572">
            <w:pPr>
              <w:tabs>
                <w:tab w:val="left" w:pos="1080"/>
              </w:tabs>
              <w:spacing w:after="80"/>
              <w:jc w:val="left"/>
            </w:pPr>
            <w:r w:rsidRPr="00CD7572">
              <w:t>Overseas bonds (including index linked)</w:t>
            </w:r>
          </w:p>
        </w:tc>
        <w:tc>
          <w:tcPr>
            <w:tcW w:w="1165" w:type="dxa"/>
            <w:gridSpan w:val="2"/>
            <w:tcBorders>
              <w:top w:val="single" w:sz="2" w:space="0" w:color="auto"/>
            </w:tcBorders>
          </w:tcPr>
          <w:p w:rsidR="00CD7572" w:rsidRPr="00CD7572" w:rsidRDefault="0062660D" w:rsidP="00CD7572">
            <w:pPr>
              <w:tabs>
                <w:tab w:val="left" w:pos="1080"/>
              </w:tabs>
              <w:spacing w:after="80"/>
              <w:jc w:val="right"/>
            </w:pPr>
            <w:r w:rsidRPr="00CD7572">
              <w:t>850.9</w:t>
            </w:r>
          </w:p>
        </w:tc>
        <w:tc>
          <w:tcPr>
            <w:tcW w:w="2126" w:type="dxa"/>
            <w:tcBorders>
              <w:top w:val="single" w:sz="2" w:space="0" w:color="auto"/>
            </w:tcBorders>
          </w:tcPr>
          <w:p w:rsidR="00CD7572" w:rsidRPr="00CD7572" w:rsidRDefault="0062660D" w:rsidP="00CD7572">
            <w:pPr>
              <w:tabs>
                <w:tab w:val="left" w:pos="1080"/>
              </w:tabs>
              <w:spacing w:after="80"/>
              <w:jc w:val="right"/>
            </w:pPr>
            <w:r w:rsidRPr="00CD7572">
              <w:t>902.8</w:t>
            </w:r>
          </w:p>
        </w:tc>
        <w:tc>
          <w:tcPr>
            <w:tcW w:w="1810" w:type="dxa"/>
            <w:gridSpan w:val="2"/>
            <w:tcBorders>
              <w:top w:val="single" w:sz="2" w:space="0" w:color="auto"/>
            </w:tcBorders>
          </w:tcPr>
          <w:p w:rsidR="00CD7572" w:rsidRPr="00CD7572" w:rsidRDefault="0062660D" w:rsidP="00CD7572">
            <w:pPr>
              <w:tabs>
                <w:tab w:val="left" w:pos="1080"/>
              </w:tabs>
              <w:spacing w:after="80"/>
              <w:jc w:val="right"/>
            </w:pPr>
            <w:r w:rsidRPr="00CD7572">
              <w:t>799.0</w:t>
            </w:r>
          </w:p>
        </w:tc>
      </w:tr>
      <w:tr w:rsidR="006A2C17" w:rsidTr="00E245D6">
        <w:tc>
          <w:tcPr>
            <w:tcW w:w="4644" w:type="dxa"/>
            <w:gridSpan w:val="2"/>
          </w:tcPr>
          <w:p w:rsidR="00CD7572" w:rsidRPr="00CD7572" w:rsidRDefault="0062660D" w:rsidP="00CD7572">
            <w:pPr>
              <w:tabs>
                <w:tab w:val="left" w:pos="1080"/>
              </w:tabs>
              <w:spacing w:after="80"/>
              <w:jc w:val="left"/>
            </w:pPr>
            <w:r w:rsidRPr="00CD7572">
              <w:t>Overseas equities</w:t>
            </w:r>
          </w:p>
        </w:tc>
        <w:tc>
          <w:tcPr>
            <w:tcW w:w="1165" w:type="dxa"/>
            <w:gridSpan w:val="2"/>
          </w:tcPr>
          <w:p w:rsidR="00CD7572" w:rsidRPr="00CD7572" w:rsidRDefault="0062660D" w:rsidP="00CD7572">
            <w:pPr>
              <w:tabs>
                <w:tab w:val="left" w:pos="1080"/>
              </w:tabs>
              <w:spacing w:after="80"/>
              <w:jc w:val="right"/>
            </w:pPr>
            <w:r w:rsidRPr="00CD7572">
              <w:t>2,622.9</w:t>
            </w:r>
          </w:p>
        </w:tc>
        <w:tc>
          <w:tcPr>
            <w:tcW w:w="2126" w:type="dxa"/>
          </w:tcPr>
          <w:p w:rsidR="00CD7572" w:rsidRPr="00CD7572" w:rsidRDefault="0062660D" w:rsidP="00CD7572">
            <w:pPr>
              <w:tabs>
                <w:tab w:val="left" w:pos="1080"/>
              </w:tabs>
              <w:spacing w:after="80"/>
              <w:jc w:val="right"/>
            </w:pPr>
            <w:r w:rsidRPr="00CD7572">
              <w:t>2,782.9</w:t>
            </w:r>
          </w:p>
        </w:tc>
        <w:tc>
          <w:tcPr>
            <w:tcW w:w="1810" w:type="dxa"/>
            <w:gridSpan w:val="2"/>
          </w:tcPr>
          <w:p w:rsidR="00CD7572" w:rsidRPr="00CD7572" w:rsidRDefault="0062660D" w:rsidP="00CD7572">
            <w:pPr>
              <w:tabs>
                <w:tab w:val="left" w:pos="1080"/>
              </w:tabs>
              <w:spacing w:after="80"/>
              <w:jc w:val="right"/>
            </w:pPr>
            <w:r w:rsidRPr="00CD7572">
              <w:t>2,462.9</w:t>
            </w:r>
          </w:p>
        </w:tc>
      </w:tr>
      <w:tr w:rsidR="006A2C17" w:rsidTr="00E245D6">
        <w:tc>
          <w:tcPr>
            <w:tcW w:w="4644" w:type="dxa"/>
            <w:gridSpan w:val="2"/>
          </w:tcPr>
          <w:p w:rsidR="00CD7572" w:rsidRPr="00CD7572" w:rsidRDefault="0062660D" w:rsidP="00CD7572">
            <w:pPr>
              <w:tabs>
                <w:tab w:val="left" w:pos="1080"/>
              </w:tabs>
              <w:spacing w:after="80"/>
              <w:jc w:val="left"/>
            </w:pPr>
            <w:r w:rsidRPr="00CD7572">
              <w:t xml:space="preserve">Overseas alternatives </w:t>
            </w:r>
          </w:p>
        </w:tc>
        <w:tc>
          <w:tcPr>
            <w:tcW w:w="1165" w:type="dxa"/>
            <w:gridSpan w:val="2"/>
          </w:tcPr>
          <w:p w:rsidR="00CD7572" w:rsidRPr="00CD7572" w:rsidRDefault="0062660D" w:rsidP="00CD7572">
            <w:pPr>
              <w:tabs>
                <w:tab w:val="left" w:pos="1080"/>
              </w:tabs>
              <w:spacing w:after="80"/>
              <w:jc w:val="right"/>
            </w:pPr>
            <w:r w:rsidRPr="00CD7572">
              <w:t>868.0</w:t>
            </w:r>
          </w:p>
        </w:tc>
        <w:tc>
          <w:tcPr>
            <w:tcW w:w="2126" w:type="dxa"/>
          </w:tcPr>
          <w:p w:rsidR="00CD7572" w:rsidRPr="00CD7572" w:rsidRDefault="0062660D" w:rsidP="00CD7572">
            <w:pPr>
              <w:tabs>
                <w:tab w:val="left" w:pos="1080"/>
              </w:tabs>
              <w:spacing w:after="80"/>
              <w:jc w:val="right"/>
            </w:pPr>
            <w:r w:rsidRPr="00CD7572">
              <w:t>920.9</w:t>
            </w:r>
          </w:p>
        </w:tc>
        <w:tc>
          <w:tcPr>
            <w:tcW w:w="1810" w:type="dxa"/>
            <w:gridSpan w:val="2"/>
          </w:tcPr>
          <w:p w:rsidR="00CD7572" w:rsidRPr="00CD7572" w:rsidRDefault="0062660D" w:rsidP="00CD7572">
            <w:pPr>
              <w:tabs>
                <w:tab w:val="left" w:pos="1080"/>
              </w:tabs>
              <w:spacing w:after="80"/>
              <w:jc w:val="right"/>
            </w:pPr>
            <w:r w:rsidRPr="00CD7572">
              <w:t>815.0</w:t>
            </w:r>
          </w:p>
        </w:tc>
      </w:tr>
      <w:tr w:rsidR="006A2C17" w:rsidTr="00E245D6">
        <w:tc>
          <w:tcPr>
            <w:tcW w:w="4644" w:type="dxa"/>
            <w:gridSpan w:val="2"/>
          </w:tcPr>
          <w:p w:rsidR="00CD7572" w:rsidRPr="00CD7572" w:rsidRDefault="0062660D" w:rsidP="00CD7572">
            <w:pPr>
              <w:tabs>
                <w:tab w:val="left" w:pos="1080"/>
              </w:tabs>
              <w:spacing w:after="80"/>
              <w:jc w:val="left"/>
            </w:pPr>
            <w:r w:rsidRPr="00CD7572">
              <w:t>Overseas property</w:t>
            </w:r>
          </w:p>
        </w:tc>
        <w:tc>
          <w:tcPr>
            <w:tcW w:w="1165" w:type="dxa"/>
            <w:gridSpan w:val="2"/>
          </w:tcPr>
          <w:p w:rsidR="00CD7572" w:rsidRPr="00CD7572" w:rsidRDefault="0062660D" w:rsidP="00CD7572">
            <w:pPr>
              <w:tabs>
                <w:tab w:val="left" w:pos="1080"/>
              </w:tabs>
              <w:spacing w:after="80"/>
              <w:jc w:val="right"/>
            </w:pPr>
            <w:r w:rsidRPr="00CD7572">
              <w:t>36.1</w:t>
            </w:r>
          </w:p>
        </w:tc>
        <w:tc>
          <w:tcPr>
            <w:tcW w:w="2126" w:type="dxa"/>
          </w:tcPr>
          <w:p w:rsidR="00CD7572" w:rsidRPr="00CD7572" w:rsidRDefault="0062660D" w:rsidP="00CD7572">
            <w:pPr>
              <w:tabs>
                <w:tab w:val="left" w:pos="1080"/>
              </w:tabs>
              <w:spacing w:after="80"/>
              <w:jc w:val="right"/>
            </w:pPr>
            <w:r w:rsidRPr="00CD7572">
              <w:t>38.3</w:t>
            </w:r>
          </w:p>
        </w:tc>
        <w:tc>
          <w:tcPr>
            <w:tcW w:w="1810" w:type="dxa"/>
            <w:gridSpan w:val="2"/>
          </w:tcPr>
          <w:p w:rsidR="00CD7572" w:rsidRPr="00CD7572" w:rsidRDefault="0062660D" w:rsidP="00CD7572">
            <w:pPr>
              <w:tabs>
                <w:tab w:val="left" w:pos="1080"/>
              </w:tabs>
              <w:spacing w:after="80"/>
              <w:jc w:val="right"/>
            </w:pPr>
            <w:r w:rsidRPr="00CD7572">
              <w:t>33.9</w:t>
            </w:r>
          </w:p>
        </w:tc>
      </w:tr>
      <w:tr w:rsidR="006A2C17" w:rsidTr="00E245D6">
        <w:tc>
          <w:tcPr>
            <w:tcW w:w="4250" w:type="dxa"/>
            <w:shd w:val="clear" w:color="auto" w:fill="C5E0B3" w:themeFill="accent6" w:themeFillTint="66"/>
          </w:tcPr>
          <w:p w:rsidR="00CD7572" w:rsidRPr="00CD7572" w:rsidRDefault="0062660D" w:rsidP="00CD7572">
            <w:pPr>
              <w:tabs>
                <w:tab w:val="left" w:pos="1080"/>
              </w:tabs>
              <w:spacing w:after="80"/>
              <w:jc w:val="left"/>
              <w:rPr>
                <w:b/>
              </w:rPr>
            </w:pPr>
            <w:r w:rsidRPr="00CD7572">
              <w:rPr>
                <w:b/>
              </w:rPr>
              <w:t>Total change in assets available</w:t>
            </w:r>
          </w:p>
        </w:tc>
        <w:tc>
          <w:tcPr>
            <w:tcW w:w="1559" w:type="dxa"/>
            <w:gridSpan w:val="3"/>
            <w:shd w:val="clear" w:color="auto" w:fill="C5E0B3" w:themeFill="accent6" w:themeFillTint="66"/>
          </w:tcPr>
          <w:p w:rsidR="00CD7572" w:rsidRPr="00CD7572" w:rsidRDefault="0062660D" w:rsidP="00CD7572">
            <w:pPr>
              <w:tabs>
                <w:tab w:val="left" w:pos="1080"/>
              </w:tabs>
              <w:spacing w:after="80"/>
              <w:jc w:val="right"/>
              <w:rPr>
                <w:b/>
              </w:rPr>
            </w:pPr>
            <w:r w:rsidRPr="00CD7572">
              <w:rPr>
                <w:b/>
              </w:rPr>
              <w:t>4,377.9</w:t>
            </w:r>
          </w:p>
        </w:tc>
        <w:tc>
          <w:tcPr>
            <w:tcW w:w="2126"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4,644.9</w:t>
            </w:r>
          </w:p>
        </w:tc>
        <w:tc>
          <w:tcPr>
            <w:tcW w:w="1810" w:type="dxa"/>
            <w:gridSpan w:val="2"/>
            <w:shd w:val="clear" w:color="auto" w:fill="C5E0B3" w:themeFill="accent6" w:themeFillTint="66"/>
          </w:tcPr>
          <w:p w:rsidR="00CD7572" w:rsidRPr="00CD7572" w:rsidRDefault="0062660D" w:rsidP="00CD7572">
            <w:pPr>
              <w:tabs>
                <w:tab w:val="left" w:pos="1080"/>
              </w:tabs>
              <w:spacing w:after="80"/>
              <w:jc w:val="right"/>
              <w:rPr>
                <w:b/>
              </w:rPr>
            </w:pPr>
            <w:r w:rsidRPr="00CD7572">
              <w:rPr>
                <w:b/>
              </w:rPr>
              <w:t>4,110.8</w:t>
            </w:r>
          </w:p>
        </w:tc>
      </w:tr>
    </w:tbl>
    <w:p w:rsidR="00CD7572" w:rsidRPr="00CD7572" w:rsidRDefault="0062660D" w:rsidP="00CD7572">
      <w:pPr>
        <w:tabs>
          <w:tab w:val="left" w:pos="1080"/>
        </w:tabs>
        <w:spacing w:after="80"/>
        <w:ind w:left="709"/>
      </w:pPr>
    </w:p>
    <w:tbl>
      <w:tblPr>
        <w:tblStyle w:val="TableGrid6"/>
        <w:tblW w:w="0" w:type="auto"/>
        <w:tblInd w:w="709"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4250"/>
        <w:gridCol w:w="252"/>
        <w:gridCol w:w="882"/>
        <w:gridCol w:w="425"/>
        <w:gridCol w:w="2126"/>
        <w:gridCol w:w="992"/>
        <w:gridCol w:w="818"/>
      </w:tblGrid>
      <w:tr w:rsidR="006A2C17" w:rsidTr="00E245D6">
        <w:tc>
          <w:tcPr>
            <w:tcW w:w="4250"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rPr>
                <w:b/>
              </w:rPr>
            </w:pPr>
            <w:r w:rsidRPr="00CD7572">
              <w:rPr>
                <w:b/>
              </w:rPr>
              <w:t>Currency exposure - asset type</w:t>
            </w:r>
          </w:p>
        </w:tc>
        <w:tc>
          <w:tcPr>
            <w:tcW w:w="1134" w:type="dxa"/>
            <w:gridSpan w:val="2"/>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pPr>
          </w:p>
        </w:tc>
        <w:tc>
          <w:tcPr>
            <w:tcW w:w="3543" w:type="dxa"/>
            <w:gridSpan w:val="3"/>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rPr>
                <w:b/>
              </w:rPr>
            </w:pPr>
            <w:r w:rsidRPr="00CD7572">
              <w:rPr>
                <w:b/>
              </w:rPr>
              <w:t>Change in year in net assets available to pay benefits</w:t>
            </w:r>
          </w:p>
        </w:tc>
        <w:tc>
          <w:tcPr>
            <w:tcW w:w="818"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rPr>
                <w:b/>
              </w:rPr>
            </w:pPr>
          </w:p>
        </w:tc>
      </w:tr>
      <w:tr w:rsidR="006A2C17" w:rsidTr="00E245D6">
        <w:tc>
          <w:tcPr>
            <w:tcW w:w="4250" w:type="dxa"/>
            <w:tcBorders>
              <w:top w:val="nil"/>
              <w:bottom w:val="nil"/>
            </w:tcBorders>
            <w:shd w:val="clear" w:color="auto" w:fill="A8D08D" w:themeFill="accent6" w:themeFillTint="99"/>
          </w:tcPr>
          <w:p w:rsidR="00CD7572" w:rsidRPr="00CD7572" w:rsidRDefault="0062660D" w:rsidP="00CD7572">
            <w:pPr>
              <w:tabs>
                <w:tab w:val="left" w:pos="1080"/>
              </w:tabs>
              <w:spacing w:after="80"/>
            </w:pPr>
          </w:p>
        </w:tc>
        <w:tc>
          <w:tcPr>
            <w:tcW w:w="1559" w:type="dxa"/>
            <w:gridSpan w:val="3"/>
            <w:tcBorders>
              <w:top w:val="nil"/>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31/03/15</w:t>
            </w:r>
          </w:p>
        </w:tc>
        <w:tc>
          <w:tcPr>
            <w:tcW w:w="2126" w:type="dxa"/>
            <w:tcBorders>
              <w:top w:val="nil"/>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w:t>
            </w:r>
            <w:r w:rsidRPr="00CD7572">
              <w:rPr>
                <w:b/>
                <w:shd w:val="clear" w:color="auto" w:fill="A8D08D" w:themeFill="accent6" w:themeFillTint="99"/>
              </w:rPr>
              <w:t>6.2%</w:t>
            </w:r>
          </w:p>
        </w:tc>
        <w:tc>
          <w:tcPr>
            <w:tcW w:w="1810" w:type="dxa"/>
            <w:gridSpan w:val="2"/>
            <w:tcBorders>
              <w:top w:val="nil"/>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shd w:val="clear" w:color="auto" w:fill="A8D08D" w:themeFill="accent6" w:themeFillTint="99"/>
              </w:rPr>
              <w:t>-6.2</w:t>
            </w:r>
            <w:r w:rsidRPr="00CD7572">
              <w:rPr>
                <w:b/>
              </w:rPr>
              <w:t>%</w:t>
            </w:r>
          </w:p>
        </w:tc>
      </w:tr>
      <w:tr w:rsidR="006A2C17" w:rsidTr="00E245D6">
        <w:tc>
          <w:tcPr>
            <w:tcW w:w="4250"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pPr>
          </w:p>
        </w:tc>
        <w:tc>
          <w:tcPr>
            <w:tcW w:w="1559" w:type="dxa"/>
            <w:gridSpan w:val="3"/>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2126"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1810" w:type="dxa"/>
            <w:gridSpan w:val="2"/>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r>
      <w:tr w:rsidR="006A2C17" w:rsidTr="00E245D6">
        <w:tc>
          <w:tcPr>
            <w:tcW w:w="4502" w:type="dxa"/>
            <w:gridSpan w:val="2"/>
            <w:tcBorders>
              <w:top w:val="single" w:sz="2" w:space="0" w:color="auto"/>
            </w:tcBorders>
          </w:tcPr>
          <w:p w:rsidR="00CD7572" w:rsidRPr="00CD7572" w:rsidRDefault="0062660D" w:rsidP="00CD7572">
            <w:pPr>
              <w:tabs>
                <w:tab w:val="left" w:pos="1080"/>
              </w:tabs>
              <w:spacing w:after="80"/>
              <w:jc w:val="left"/>
            </w:pPr>
            <w:r w:rsidRPr="00CD7572">
              <w:t>Overseas bonds (including index linked)</w:t>
            </w:r>
          </w:p>
        </w:tc>
        <w:tc>
          <w:tcPr>
            <w:tcW w:w="1307" w:type="dxa"/>
            <w:gridSpan w:val="2"/>
            <w:tcBorders>
              <w:top w:val="single" w:sz="2" w:space="0" w:color="auto"/>
            </w:tcBorders>
          </w:tcPr>
          <w:p w:rsidR="00CD7572" w:rsidRPr="00CD7572" w:rsidRDefault="0062660D" w:rsidP="00CD7572">
            <w:pPr>
              <w:tabs>
                <w:tab w:val="left" w:pos="1080"/>
              </w:tabs>
              <w:spacing w:after="80"/>
              <w:jc w:val="right"/>
            </w:pPr>
            <w:r w:rsidRPr="00CD7572">
              <w:t>1,498.3</w:t>
            </w:r>
          </w:p>
        </w:tc>
        <w:tc>
          <w:tcPr>
            <w:tcW w:w="2126" w:type="dxa"/>
            <w:tcBorders>
              <w:top w:val="single" w:sz="2" w:space="0" w:color="auto"/>
            </w:tcBorders>
          </w:tcPr>
          <w:p w:rsidR="00CD7572" w:rsidRPr="00CD7572" w:rsidRDefault="0062660D" w:rsidP="00CD7572">
            <w:pPr>
              <w:tabs>
                <w:tab w:val="left" w:pos="1080"/>
              </w:tabs>
              <w:spacing w:after="80"/>
              <w:jc w:val="right"/>
            </w:pPr>
            <w:r w:rsidRPr="00CD7572">
              <w:t>1,591.2</w:t>
            </w:r>
          </w:p>
        </w:tc>
        <w:tc>
          <w:tcPr>
            <w:tcW w:w="1810" w:type="dxa"/>
            <w:gridSpan w:val="2"/>
            <w:tcBorders>
              <w:top w:val="single" w:sz="2" w:space="0" w:color="auto"/>
            </w:tcBorders>
          </w:tcPr>
          <w:p w:rsidR="00CD7572" w:rsidRPr="00CD7572" w:rsidRDefault="0062660D" w:rsidP="00CD7572">
            <w:pPr>
              <w:tabs>
                <w:tab w:val="left" w:pos="1080"/>
              </w:tabs>
              <w:spacing w:after="80"/>
              <w:jc w:val="right"/>
            </w:pPr>
            <w:r w:rsidRPr="00CD7572">
              <w:t>1,405.4</w:t>
            </w:r>
          </w:p>
        </w:tc>
      </w:tr>
      <w:tr w:rsidR="006A2C17" w:rsidTr="00E245D6">
        <w:tc>
          <w:tcPr>
            <w:tcW w:w="4502" w:type="dxa"/>
            <w:gridSpan w:val="2"/>
          </w:tcPr>
          <w:p w:rsidR="00CD7572" w:rsidRPr="00CD7572" w:rsidRDefault="0062660D" w:rsidP="00CD7572">
            <w:pPr>
              <w:tabs>
                <w:tab w:val="left" w:pos="1080"/>
              </w:tabs>
              <w:spacing w:after="80"/>
              <w:jc w:val="left"/>
            </w:pPr>
            <w:r w:rsidRPr="00CD7572">
              <w:t>Overseas equities</w:t>
            </w:r>
          </w:p>
        </w:tc>
        <w:tc>
          <w:tcPr>
            <w:tcW w:w="1307" w:type="dxa"/>
            <w:gridSpan w:val="2"/>
          </w:tcPr>
          <w:p w:rsidR="00CD7572" w:rsidRPr="00CD7572" w:rsidRDefault="0062660D" w:rsidP="00CD7572">
            <w:pPr>
              <w:tabs>
                <w:tab w:val="left" w:pos="1080"/>
              </w:tabs>
              <w:spacing w:after="80"/>
              <w:jc w:val="right"/>
            </w:pPr>
            <w:r w:rsidRPr="00CD7572">
              <w:t>2,513.8</w:t>
            </w:r>
          </w:p>
        </w:tc>
        <w:tc>
          <w:tcPr>
            <w:tcW w:w="2126" w:type="dxa"/>
          </w:tcPr>
          <w:p w:rsidR="00CD7572" w:rsidRPr="00CD7572" w:rsidRDefault="0062660D" w:rsidP="00CD7572">
            <w:pPr>
              <w:tabs>
                <w:tab w:val="left" w:pos="1080"/>
              </w:tabs>
              <w:spacing w:after="80"/>
              <w:jc w:val="right"/>
            </w:pPr>
            <w:r w:rsidRPr="00CD7572">
              <w:t>2,669.6</w:t>
            </w:r>
          </w:p>
        </w:tc>
        <w:tc>
          <w:tcPr>
            <w:tcW w:w="1810" w:type="dxa"/>
            <w:gridSpan w:val="2"/>
          </w:tcPr>
          <w:p w:rsidR="00CD7572" w:rsidRPr="00CD7572" w:rsidRDefault="0062660D" w:rsidP="00CD7572">
            <w:pPr>
              <w:tabs>
                <w:tab w:val="left" w:pos="1080"/>
              </w:tabs>
              <w:spacing w:after="80"/>
              <w:jc w:val="right"/>
            </w:pPr>
            <w:r w:rsidRPr="00CD7572">
              <w:t>2,357.9</w:t>
            </w:r>
          </w:p>
        </w:tc>
      </w:tr>
      <w:tr w:rsidR="006A2C17" w:rsidTr="00E245D6">
        <w:tc>
          <w:tcPr>
            <w:tcW w:w="4502" w:type="dxa"/>
            <w:gridSpan w:val="2"/>
          </w:tcPr>
          <w:p w:rsidR="00CD7572" w:rsidRPr="00CD7572" w:rsidRDefault="0062660D" w:rsidP="00CD7572">
            <w:pPr>
              <w:tabs>
                <w:tab w:val="left" w:pos="1080"/>
              </w:tabs>
              <w:spacing w:after="80"/>
              <w:jc w:val="left"/>
            </w:pPr>
            <w:r w:rsidRPr="00CD7572">
              <w:t xml:space="preserve">Overseas alternatives </w:t>
            </w:r>
          </w:p>
        </w:tc>
        <w:tc>
          <w:tcPr>
            <w:tcW w:w="1307" w:type="dxa"/>
            <w:gridSpan w:val="2"/>
          </w:tcPr>
          <w:p w:rsidR="00CD7572" w:rsidRPr="00CD7572" w:rsidRDefault="0062660D" w:rsidP="00CD7572">
            <w:pPr>
              <w:tabs>
                <w:tab w:val="left" w:pos="1080"/>
              </w:tabs>
              <w:spacing w:after="80"/>
              <w:jc w:val="right"/>
            </w:pPr>
            <w:r w:rsidRPr="00CD7572">
              <w:t>191.4</w:t>
            </w:r>
          </w:p>
        </w:tc>
        <w:tc>
          <w:tcPr>
            <w:tcW w:w="2126" w:type="dxa"/>
          </w:tcPr>
          <w:p w:rsidR="00CD7572" w:rsidRPr="00CD7572" w:rsidRDefault="0062660D" w:rsidP="00CD7572">
            <w:pPr>
              <w:tabs>
                <w:tab w:val="left" w:pos="1080"/>
              </w:tabs>
              <w:spacing w:after="80"/>
              <w:jc w:val="right"/>
            </w:pPr>
            <w:r w:rsidRPr="00CD7572">
              <w:t>203.3</w:t>
            </w:r>
          </w:p>
        </w:tc>
        <w:tc>
          <w:tcPr>
            <w:tcW w:w="1810" w:type="dxa"/>
            <w:gridSpan w:val="2"/>
          </w:tcPr>
          <w:p w:rsidR="00CD7572" w:rsidRPr="00CD7572" w:rsidRDefault="0062660D" w:rsidP="00CD7572">
            <w:pPr>
              <w:tabs>
                <w:tab w:val="left" w:pos="1080"/>
              </w:tabs>
              <w:spacing w:after="80"/>
              <w:jc w:val="right"/>
            </w:pPr>
            <w:r w:rsidRPr="00CD7572">
              <w:t>179.5</w:t>
            </w:r>
          </w:p>
        </w:tc>
      </w:tr>
      <w:tr w:rsidR="006A2C17" w:rsidTr="00E245D6">
        <w:tc>
          <w:tcPr>
            <w:tcW w:w="4502" w:type="dxa"/>
            <w:gridSpan w:val="2"/>
          </w:tcPr>
          <w:p w:rsidR="00CD7572" w:rsidRPr="00CD7572" w:rsidRDefault="0062660D" w:rsidP="00CD7572">
            <w:pPr>
              <w:tabs>
                <w:tab w:val="left" w:pos="1080"/>
              </w:tabs>
              <w:spacing w:after="80"/>
              <w:jc w:val="left"/>
            </w:pPr>
            <w:r w:rsidRPr="00CD7572">
              <w:t>Overseas property</w:t>
            </w:r>
          </w:p>
        </w:tc>
        <w:tc>
          <w:tcPr>
            <w:tcW w:w="1307" w:type="dxa"/>
            <w:gridSpan w:val="2"/>
          </w:tcPr>
          <w:p w:rsidR="00CD7572" w:rsidRPr="00CD7572" w:rsidRDefault="0062660D" w:rsidP="00CD7572">
            <w:pPr>
              <w:tabs>
                <w:tab w:val="left" w:pos="1080"/>
              </w:tabs>
              <w:spacing w:after="80"/>
              <w:jc w:val="right"/>
            </w:pPr>
            <w:r w:rsidRPr="00CD7572">
              <w:t>30.1</w:t>
            </w:r>
          </w:p>
        </w:tc>
        <w:tc>
          <w:tcPr>
            <w:tcW w:w="2126" w:type="dxa"/>
          </w:tcPr>
          <w:p w:rsidR="00CD7572" w:rsidRPr="00CD7572" w:rsidRDefault="0062660D" w:rsidP="00CD7572">
            <w:pPr>
              <w:tabs>
                <w:tab w:val="left" w:pos="1080"/>
              </w:tabs>
              <w:spacing w:after="80"/>
              <w:jc w:val="right"/>
            </w:pPr>
            <w:r w:rsidRPr="00CD7572">
              <w:t>32.0</w:t>
            </w:r>
          </w:p>
        </w:tc>
        <w:tc>
          <w:tcPr>
            <w:tcW w:w="1810" w:type="dxa"/>
            <w:gridSpan w:val="2"/>
          </w:tcPr>
          <w:p w:rsidR="00CD7572" w:rsidRPr="00CD7572" w:rsidRDefault="0062660D" w:rsidP="00CD7572">
            <w:pPr>
              <w:tabs>
                <w:tab w:val="left" w:pos="1080"/>
              </w:tabs>
              <w:spacing w:after="80"/>
              <w:jc w:val="right"/>
            </w:pPr>
            <w:r w:rsidRPr="00CD7572">
              <w:t>28.2</w:t>
            </w:r>
          </w:p>
        </w:tc>
      </w:tr>
      <w:tr w:rsidR="006A2C17" w:rsidTr="00E245D6">
        <w:tc>
          <w:tcPr>
            <w:tcW w:w="4250" w:type="dxa"/>
            <w:shd w:val="clear" w:color="auto" w:fill="C5E0B3" w:themeFill="accent6" w:themeFillTint="66"/>
          </w:tcPr>
          <w:p w:rsidR="00CD7572" w:rsidRPr="00CD7572" w:rsidRDefault="0062660D" w:rsidP="00CD7572">
            <w:pPr>
              <w:tabs>
                <w:tab w:val="left" w:pos="1080"/>
              </w:tabs>
              <w:spacing w:after="80"/>
              <w:jc w:val="left"/>
              <w:rPr>
                <w:b/>
              </w:rPr>
            </w:pPr>
            <w:r w:rsidRPr="00CD7572">
              <w:rPr>
                <w:b/>
              </w:rPr>
              <w:t>Total change in assets available</w:t>
            </w:r>
          </w:p>
        </w:tc>
        <w:tc>
          <w:tcPr>
            <w:tcW w:w="1559" w:type="dxa"/>
            <w:gridSpan w:val="3"/>
            <w:shd w:val="clear" w:color="auto" w:fill="C5E0B3" w:themeFill="accent6" w:themeFillTint="66"/>
          </w:tcPr>
          <w:p w:rsidR="00CD7572" w:rsidRPr="00CD7572" w:rsidRDefault="0062660D" w:rsidP="00CD7572">
            <w:pPr>
              <w:tabs>
                <w:tab w:val="left" w:pos="1080"/>
              </w:tabs>
              <w:spacing w:after="80"/>
              <w:jc w:val="right"/>
              <w:rPr>
                <w:b/>
              </w:rPr>
            </w:pPr>
            <w:r w:rsidRPr="00CD7572">
              <w:rPr>
                <w:b/>
              </w:rPr>
              <w:t>4,233.6</w:t>
            </w:r>
          </w:p>
        </w:tc>
        <w:tc>
          <w:tcPr>
            <w:tcW w:w="2126"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4,496.1</w:t>
            </w:r>
          </w:p>
        </w:tc>
        <w:tc>
          <w:tcPr>
            <w:tcW w:w="1810" w:type="dxa"/>
            <w:gridSpan w:val="2"/>
            <w:shd w:val="clear" w:color="auto" w:fill="C5E0B3" w:themeFill="accent6" w:themeFillTint="66"/>
          </w:tcPr>
          <w:p w:rsidR="00CD7572" w:rsidRPr="00CD7572" w:rsidRDefault="0062660D" w:rsidP="00CD7572">
            <w:pPr>
              <w:tabs>
                <w:tab w:val="left" w:pos="1080"/>
              </w:tabs>
              <w:spacing w:after="80"/>
              <w:jc w:val="right"/>
              <w:rPr>
                <w:b/>
              </w:rPr>
            </w:pPr>
            <w:r w:rsidRPr="00CD7572">
              <w:rPr>
                <w:b/>
              </w:rPr>
              <w:t>3,971.0</w:t>
            </w:r>
          </w:p>
        </w:tc>
      </w:tr>
    </w:tbl>
    <w:p w:rsidR="00CD7572" w:rsidRPr="00CD7572" w:rsidRDefault="0062660D" w:rsidP="00CD7572">
      <w:pPr>
        <w:spacing w:after="0"/>
        <w:ind w:left="142" w:firstLine="567"/>
        <w:rPr>
          <w:b/>
        </w:rPr>
      </w:pPr>
    </w:p>
    <w:p w:rsidR="00CD7572" w:rsidRPr="00CD7572" w:rsidRDefault="0062660D" w:rsidP="00CD7572">
      <w:pPr>
        <w:spacing w:after="0"/>
        <w:ind w:left="142" w:firstLine="567"/>
      </w:pPr>
      <w:r w:rsidRPr="00CD7572">
        <w:rPr>
          <w:b/>
        </w:rPr>
        <w:t xml:space="preserve">18.6 Credit risk </w:t>
      </w:r>
      <w:r w:rsidRPr="00CD7572">
        <w:t xml:space="preserve">    </w:t>
      </w:r>
    </w:p>
    <w:p w:rsidR="00CD7572" w:rsidRPr="00CD7572" w:rsidRDefault="0062660D" w:rsidP="00CD7572">
      <w:pPr>
        <w:ind w:left="709"/>
        <w:jc w:val="left"/>
      </w:pPr>
      <w:r w:rsidRPr="00CD7572">
        <w:t>Credit risk represents the risk that the counterparty to a transaction or a financial instrument will fail to discharge an obligation and cause the Fund to incur financial loss.  The market values of investments generally reflect an assessment of credit in</w:t>
      </w:r>
      <w:r w:rsidRPr="00CD7572">
        <w:t xml:space="preserve"> their pricing and consequently the risk of loss is implicitly provided for in the carrying value of the Fund's financial asset and liabilities.   </w:t>
      </w:r>
    </w:p>
    <w:p w:rsidR="00CD7572" w:rsidRPr="00CD7572" w:rsidRDefault="0062660D" w:rsidP="00CD7572">
      <w:pPr>
        <w:ind w:left="709"/>
        <w:jc w:val="left"/>
      </w:pPr>
      <w:r w:rsidRPr="00CD7572">
        <w:t>In essence the Fund's entire investment portfolio is exposed to some form of credit risk, with the exception</w:t>
      </w:r>
      <w:r w:rsidRPr="00CD7572">
        <w:t xml:space="preserve"> of the derivatives positions, where the risk equates to the net market value of a positive derivative position.  However the selection of high quality counterparties, brokers and financial institutions minimise the credit risk that may occur through the f</w:t>
      </w:r>
      <w:r w:rsidRPr="00CD7572">
        <w:t xml:space="preserve">ailure to settle a transaction in a timely manner. </w:t>
      </w:r>
    </w:p>
    <w:p w:rsidR="00CD7572" w:rsidRPr="00CD7572" w:rsidRDefault="0062660D" w:rsidP="00CD7572">
      <w:pPr>
        <w:ind w:left="709"/>
        <w:jc w:val="left"/>
      </w:pPr>
      <w:r w:rsidRPr="00CD7572">
        <w:t>Contractual credit risk is represented by the net payment or receipts that remain outstanding, and the cost of replacing the derivatives position in the event of a counterparty default.  The residual risk</w:t>
      </w:r>
      <w:r w:rsidRPr="00CD7572">
        <w:t xml:space="preserve"> is minimal due to the various insurance policies held by the exchanges to cover defaulting counterparties. </w:t>
      </w:r>
    </w:p>
    <w:p w:rsidR="00CD7572" w:rsidRPr="00CD7572" w:rsidRDefault="0062660D" w:rsidP="00CD7572">
      <w:pPr>
        <w:ind w:left="709"/>
        <w:jc w:val="left"/>
      </w:pPr>
      <w:r w:rsidRPr="00CD7572">
        <w:t>Credit risk on over-the-counter derivatives contracts is minimised as counterparties are recognised financial intermediaries with acceptable credit</w:t>
      </w:r>
      <w:r w:rsidRPr="00CD7572">
        <w:t xml:space="preserve"> ratings determined by a recognised rating agency. </w:t>
      </w:r>
    </w:p>
    <w:p w:rsidR="00CD7572" w:rsidRPr="00CD7572" w:rsidRDefault="0062660D" w:rsidP="00CD7572">
      <w:pPr>
        <w:ind w:left="709"/>
        <w:jc w:val="left"/>
      </w:pPr>
      <w:r w:rsidRPr="00CD7572">
        <w:t>Deposits are not made with banks and financial instructions unless they are rated independent and meet the Fund's credit criteria.  The Fund has also set limits as to the maximum percentage of the deposit</w:t>
      </w:r>
      <w:r w:rsidRPr="00CD7572">
        <w:t xml:space="preserve">s placed with any class of financial institution.  </w:t>
      </w:r>
    </w:p>
    <w:p w:rsidR="00CD7572" w:rsidRPr="00CD7572" w:rsidRDefault="0062660D" w:rsidP="00CD7572">
      <w:pPr>
        <w:ind w:left="709"/>
        <w:jc w:val="left"/>
      </w:pPr>
      <w:r w:rsidRPr="00CD7572">
        <w:t>The Fund's cash holding under its treasury management arrangements at 31</w:t>
      </w:r>
      <w:r w:rsidRPr="00CD7572">
        <w:rPr>
          <w:vertAlign w:val="superscript"/>
        </w:rPr>
        <w:t>st</w:t>
      </w:r>
      <w:r w:rsidRPr="00CD7572">
        <w:t xml:space="preserve"> March 2016 was £210.3m (31 March 2015: £60m.)  This was held with the following institutions: </w:t>
      </w:r>
    </w:p>
    <w:tbl>
      <w:tblPr>
        <w:tblStyle w:val="TableGrid6"/>
        <w:tblW w:w="0" w:type="auto"/>
        <w:tblInd w:w="709"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4391"/>
        <w:gridCol w:w="993"/>
        <w:gridCol w:w="1923"/>
        <w:gridCol w:w="2438"/>
      </w:tblGrid>
      <w:tr w:rsidR="006A2C17" w:rsidTr="00E245D6">
        <w:tc>
          <w:tcPr>
            <w:tcW w:w="4391"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rPr>
                <w:b/>
              </w:rPr>
            </w:pPr>
            <w:r w:rsidRPr="00CD7572">
              <w:rPr>
                <w:b/>
              </w:rPr>
              <w:t>Summary</w:t>
            </w:r>
          </w:p>
        </w:tc>
        <w:tc>
          <w:tcPr>
            <w:tcW w:w="993"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Rating</w:t>
            </w:r>
          </w:p>
        </w:tc>
        <w:tc>
          <w:tcPr>
            <w:tcW w:w="1923"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31/03/16</w:t>
            </w:r>
          </w:p>
        </w:tc>
        <w:tc>
          <w:tcPr>
            <w:tcW w:w="2438"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31/03/15</w:t>
            </w:r>
          </w:p>
        </w:tc>
      </w:tr>
      <w:tr w:rsidR="006A2C17" w:rsidTr="00E245D6">
        <w:tc>
          <w:tcPr>
            <w:tcW w:w="4391"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rPr>
                <w:b/>
              </w:rPr>
            </w:pPr>
            <w:r w:rsidRPr="00CD7572">
              <w:rPr>
                <w:b/>
              </w:rPr>
              <w:t>Bank deposit accounts</w:t>
            </w:r>
          </w:p>
        </w:tc>
        <w:tc>
          <w:tcPr>
            <w:tcW w:w="993"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rPr>
                <w:b/>
              </w:rPr>
            </w:pPr>
          </w:p>
        </w:tc>
        <w:tc>
          <w:tcPr>
            <w:tcW w:w="1923"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2438"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r>
      <w:tr w:rsidR="006A2C17" w:rsidTr="00E245D6">
        <w:tc>
          <w:tcPr>
            <w:tcW w:w="4391" w:type="dxa"/>
          </w:tcPr>
          <w:p w:rsidR="00CD7572" w:rsidRPr="00CD7572" w:rsidRDefault="0062660D" w:rsidP="00CD7572">
            <w:pPr>
              <w:tabs>
                <w:tab w:val="left" w:pos="1080"/>
              </w:tabs>
              <w:spacing w:after="80"/>
              <w:jc w:val="left"/>
            </w:pPr>
            <w:r w:rsidRPr="00CD7572">
              <w:t>Northern Trust</w:t>
            </w:r>
          </w:p>
        </w:tc>
        <w:tc>
          <w:tcPr>
            <w:tcW w:w="993" w:type="dxa"/>
          </w:tcPr>
          <w:p w:rsidR="00CD7572" w:rsidRPr="00CD7572" w:rsidRDefault="0062660D" w:rsidP="00CD7572">
            <w:pPr>
              <w:tabs>
                <w:tab w:val="left" w:pos="1080"/>
              </w:tabs>
              <w:spacing w:after="80"/>
              <w:jc w:val="right"/>
              <w:rPr>
                <w:highlight w:val="yellow"/>
              </w:rPr>
            </w:pPr>
            <w:r w:rsidRPr="00CD7572">
              <w:t>A+</w:t>
            </w:r>
          </w:p>
        </w:tc>
        <w:tc>
          <w:tcPr>
            <w:tcW w:w="1923" w:type="dxa"/>
          </w:tcPr>
          <w:p w:rsidR="00CD7572" w:rsidRPr="00CD7572" w:rsidRDefault="0062660D" w:rsidP="00CD7572">
            <w:pPr>
              <w:tabs>
                <w:tab w:val="left" w:pos="1080"/>
              </w:tabs>
              <w:spacing w:after="80"/>
              <w:jc w:val="right"/>
            </w:pPr>
            <w:r w:rsidRPr="00CD7572">
              <w:t>154.8</w:t>
            </w:r>
          </w:p>
        </w:tc>
        <w:tc>
          <w:tcPr>
            <w:tcW w:w="2438" w:type="dxa"/>
          </w:tcPr>
          <w:p w:rsidR="00CD7572" w:rsidRPr="00CD7572" w:rsidRDefault="0062660D" w:rsidP="00CD7572">
            <w:pPr>
              <w:tabs>
                <w:tab w:val="left" w:pos="1080"/>
              </w:tabs>
              <w:spacing w:after="80"/>
              <w:jc w:val="right"/>
            </w:pPr>
            <w:r w:rsidRPr="00CD7572">
              <w:t>30.8</w:t>
            </w:r>
          </w:p>
        </w:tc>
      </w:tr>
      <w:tr w:rsidR="006A2C17" w:rsidTr="00E245D6">
        <w:tc>
          <w:tcPr>
            <w:tcW w:w="4391" w:type="dxa"/>
          </w:tcPr>
          <w:p w:rsidR="00CD7572" w:rsidRPr="00CD7572" w:rsidRDefault="0062660D" w:rsidP="00CD7572">
            <w:pPr>
              <w:tabs>
                <w:tab w:val="left" w:pos="1080"/>
              </w:tabs>
              <w:spacing w:after="80"/>
              <w:jc w:val="left"/>
            </w:pPr>
            <w:proofErr w:type="spellStart"/>
            <w:r w:rsidRPr="00CD7572">
              <w:t>Svenska</w:t>
            </w:r>
            <w:proofErr w:type="spellEnd"/>
            <w:r w:rsidRPr="00CD7572">
              <w:t xml:space="preserve"> </w:t>
            </w:r>
            <w:proofErr w:type="spellStart"/>
            <w:r w:rsidRPr="00CD7572">
              <w:t>Handelsbanken</w:t>
            </w:r>
            <w:proofErr w:type="spellEnd"/>
          </w:p>
        </w:tc>
        <w:tc>
          <w:tcPr>
            <w:tcW w:w="993" w:type="dxa"/>
          </w:tcPr>
          <w:p w:rsidR="00CD7572" w:rsidRPr="00CD7572" w:rsidRDefault="0062660D" w:rsidP="00CD7572">
            <w:pPr>
              <w:tabs>
                <w:tab w:val="left" w:pos="1080"/>
              </w:tabs>
              <w:spacing w:after="80"/>
              <w:jc w:val="right"/>
              <w:rPr>
                <w:highlight w:val="yellow"/>
              </w:rPr>
            </w:pPr>
            <w:r w:rsidRPr="00CD7572">
              <w:t>AA-</w:t>
            </w:r>
          </w:p>
        </w:tc>
        <w:tc>
          <w:tcPr>
            <w:tcW w:w="1923" w:type="dxa"/>
          </w:tcPr>
          <w:p w:rsidR="00CD7572" w:rsidRPr="00CD7572" w:rsidRDefault="0062660D" w:rsidP="00CD7572">
            <w:pPr>
              <w:tabs>
                <w:tab w:val="left" w:pos="1080"/>
              </w:tabs>
              <w:spacing w:after="80"/>
              <w:jc w:val="right"/>
            </w:pPr>
            <w:r w:rsidRPr="00CD7572">
              <w:t>55.4</w:t>
            </w:r>
          </w:p>
        </w:tc>
        <w:tc>
          <w:tcPr>
            <w:tcW w:w="2438" w:type="dxa"/>
          </w:tcPr>
          <w:p w:rsidR="00CD7572" w:rsidRPr="00CD7572" w:rsidRDefault="0062660D" w:rsidP="00CD7572">
            <w:pPr>
              <w:tabs>
                <w:tab w:val="left" w:pos="1080"/>
              </w:tabs>
              <w:spacing w:after="80"/>
              <w:jc w:val="right"/>
            </w:pPr>
            <w:r w:rsidRPr="00CD7572">
              <w:t>30.0</w:t>
            </w:r>
          </w:p>
        </w:tc>
      </w:tr>
      <w:tr w:rsidR="006A2C17" w:rsidTr="00E245D6">
        <w:tc>
          <w:tcPr>
            <w:tcW w:w="4391" w:type="dxa"/>
            <w:shd w:val="clear" w:color="auto" w:fill="A8D08D" w:themeFill="accent6" w:themeFillTint="99"/>
          </w:tcPr>
          <w:p w:rsidR="00CD7572" w:rsidRPr="00CD7572" w:rsidRDefault="0062660D" w:rsidP="00CD7572">
            <w:pPr>
              <w:tabs>
                <w:tab w:val="left" w:pos="1080"/>
              </w:tabs>
              <w:spacing w:after="80"/>
              <w:jc w:val="left"/>
              <w:rPr>
                <w:b/>
              </w:rPr>
            </w:pPr>
            <w:r w:rsidRPr="00CD7572">
              <w:rPr>
                <w:b/>
              </w:rPr>
              <w:t>Bank current accounts</w:t>
            </w:r>
          </w:p>
        </w:tc>
        <w:tc>
          <w:tcPr>
            <w:tcW w:w="993" w:type="dxa"/>
            <w:shd w:val="clear" w:color="auto" w:fill="A8D08D" w:themeFill="accent6" w:themeFillTint="99"/>
          </w:tcPr>
          <w:p w:rsidR="00CD7572" w:rsidRPr="00CD7572" w:rsidRDefault="0062660D" w:rsidP="00CD7572">
            <w:pPr>
              <w:tabs>
                <w:tab w:val="left" w:pos="1080"/>
              </w:tabs>
              <w:spacing w:after="80"/>
              <w:jc w:val="right"/>
            </w:pPr>
          </w:p>
        </w:tc>
        <w:tc>
          <w:tcPr>
            <w:tcW w:w="1923" w:type="dxa"/>
            <w:shd w:val="clear" w:color="auto" w:fill="A8D08D" w:themeFill="accent6" w:themeFillTint="99"/>
          </w:tcPr>
          <w:p w:rsidR="00CD7572" w:rsidRPr="00CD7572" w:rsidRDefault="0062660D" w:rsidP="00CD7572">
            <w:pPr>
              <w:tabs>
                <w:tab w:val="left" w:pos="1080"/>
              </w:tabs>
              <w:spacing w:after="80"/>
              <w:jc w:val="right"/>
            </w:pPr>
          </w:p>
        </w:tc>
        <w:tc>
          <w:tcPr>
            <w:tcW w:w="2438" w:type="dxa"/>
            <w:shd w:val="clear" w:color="auto" w:fill="A8D08D" w:themeFill="accent6" w:themeFillTint="99"/>
          </w:tcPr>
          <w:p w:rsidR="00CD7572" w:rsidRPr="00CD7572" w:rsidRDefault="0062660D" w:rsidP="00CD7572">
            <w:pPr>
              <w:tabs>
                <w:tab w:val="left" w:pos="1080"/>
              </w:tabs>
              <w:spacing w:after="80"/>
              <w:jc w:val="right"/>
            </w:pPr>
          </w:p>
        </w:tc>
      </w:tr>
      <w:tr w:rsidR="006A2C17" w:rsidTr="00E245D6">
        <w:tc>
          <w:tcPr>
            <w:tcW w:w="4391" w:type="dxa"/>
          </w:tcPr>
          <w:p w:rsidR="00CD7572" w:rsidRPr="00CD7572" w:rsidRDefault="0062660D" w:rsidP="00CD7572">
            <w:pPr>
              <w:tabs>
                <w:tab w:val="left" w:pos="1080"/>
              </w:tabs>
              <w:spacing w:after="80"/>
              <w:jc w:val="left"/>
            </w:pPr>
            <w:proofErr w:type="spellStart"/>
            <w:r w:rsidRPr="00CD7572">
              <w:t>Natwest</w:t>
            </w:r>
            <w:proofErr w:type="spellEnd"/>
            <w:r w:rsidRPr="00CD7572">
              <w:t xml:space="preserve"> account</w:t>
            </w:r>
          </w:p>
        </w:tc>
        <w:tc>
          <w:tcPr>
            <w:tcW w:w="993" w:type="dxa"/>
          </w:tcPr>
          <w:p w:rsidR="00CD7572" w:rsidRPr="00CD7572" w:rsidRDefault="0062660D" w:rsidP="00CD7572">
            <w:pPr>
              <w:tabs>
                <w:tab w:val="left" w:pos="1080"/>
              </w:tabs>
              <w:spacing w:after="80"/>
              <w:jc w:val="right"/>
            </w:pPr>
            <w:r w:rsidRPr="00CD7572">
              <w:t>BBB-</w:t>
            </w:r>
          </w:p>
        </w:tc>
        <w:tc>
          <w:tcPr>
            <w:tcW w:w="1923" w:type="dxa"/>
          </w:tcPr>
          <w:p w:rsidR="00CD7572" w:rsidRPr="00CD7572" w:rsidRDefault="0062660D" w:rsidP="00CD7572">
            <w:pPr>
              <w:tabs>
                <w:tab w:val="left" w:pos="1080"/>
              </w:tabs>
              <w:spacing w:after="80"/>
              <w:jc w:val="right"/>
            </w:pPr>
            <w:r w:rsidRPr="00CD7572">
              <w:t>0.1</w:t>
            </w:r>
          </w:p>
        </w:tc>
        <w:tc>
          <w:tcPr>
            <w:tcW w:w="2438" w:type="dxa"/>
          </w:tcPr>
          <w:p w:rsidR="00CD7572" w:rsidRPr="00CD7572" w:rsidRDefault="0062660D" w:rsidP="00CD7572">
            <w:pPr>
              <w:tabs>
                <w:tab w:val="left" w:pos="1080"/>
              </w:tabs>
              <w:spacing w:after="80"/>
              <w:jc w:val="right"/>
            </w:pPr>
            <w:r w:rsidRPr="00CD7572">
              <w:t>(0.8)</w:t>
            </w:r>
          </w:p>
        </w:tc>
      </w:tr>
      <w:tr w:rsidR="006A2C17" w:rsidTr="00E245D6">
        <w:tc>
          <w:tcPr>
            <w:tcW w:w="4391" w:type="dxa"/>
            <w:shd w:val="clear" w:color="auto" w:fill="C5E0B3" w:themeFill="accent6" w:themeFillTint="66"/>
          </w:tcPr>
          <w:p w:rsidR="00CD7572" w:rsidRPr="00CD7572" w:rsidRDefault="0062660D" w:rsidP="00CD7572">
            <w:pPr>
              <w:tabs>
                <w:tab w:val="left" w:pos="1080"/>
              </w:tabs>
              <w:spacing w:after="80"/>
              <w:rPr>
                <w:b/>
              </w:rPr>
            </w:pPr>
            <w:r w:rsidRPr="00CD7572">
              <w:rPr>
                <w:b/>
              </w:rPr>
              <w:t>Total</w:t>
            </w:r>
          </w:p>
        </w:tc>
        <w:tc>
          <w:tcPr>
            <w:tcW w:w="993" w:type="dxa"/>
            <w:shd w:val="clear" w:color="auto" w:fill="C5E0B3" w:themeFill="accent6" w:themeFillTint="66"/>
          </w:tcPr>
          <w:p w:rsidR="00CD7572" w:rsidRPr="00CD7572" w:rsidRDefault="0062660D" w:rsidP="00CD7572">
            <w:pPr>
              <w:tabs>
                <w:tab w:val="left" w:pos="1080"/>
              </w:tabs>
              <w:spacing w:after="80"/>
              <w:jc w:val="right"/>
              <w:rPr>
                <w:b/>
              </w:rPr>
            </w:pPr>
          </w:p>
        </w:tc>
        <w:tc>
          <w:tcPr>
            <w:tcW w:w="1923"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210.3</w:t>
            </w:r>
          </w:p>
        </w:tc>
        <w:tc>
          <w:tcPr>
            <w:tcW w:w="2438"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60.0</w:t>
            </w:r>
          </w:p>
        </w:tc>
      </w:tr>
    </w:tbl>
    <w:p w:rsidR="00CD7572" w:rsidRPr="00CD7572" w:rsidRDefault="0062660D" w:rsidP="00CD7572">
      <w:pPr>
        <w:tabs>
          <w:tab w:val="left" w:pos="1080"/>
        </w:tabs>
        <w:spacing w:after="80"/>
        <w:ind w:left="709"/>
      </w:pPr>
    </w:p>
    <w:p w:rsidR="00CD7572" w:rsidRPr="00CD7572" w:rsidRDefault="0062660D" w:rsidP="00CD7572">
      <w:pPr>
        <w:spacing w:after="0"/>
        <w:ind w:firstLine="709"/>
      </w:pPr>
      <w:r w:rsidRPr="00CD7572">
        <w:rPr>
          <w:b/>
        </w:rPr>
        <w:t>18.7 Liquidity risks</w:t>
      </w:r>
    </w:p>
    <w:p w:rsidR="00CD7572" w:rsidRPr="00CD7572" w:rsidRDefault="0062660D" w:rsidP="00CD7572">
      <w:pPr>
        <w:ind w:left="709"/>
        <w:jc w:val="left"/>
      </w:pPr>
      <w:r w:rsidRPr="00CD7572">
        <w:t xml:space="preserve">Liquidity risk represents the risk that the Fund will not be able to meet its financial obligations as they fall due.  The Fund therefore takes steps to ensure that there are adequate cash resources to meet its commitments. </w:t>
      </w:r>
    </w:p>
    <w:p w:rsidR="00CD7572" w:rsidRPr="00CD7572" w:rsidRDefault="0062660D" w:rsidP="00CD7572">
      <w:pPr>
        <w:ind w:left="709"/>
        <w:jc w:val="left"/>
      </w:pPr>
      <w:r w:rsidRPr="00CD7572">
        <w:t>The Fund has immediate access t</w:t>
      </w:r>
      <w:r w:rsidRPr="00CD7572">
        <w:t xml:space="preserve">o its cash holdings. </w:t>
      </w:r>
    </w:p>
    <w:p w:rsidR="00CD7572" w:rsidRPr="00CD7572" w:rsidRDefault="0062660D" w:rsidP="00CD7572">
      <w:pPr>
        <w:ind w:left="709"/>
        <w:jc w:val="left"/>
      </w:pPr>
      <w:r w:rsidRPr="00CD7572">
        <w:t xml:space="preserve">Management prepares periodic cash flow forecasts to understand and manage the timing of the Fund's cash flow.  The appropriate strategic level of cash balances to be held forms part of the Funds investment strategy. </w:t>
      </w:r>
    </w:p>
    <w:p w:rsidR="00CD7572" w:rsidRPr="00CD7572" w:rsidRDefault="0062660D" w:rsidP="00CD7572">
      <w:pPr>
        <w:ind w:left="709"/>
        <w:jc w:val="left"/>
      </w:pPr>
      <w:r w:rsidRPr="00CD7572">
        <w:t>All financial lia</w:t>
      </w:r>
      <w:r w:rsidRPr="00CD7572">
        <w:t xml:space="preserve">bilities at 31 March 2016 are due within the one year. </w:t>
      </w:r>
    </w:p>
    <w:p w:rsidR="00CD7572" w:rsidRPr="00CD7572" w:rsidRDefault="0062660D" w:rsidP="00CD7572">
      <w:pPr>
        <w:ind w:left="709"/>
      </w:pPr>
    </w:p>
    <w:p w:rsidR="00CD7572" w:rsidRPr="00CD7572" w:rsidRDefault="0062660D" w:rsidP="00CD7572">
      <w:pPr>
        <w:numPr>
          <w:ilvl w:val="0"/>
          <w:numId w:val="9"/>
        </w:numPr>
        <w:autoSpaceDE/>
        <w:autoSpaceDN/>
        <w:adjustRightInd/>
        <w:ind w:left="862"/>
        <w:jc w:val="left"/>
        <w:rPr>
          <w:sz w:val="32"/>
          <w:szCs w:val="32"/>
        </w:rPr>
      </w:pPr>
      <w:r w:rsidRPr="00CD7572">
        <w:rPr>
          <w:b/>
          <w:sz w:val="32"/>
          <w:szCs w:val="32"/>
        </w:rPr>
        <w:t>Additional voluntary contributions (AVC’s)</w:t>
      </w:r>
    </w:p>
    <w:p w:rsidR="00CD7572" w:rsidRPr="00CD7572" w:rsidRDefault="0062660D" w:rsidP="00CD7572">
      <w:pPr>
        <w:tabs>
          <w:tab w:val="left" w:pos="709"/>
        </w:tabs>
        <w:ind w:left="709"/>
        <w:jc w:val="left"/>
      </w:pPr>
      <w:r w:rsidRPr="00CD7572">
        <w:t xml:space="preserve">Members participating in these AVC arrangements each receive an annual statement confirming the amounts held in their account and the movements during the </w:t>
      </w:r>
      <w:r w:rsidRPr="00CD7572">
        <w:t>year.  A summary of the information provided by Equitable Life and Prudential is shown below.  (This summary has not been subject to Audit and the Pension Fund relies on the individual contributors to check deductions made on their behalf are accurately re</w:t>
      </w:r>
      <w:r w:rsidRPr="00CD7572">
        <w:t xml:space="preserve">flected in the statements provided by the AVC providers).  The figures relate to the financial year 1 April 2015 to 31 March 2016 for Prudential and 1 September 2014 to 31 August 2015 for Equitable Life and are not included in the Pension Fund accounts in </w:t>
      </w:r>
      <w:r w:rsidRPr="00CD7572">
        <w:t>accordance with Regulations 5(2)(c) of the Pension Scheme (Management and Investment of Funds) Regulations 1998.</w:t>
      </w:r>
    </w:p>
    <w:p w:rsidR="00CD7572" w:rsidRPr="00CD7572" w:rsidRDefault="0062660D" w:rsidP="00CD7572">
      <w:pPr>
        <w:tabs>
          <w:tab w:val="left" w:pos="709"/>
        </w:tabs>
        <w:ind w:left="709"/>
      </w:pPr>
    </w:p>
    <w:tbl>
      <w:tblPr>
        <w:tblStyle w:val="TableGrid6"/>
        <w:tblW w:w="0" w:type="auto"/>
        <w:tblInd w:w="709"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4817"/>
        <w:gridCol w:w="1842"/>
        <w:gridCol w:w="1843"/>
        <w:gridCol w:w="1243"/>
      </w:tblGrid>
      <w:tr w:rsidR="006A2C17" w:rsidTr="00E245D6">
        <w:tc>
          <w:tcPr>
            <w:tcW w:w="4817"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left"/>
              <w:rPr>
                <w:b/>
              </w:rPr>
            </w:pPr>
          </w:p>
        </w:tc>
        <w:tc>
          <w:tcPr>
            <w:tcW w:w="1842"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Equitable Life</w:t>
            </w:r>
          </w:p>
        </w:tc>
        <w:tc>
          <w:tcPr>
            <w:tcW w:w="1843"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Prudential</w:t>
            </w:r>
          </w:p>
        </w:tc>
        <w:tc>
          <w:tcPr>
            <w:tcW w:w="1243" w:type="dxa"/>
            <w:tcBorders>
              <w:top w:val="single" w:sz="2" w:space="0" w:color="auto"/>
              <w:bottom w:val="nil"/>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Total</w:t>
            </w:r>
          </w:p>
        </w:tc>
      </w:tr>
      <w:tr w:rsidR="006A2C17" w:rsidTr="00E245D6">
        <w:tc>
          <w:tcPr>
            <w:tcW w:w="4817"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rPr>
                <w:b/>
              </w:rPr>
            </w:pPr>
          </w:p>
        </w:tc>
        <w:tc>
          <w:tcPr>
            <w:tcW w:w="1842"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1843"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c>
          <w:tcPr>
            <w:tcW w:w="1243" w:type="dxa"/>
            <w:tcBorders>
              <w:top w:val="nil"/>
              <w:bottom w:val="single" w:sz="2" w:space="0" w:color="auto"/>
            </w:tcBorders>
            <w:shd w:val="clear" w:color="auto" w:fill="A8D08D" w:themeFill="accent6" w:themeFillTint="99"/>
          </w:tcPr>
          <w:p w:rsidR="00CD7572" w:rsidRPr="00CD7572" w:rsidRDefault="0062660D" w:rsidP="00CD7572">
            <w:pPr>
              <w:tabs>
                <w:tab w:val="left" w:pos="1080"/>
              </w:tabs>
              <w:spacing w:after="80"/>
              <w:jc w:val="right"/>
              <w:rPr>
                <w:b/>
              </w:rPr>
            </w:pPr>
            <w:r w:rsidRPr="00CD7572">
              <w:rPr>
                <w:b/>
              </w:rPr>
              <w:t>£m</w:t>
            </w:r>
          </w:p>
        </w:tc>
      </w:tr>
      <w:tr w:rsidR="006A2C17" w:rsidTr="00E245D6">
        <w:tc>
          <w:tcPr>
            <w:tcW w:w="4817"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jc w:val="left"/>
            </w:pPr>
            <w:r w:rsidRPr="00CD7572">
              <w:t>Value at start of  the year</w:t>
            </w:r>
          </w:p>
        </w:tc>
        <w:tc>
          <w:tcPr>
            <w:tcW w:w="1842"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jc w:val="right"/>
            </w:pPr>
            <w:r w:rsidRPr="00CD7572">
              <w:t>1.0</w:t>
            </w:r>
          </w:p>
        </w:tc>
        <w:tc>
          <w:tcPr>
            <w:tcW w:w="1843"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jc w:val="right"/>
            </w:pPr>
            <w:r w:rsidRPr="00CD7572">
              <w:t>21.1</w:t>
            </w:r>
          </w:p>
        </w:tc>
        <w:tc>
          <w:tcPr>
            <w:tcW w:w="1243" w:type="dxa"/>
            <w:tcBorders>
              <w:top w:val="single" w:sz="2" w:space="0" w:color="auto"/>
            </w:tcBorders>
            <w:shd w:val="clear" w:color="auto" w:fill="E2EFD9" w:themeFill="accent6" w:themeFillTint="33"/>
          </w:tcPr>
          <w:p w:rsidR="00CD7572" w:rsidRPr="00CD7572" w:rsidRDefault="0062660D" w:rsidP="00CD7572">
            <w:pPr>
              <w:tabs>
                <w:tab w:val="left" w:pos="1080"/>
              </w:tabs>
              <w:spacing w:after="80"/>
              <w:jc w:val="right"/>
            </w:pPr>
            <w:r w:rsidRPr="00CD7572">
              <w:t>22.1</w:t>
            </w:r>
          </w:p>
        </w:tc>
      </w:tr>
      <w:tr w:rsidR="006A2C17" w:rsidTr="00E245D6">
        <w:tc>
          <w:tcPr>
            <w:tcW w:w="4817" w:type="dxa"/>
          </w:tcPr>
          <w:p w:rsidR="00CD7572" w:rsidRPr="00CD7572" w:rsidRDefault="0062660D" w:rsidP="00CD7572">
            <w:pPr>
              <w:tabs>
                <w:tab w:val="left" w:pos="1080"/>
              </w:tabs>
              <w:spacing w:after="80"/>
              <w:jc w:val="left"/>
            </w:pPr>
            <w:r w:rsidRPr="00CD7572">
              <w:t xml:space="preserve">Income (incl. contributions, bonuses, interest &amp; </w:t>
            </w:r>
            <w:r w:rsidRPr="00CD7572">
              <w:t>transfers in)</w:t>
            </w:r>
          </w:p>
        </w:tc>
        <w:tc>
          <w:tcPr>
            <w:tcW w:w="1842" w:type="dxa"/>
          </w:tcPr>
          <w:p w:rsidR="00CD7572" w:rsidRPr="00CD7572" w:rsidRDefault="0062660D" w:rsidP="00CD7572">
            <w:pPr>
              <w:tabs>
                <w:tab w:val="left" w:pos="1080"/>
              </w:tabs>
              <w:spacing w:after="80"/>
              <w:jc w:val="right"/>
            </w:pPr>
            <w:r w:rsidRPr="00CD7572">
              <w:t>0.0</w:t>
            </w:r>
          </w:p>
        </w:tc>
        <w:tc>
          <w:tcPr>
            <w:tcW w:w="1843" w:type="dxa"/>
          </w:tcPr>
          <w:p w:rsidR="00CD7572" w:rsidRPr="00CD7572" w:rsidRDefault="0062660D" w:rsidP="00CD7572">
            <w:pPr>
              <w:tabs>
                <w:tab w:val="left" w:pos="1080"/>
              </w:tabs>
              <w:spacing w:after="80"/>
              <w:jc w:val="right"/>
            </w:pPr>
            <w:r w:rsidRPr="00CD7572">
              <w:t>4.8</w:t>
            </w:r>
          </w:p>
        </w:tc>
        <w:tc>
          <w:tcPr>
            <w:tcW w:w="1243" w:type="dxa"/>
          </w:tcPr>
          <w:p w:rsidR="00CD7572" w:rsidRPr="00CD7572" w:rsidRDefault="0062660D" w:rsidP="00CD7572">
            <w:pPr>
              <w:tabs>
                <w:tab w:val="left" w:pos="1080"/>
              </w:tabs>
              <w:spacing w:after="80"/>
              <w:jc w:val="right"/>
            </w:pPr>
            <w:r w:rsidRPr="00CD7572">
              <w:t>4.8</w:t>
            </w:r>
          </w:p>
        </w:tc>
      </w:tr>
      <w:tr w:rsidR="006A2C17" w:rsidTr="00E245D6">
        <w:tc>
          <w:tcPr>
            <w:tcW w:w="4817" w:type="dxa"/>
          </w:tcPr>
          <w:p w:rsidR="00CD7572" w:rsidRPr="00CD7572" w:rsidRDefault="0062660D" w:rsidP="00CD7572">
            <w:pPr>
              <w:tabs>
                <w:tab w:val="left" w:pos="1080"/>
              </w:tabs>
              <w:spacing w:after="80"/>
              <w:jc w:val="left"/>
            </w:pPr>
            <w:r w:rsidRPr="00CD7572">
              <w:t>Expenditure (incl. benefits, transfers out &amp; change in market value)</w:t>
            </w:r>
          </w:p>
        </w:tc>
        <w:tc>
          <w:tcPr>
            <w:tcW w:w="1842" w:type="dxa"/>
          </w:tcPr>
          <w:p w:rsidR="00CD7572" w:rsidRPr="00CD7572" w:rsidRDefault="0062660D" w:rsidP="00CD7572">
            <w:pPr>
              <w:tabs>
                <w:tab w:val="left" w:pos="1080"/>
              </w:tabs>
              <w:spacing w:after="80"/>
              <w:jc w:val="right"/>
            </w:pPr>
            <w:r w:rsidRPr="00CD7572">
              <w:t>(0.2)</w:t>
            </w:r>
          </w:p>
        </w:tc>
        <w:tc>
          <w:tcPr>
            <w:tcW w:w="1843" w:type="dxa"/>
          </w:tcPr>
          <w:p w:rsidR="00CD7572" w:rsidRPr="00CD7572" w:rsidRDefault="0062660D" w:rsidP="00CD7572">
            <w:pPr>
              <w:tabs>
                <w:tab w:val="left" w:pos="1080"/>
              </w:tabs>
              <w:spacing w:after="80"/>
              <w:jc w:val="right"/>
            </w:pPr>
            <w:r w:rsidRPr="00CD7572">
              <w:t>(3.9)</w:t>
            </w:r>
          </w:p>
        </w:tc>
        <w:tc>
          <w:tcPr>
            <w:tcW w:w="1243" w:type="dxa"/>
          </w:tcPr>
          <w:p w:rsidR="00CD7572" w:rsidRPr="00CD7572" w:rsidRDefault="0062660D" w:rsidP="00CD7572">
            <w:pPr>
              <w:tabs>
                <w:tab w:val="left" w:pos="1080"/>
              </w:tabs>
              <w:spacing w:after="80"/>
              <w:jc w:val="right"/>
            </w:pPr>
            <w:r w:rsidRPr="00CD7572">
              <w:t>(4.1)</w:t>
            </w:r>
          </w:p>
        </w:tc>
      </w:tr>
      <w:tr w:rsidR="006A2C17" w:rsidTr="00E245D6">
        <w:tc>
          <w:tcPr>
            <w:tcW w:w="4817" w:type="dxa"/>
            <w:shd w:val="clear" w:color="auto" w:fill="C5E0B3" w:themeFill="accent6" w:themeFillTint="66"/>
          </w:tcPr>
          <w:p w:rsidR="00CD7572" w:rsidRPr="00CD7572" w:rsidRDefault="0062660D" w:rsidP="00CD7572">
            <w:pPr>
              <w:tabs>
                <w:tab w:val="left" w:pos="1080"/>
              </w:tabs>
              <w:spacing w:after="80"/>
              <w:jc w:val="left"/>
              <w:rPr>
                <w:b/>
              </w:rPr>
            </w:pPr>
            <w:r w:rsidRPr="00CD7572">
              <w:rPr>
                <w:b/>
              </w:rPr>
              <w:t>Value at the end of the year</w:t>
            </w:r>
          </w:p>
        </w:tc>
        <w:tc>
          <w:tcPr>
            <w:tcW w:w="1842"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0.8</w:t>
            </w:r>
          </w:p>
        </w:tc>
        <w:tc>
          <w:tcPr>
            <w:tcW w:w="1843"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22.0</w:t>
            </w:r>
          </w:p>
        </w:tc>
        <w:tc>
          <w:tcPr>
            <w:tcW w:w="1243" w:type="dxa"/>
            <w:shd w:val="clear" w:color="auto" w:fill="C5E0B3" w:themeFill="accent6" w:themeFillTint="66"/>
          </w:tcPr>
          <w:p w:rsidR="00CD7572" w:rsidRPr="00CD7572" w:rsidRDefault="0062660D" w:rsidP="00CD7572">
            <w:pPr>
              <w:tabs>
                <w:tab w:val="left" w:pos="1080"/>
              </w:tabs>
              <w:spacing w:after="80"/>
              <w:jc w:val="right"/>
              <w:rPr>
                <w:b/>
              </w:rPr>
            </w:pPr>
            <w:r w:rsidRPr="00CD7572">
              <w:rPr>
                <w:b/>
              </w:rPr>
              <w:t>22.8</w:t>
            </w:r>
          </w:p>
        </w:tc>
      </w:tr>
    </w:tbl>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tabs>
          <w:tab w:val="left" w:pos="1080"/>
        </w:tabs>
        <w:spacing w:after="80"/>
        <w:ind w:left="709"/>
      </w:pPr>
    </w:p>
    <w:p w:rsidR="00CD7572" w:rsidRPr="00CD7572" w:rsidRDefault="0062660D" w:rsidP="00CD7572">
      <w:pPr>
        <w:numPr>
          <w:ilvl w:val="0"/>
          <w:numId w:val="9"/>
        </w:numPr>
        <w:autoSpaceDE/>
        <w:autoSpaceDN/>
        <w:adjustRightInd/>
        <w:spacing w:after="0"/>
        <w:jc w:val="left"/>
        <w:rPr>
          <w:rFonts w:cs="Arial"/>
          <w:b/>
          <w:sz w:val="32"/>
          <w:szCs w:val="32"/>
        </w:rPr>
      </w:pPr>
      <w:r w:rsidRPr="00CD7572">
        <w:rPr>
          <w:rFonts w:cs="Arial"/>
          <w:b/>
          <w:sz w:val="32"/>
          <w:szCs w:val="32"/>
        </w:rPr>
        <w:t>Current assets</w:t>
      </w:r>
    </w:p>
    <w:tbl>
      <w:tblPr>
        <w:tblStyle w:val="TableGrid1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26"/>
        <w:gridCol w:w="1533"/>
        <w:gridCol w:w="34"/>
        <w:gridCol w:w="396"/>
        <w:gridCol w:w="36"/>
        <w:gridCol w:w="1660"/>
        <w:gridCol w:w="44"/>
      </w:tblGrid>
      <w:tr w:rsidR="006A2C17" w:rsidTr="00E245D6">
        <w:trPr>
          <w:trHeight w:val="554"/>
        </w:trPr>
        <w:tc>
          <w:tcPr>
            <w:tcW w:w="5084" w:type="dxa"/>
            <w:gridSpan w:val="2"/>
          </w:tcPr>
          <w:p w:rsidR="00CD7572" w:rsidRPr="00CD7572" w:rsidRDefault="0062660D" w:rsidP="00CD7572">
            <w:pPr>
              <w:spacing w:after="0"/>
              <w:rPr>
                <w:rFonts w:ascii="Arial" w:hAnsi="Arial" w:cs="Arial"/>
                <w:b/>
              </w:rPr>
            </w:pPr>
          </w:p>
        </w:tc>
        <w:tc>
          <w:tcPr>
            <w:tcW w:w="1567" w:type="dxa"/>
            <w:gridSpan w:val="2"/>
          </w:tcPr>
          <w:p w:rsidR="00CD7572" w:rsidRPr="00CD7572" w:rsidRDefault="0062660D" w:rsidP="00CD7572">
            <w:pPr>
              <w:spacing w:after="0"/>
              <w:jc w:val="right"/>
              <w:rPr>
                <w:rFonts w:ascii="Arial" w:hAnsi="Arial" w:cs="Arial"/>
                <w:b/>
              </w:rPr>
            </w:pPr>
            <w:r w:rsidRPr="00CD7572">
              <w:rPr>
                <w:rFonts w:ascii="Arial" w:hAnsi="Arial" w:cs="Arial"/>
                <w:b/>
              </w:rPr>
              <w:t>31/03/16</w:t>
            </w:r>
          </w:p>
          <w:p w:rsidR="00CD7572" w:rsidRPr="00CD7572" w:rsidRDefault="0062660D" w:rsidP="00CD7572">
            <w:pPr>
              <w:spacing w:after="0"/>
              <w:jc w:val="right"/>
              <w:rPr>
                <w:rFonts w:ascii="Arial" w:hAnsi="Arial" w:cs="Arial"/>
                <w:b/>
              </w:rPr>
            </w:pPr>
            <w:r w:rsidRPr="00CD7572">
              <w:rPr>
                <w:rFonts w:ascii="Arial" w:hAnsi="Arial" w:cs="Arial"/>
                <w:b/>
              </w:rPr>
              <w:t>£m</w:t>
            </w:r>
          </w:p>
        </w:tc>
        <w:tc>
          <w:tcPr>
            <w:tcW w:w="432" w:type="dxa"/>
            <w:gridSpan w:val="2"/>
            <w:tcBorders>
              <w:right w:val="single" w:sz="4" w:space="0" w:color="FFFFFF" w:themeColor="background1"/>
            </w:tcBorders>
          </w:tcPr>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p>
        </w:tc>
        <w:tc>
          <w:tcPr>
            <w:tcW w:w="1704" w:type="dxa"/>
            <w:gridSpan w:val="2"/>
            <w:tcBorders>
              <w:left w:val="single" w:sz="4" w:space="0" w:color="FFFFFF" w:themeColor="background1"/>
            </w:tcBorders>
          </w:tcPr>
          <w:p w:rsidR="00CD7572" w:rsidRPr="00CD7572" w:rsidRDefault="0062660D" w:rsidP="00CD7572">
            <w:pPr>
              <w:spacing w:after="0"/>
              <w:jc w:val="right"/>
              <w:rPr>
                <w:rFonts w:ascii="Arial" w:hAnsi="Arial" w:cs="Arial"/>
                <w:b/>
              </w:rPr>
            </w:pPr>
            <w:r w:rsidRPr="00CD7572">
              <w:rPr>
                <w:rFonts w:ascii="Arial" w:hAnsi="Arial" w:cs="Arial"/>
                <w:b/>
              </w:rPr>
              <w:t>31/03/15</w:t>
            </w:r>
          </w:p>
          <w:p w:rsidR="00CD7572" w:rsidRPr="00CD7572" w:rsidRDefault="0062660D" w:rsidP="00CD7572">
            <w:pPr>
              <w:spacing w:after="0"/>
              <w:jc w:val="right"/>
              <w:rPr>
                <w:rFonts w:ascii="Arial" w:hAnsi="Arial" w:cs="Arial"/>
                <w:b/>
              </w:rPr>
            </w:pPr>
            <w:r w:rsidRPr="00CD7572">
              <w:rPr>
                <w:rFonts w:ascii="Arial" w:hAnsi="Arial" w:cs="Arial"/>
                <w:b/>
              </w:rPr>
              <w:t>£m</w:t>
            </w:r>
          </w:p>
        </w:tc>
      </w:tr>
      <w:tr w:rsidR="006A2C17" w:rsidTr="00E245D6">
        <w:trPr>
          <w:trHeight w:val="389"/>
        </w:trPr>
        <w:tc>
          <w:tcPr>
            <w:tcW w:w="5084" w:type="dxa"/>
            <w:gridSpan w:val="2"/>
          </w:tcPr>
          <w:p w:rsidR="00CD7572" w:rsidRPr="00CD7572" w:rsidRDefault="0062660D" w:rsidP="00CD7572">
            <w:pPr>
              <w:jc w:val="left"/>
              <w:rPr>
                <w:rFonts w:ascii="Arial" w:hAnsi="Arial" w:cs="Arial"/>
              </w:rPr>
            </w:pPr>
            <w:r w:rsidRPr="00CD7572">
              <w:rPr>
                <w:rFonts w:ascii="Arial" w:hAnsi="Arial" w:cs="Arial"/>
              </w:rPr>
              <w:t>Contributions due - employers</w:t>
            </w:r>
          </w:p>
        </w:tc>
        <w:tc>
          <w:tcPr>
            <w:tcW w:w="1567" w:type="dxa"/>
            <w:gridSpan w:val="2"/>
          </w:tcPr>
          <w:p w:rsidR="00CD7572" w:rsidRPr="00CD7572" w:rsidRDefault="0062660D" w:rsidP="00CD7572">
            <w:pPr>
              <w:jc w:val="right"/>
              <w:rPr>
                <w:rFonts w:ascii="Arial" w:hAnsi="Arial" w:cs="Arial"/>
              </w:rPr>
            </w:pPr>
            <w:r w:rsidRPr="00CD7572">
              <w:rPr>
                <w:rFonts w:ascii="Arial" w:hAnsi="Arial" w:cs="Arial"/>
              </w:rPr>
              <w:t>13.9</w:t>
            </w:r>
          </w:p>
        </w:tc>
        <w:tc>
          <w:tcPr>
            <w:tcW w:w="432" w:type="dxa"/>
            <w:gridSpan w:val="2"/>
            <w:tcBorders>
              <w:right w:val="single" w:sz="4" w:space="0" w:color="FFFFFF" w:themeColor="background1"/>
            </w:tcBorders>
          </w:tcPr>
          <w:p w:rsidR="00CD7572" w:rsidRPr="00CD7572" w:rsidRDefault="0062660D" w:rsidP="00CD7572">
            <w:pPr>
              <w:jc w:val="right"/>
              <w:rPr>
                <w:rFonts w:cs="Arial"/>
              </w:rPr>
            </w:pPr>
          </w:p>
        </w:tc>
        <w:tc>
          <w:tcPr>
            <w:tcW w:w="1704" w:type="dxa"/>
            <w:gridSpan w:val="2"/>
          </w:tcPr>
          <w:p w:rsidR="00CD7572" w:rsidRPr="00CD7572" w:rsidRDefault="0062660D" w:rsidP="00CD7572">
            <w:pPr>
              <w:jc w:val="right"/>
              <w:rPr>
                <w:rFonts w:ascii="Arial" w:hAnsi="Arial" w:cs="Arial"/>
              </w:rPr>
            </w:pPr>
            <w:r w:rsidRPr="00CD7572">
              <w:rPr>
                <w:rFonts w:ascii="Arial" w:hAnsi="Arial" w:cs="Arial"/>
              </w:rPr>
              <w:t>14.4</w:t>
            </w:r>
          </w:p>
        </w:tc>
      </w:tr>
      <w:tr w:rsidR="006A2C17" w:rsidTr="00E245D6">
        <w:trPr>
          <w:trHeight w:val="404"/>
        </w:trPr>
        <w:tc>
          <w:tcPr>
            <w:tcW w:w="5084" w:type="dxa"/>
            <w:gridSpan w:val="2"/>
          </w:tcPr>
          <w:p w:rsidR="00CD7572" w:rsidRPr="00CD7572" w:rsidRDefault="0062660D" w:rsidP="00CD7572">
            <w:pPr>
              <w:jc w:val="left"/>
              <w:rPr>
                <w:rFonts w:ascii="Arial" w:hAnsi="Arial" w:cs="Arial"/>
              </w:rPr>
            </w:pPr>
            <w:r w:rsidRPr="00CD7572">
              <w:rPr>
                <w:rFonts w:ascii="Arial" w:hAnsi="Arial" w:cs="Arial"/>
              </w:rPr>
              <w:t>Contributions due - members</w:t>
            </w:r>
          </w:p>
        </w:tc>
        <w:tc>
          <w:tcPr>
            <w:tcW w:w="1567" w:type="dxa"/>
            <w:gridSpan w:val="2"/>
          </w:tcPr>
          <w:p w:rsidR="00CD7572" w:rsidRPr="00CD7572" w:rsidRDefault="0062660D" w:rsidP="00CD7572">
            <w:pPr>
              <w:jc w:val="right"/>
              <w:rPr>
                <w:rFonts w:ascii="Arial" w:hAnsi="Arial" w:cs="Arial"/>
              </w:rPr>
            </w:pPr>
            <w:r w:rsidRPr="00CD7572">
              <w:rPr>
                <w:rFonts w:ascii="Arial" w:hAnsi="Arial" w:cs="Arial"/>
              </w:rPr>
              <w:t>4.6</w:t>
            </w:r>
          </w:p>
        </w:tc>
        <w:tc>
          <w:tcPr>
            <w:tcW w:w="432" w:type="dxa"/>
            <w:gridSpan w:val="2"/>
            <w:tcBorders>
              <w:right w:val="single" w:sz="4" w:space="0" w:color="FFFFFF" w:themeColor="background1"/>
            </w:tcBorders>
          </w:tcPr>
          <w:p w:rsidR="00CD7572" w:rsidRPr="00CD7572" w:rsidRDefault="0062660D" w:rsidP="00CD7572">
            <w:pPr>
              <w:jc w:val="right"/>
              <w:rPr>
                <w:rFonts w:ascii="Arial" w:hAnsi="Arial" w:cs="Arial"/>
              </w:rPr>
            </w:pPr>
          </w:p>
        </w:tc>
        <w:tc>
          <w:tcPr>
            <w:tcW w:w="1704" w:type="dxa"/>
            <w:gridSpan w:val="2"/>
          </w:tcPr>
          <w:p w:rsidR="00CD7572" w:rsidRPr="00CD7572" w:rsidRDefault="0062660D" w:rsidP="00CD7572">
            <w:pPr>
              <w:jc w:val="right"/>
              <w:rPr>
                <w:rFonts w:ascii="Arial" w:hAnsi="Arial" w:cs="Arial"/>
              </w:rPr>
            </w:pPr>
            <w:r w:rsidRPr="00CD7572">
              <w:rPr>
                <w:rFonts w:ascii="Arial" w:hAnsi="Arial" w:cs="Arial"/>
              </w:rPr>
              <w:t>4.6</w:t>
            </w:r>
          </w:p>
        </w:tc>
      </w:tr>
      <w:tr w:rsidR="006A2C17" w:rsidTr="00E245D6">
        <w:trPr>
          <w:trHeight w:val="659"/>
        </w:trPr>
        <w:tc>
          <w:tcPr>
            <w:tcW w:w="5084" w:type="dxa"/>
            <w:gridSpan w:val="2"/>
          </w:tcPr>
          <w:p w:rsidR="00CD7572" w:rsidRPr="00CD7572" w:rsidRDefault="0062660D" w:rsidP="00CD7572">
            <w:pPr>
              <w:jc w:val="left"/>
              <w:rPr>
                <w:rFonts w:ascii="Arial" w:hAnsi="Arial" w:cs="Arial"/>
              </w:rPr>
            </w:pPr>
            <w:r w:rsidRPr="00CD7572">
              <w:rPr>
                <w:rFonts w:ascii="Arial" w:hAnsi="Arial" w:cs="Arial"/>
              </w:rPr>
              <w:t>Debtors - bodies external to general          government</w:t>
            </w:r>
          </w:p>
        </w:tc>
        <w:tc>
          <w:tcPr>
            <w:tcW w:w="1567" w:type="dxa"/>
            <w:gridSpan w:val="2"/>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9.2</w:t>
            </w:r>
          </w:p>
        </w:tc>
        <w:tc>
          <w:tcPr>
            <w:tcW w:w="432" w:type="dxa"/>
            <w:gridSpan w:val="2"/>
            <w:tcBorders>
              <w:right w:val="single" w:sz="4" w:space="0" w:color="FFFFFF" w:themeColor="background1"/>
            </w:tcBorders>
          </w:tcPr>
          <w:p w:rsidR="00CD7572" w:rsidRPr="00CD7572" w:rsidRDefault="0062660D" w:rsidP="00CD7572">
            <w:pPr>
              <w:jc w:val="right"/>
              <w:rPr>
                <w:rFonts w:ascii="Arial" w:hAnsi="Arial" w:cs="Arial"/>
              </w:rPr>
            </w:pPr>
          </w:p>
        </w:tc>
        <w:tc>
          <w:tcPr>
            <w:tcW w:w="1704" w:type="dxa"/>
            <w:gridSpan w:val="2"/>
            <w:tcBorders>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9.1</w:t>
            </w:r>
          </w:p>
        </w:tc>
      </w:tr>
      <w:tr w:rsidR="006A2C17" w:rsidTr="00E245D6">
        <w:trPr>
          <w:trHeight w:val="404"/>
        </w:trPr>
        <w:tc>
          <w:tcPr>
            <w:tcW w:w="5084" w:type="dxa"/>
            <w:gridSpan w:val="2"/>
          </w:tcPr>
          <w:p w:rsidR="00CD7572" w:rsidRPr="00CD7572" w:rsidRDefault="0062660D" w:rsidP="00CD7572">
            <w:pPr>
              <w:rPr>
                <w:rFonts w:ascii="Arial" w:hAnsi="Arial" w:cs="Arial"/>
              </w:rPr>
            </w:pPr>
          </w:p>
        </w:tc>
        <w:tc>
          <w:tcPr>
            <w:tcW w:w="1567" w:type="dxa"/>
            <w:gridSpan w:val="2"/>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27.7</w:t>
            </w:r>
          </w:p>
        </w:tc>
        <w:tc>
          <w:tcPr>
            <w:tcW w:w="432" w:type="dxa"/>
            <w:gridSpan w:val="2"/>
            <w:tcBorders>
              <w:right w:val="single" w:sz="4" w:space="0" w:color="FFFFFF" w:themeColor="background1"/>
            </w:tcBorders>
          </w:tcPr>
          <w:p w:rsidR="00CD7572" w:rsidRPr="00CD7572" w:rsidRDefault="0062660D" w:rsidP="00CD7572">
            <w:pPr>
              <w:jc w:val="right"/>
              <w:rPr>
                <w:rFonts w:ascii="Arial" w:hAnsi="Arial" w:cs="Arial"/>
              </w:rPr>
            </w:pPr>
          </w:p>
        </w:tc>
        <w:tc>
          <w:tcPr>
            <w:tcW w:w="1704" w:type="dxa"/>
            <w:gridSpan w:val="2"/>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28.1</w:t>
            </w:r>
          </w:p>
        </w:tc>
      </w:tr>
      <w:tr w:rsidR="006A2C17" w:rsidTr="00E245D6">
        <w:trPr>
          <w:trHeight w:val="389"/>
        </w:trPr>
        <w:tc>
          <w:tcPr>
            <w:tcW w:w="5084" w:type="dxa"/>
            <w:gridSpan w:val="2"/>
          </w:tcPr>
          <w:p w:rsidR="00CD7572" w:rsidRPr="00CD7572" w:rsidRDefault="0062660D" w:rsidP="00CD7572">
            <w:pPr>
              <w:rPr>
                <w:rFonts w:ascii="Arial" w:hAnsi="Arial" w:cs="Arial"/>
              </w:rPr>
            </w:pPr>
          </w:p>
          <w:p w:rsidR="00CD7572" w:rsidRPr="00CD7572" w:rsidRDefault="0062660D" w:rsidP="00CD7572">
            <w:pPr>
              <w:rPr>
                <w:rFonts w:ascii="Arial" w:hAnsi="Arial" w:cs="Arial"/>
              </w:rPr>
            </w:pPr>
          </w:p>
        </w:tc>
        <w:tc>
          <w:tcPr>
            <w:tcW w:w="1567" w:type="dxa"/>
            <w:gridSpan w:val="2"/>
            <w:tcBorders>
              <w:top w:val="single" w:sz="18" w:space="0" w:color="auto"/>
            </w:tcBorders>
          </w:tcPr>
          <w:p w:rsidR="00CD7572" w:rsidRPr="00CD7572" w:rsidRDefault="0062660D" w:rsidP="00CD7572">
            <w:pPr>
              <w:jc w:val="right"/>
              <w:rPr>
                <w:rFonts w:ascii="Arial" w:hAnsi="Arial" w:cs="Arial"/>
              </w:rPr>
            </w:pPr>
          </w:p>
        </w:tc>
        <w:tc>
          <w:tcPr>
            <w:tcW w:w="432" w:type="dxa"/>
            <w:gridSpan w:val="2"/>
          </w:tcPr>
          <w:p w:rsidR="00CD7572" w:rsidRPr="00CD7572" w:rsidRDefault="0062660D" w:rsidP="00CD7572">
            <w:pPr>
              <w:jc w:val="right"/>
              <w:rPr>
                <w:rFonts w:ascii="Arial" w:hAnsi="Arial" w:cs="Arial"/>
              </w:rPr>
            </w:pPr>
          </w:p>
        </w:tc>
        <w:tc>
          <w:tcPr>
            <w:tcW w:w="1704" w:type="dxa"/>
            <w:gridSpan w:val="2"/>
            <w:tcBorders>
              <w:top w:val="single" w:sz="18" w:space="0" w:color="auto"/>
            </w:tcBorders>
          </w:tcPr>
          <w:p w:rsidR="00CD7572" w:rsidRPr="00CD7572" w:rsidRDefault="0062660D" w:rsidP="00CD7572">
            <w:pPr>
              <w:jc w:val="right"/>
              <w:rPr>
                <w:rFonts w:ascii="Arial" w:hAnsi="Arial" w:cs="Arial"/>
              </w:rPr>
            </w:pPr>
          </w:p>
        </w:tc>
      </w:tr>
      <w:tr w:rsidR="006A2C17" w:rsidTr="00E245D6">
        <w:trPr>
          <w:gridAfter w:val="1"/>
          <w:wAfter w:w="44" w:type="dxa"/>
        </w:trPr>
        <w:tc>
          <w:tcPr>
            <w:tcW w:w="5058" w:type="dxa"/>
          </w:tcPr>
          <w:p w:rsidR="00CD7572" w:rsidRPr="00CD7572" w:rsidRDefault="0062660D" w:rsidP="00CD7572">
            <w:pPr>
              <w:spacing w:after="0"/>
              <w:rPr>
                <w:rFonts w:ascii="Arial" w:hAnsi="Arial" w:cs="Arial"/>
                <w:b/>
              </w:rPr>
            </w:pPr>
          </w:p>
          <w:p w:rsidR="00CD7572" w:rsidRPr="00CD7572" w:rsidRDefault="0062660D" w:rsidP="00CD7572">
            <w:pPr>
              <w:spacing w:after="0"/>
              <w:rPr>
                <w:rFonts w:ascii="Arial" w:hAnsi="Arial" w:cs="Arial"/>
                <w:b/>
              </w:rPr>
            </w:pPr>
            <w:r w:rsidRPr="00CD7572">
              <w:rPr>
                <w:rFonts w:ascii="Arial" w:hAnsi="Arial" w:cs="Arial"/>
                <w:b/>
              </w:rPr>
              <w:t>Analysis of debtors</w:t>
            </w:r>
          </w:p>
        </w:tc>
        <w:tc>
          <w:tcPr>
            <w:tcW w:w="1559" w:type="dxa"/>
            <w:gridSpan w:val="2"/>
          </w:tcPr>
          <w:p w:rsidR="00CD7572" w:rsidRPr="00CD7572" w:rsidRDefault="0062660D" w:rsidP="00CD7572">
            <w:pPr>
              <w:spacing w:after="0"/>
              <w:jc w:val="right"/>
              <w:rPr>
                <w:rFonts w:ascii="Arial" w:hAnsi="Arial" w:cs="Arial"/>
                <w:b/>
              </w:rPr>
            </w:pPr>
            <w:r w:rsidRPr="00CD7572">
              <w:rPr>
                <w:rFonts w:ascii="Arial" w:hAnsi="Arial" w:cs="Arial"/>
                <w:b/>
              </w:rPr>
              <w:t>31/03/16</w:t>
            </w:r>
          </w:p>
          <w:p w:rsidR="00CD7572" w:rsidRPr="00CD7572" w:rsidRDefault="0062660D" w:rsidP="00CD7572">
            <w:pPr>
              <w:spacing w:after="0"/>
              <w:jc w:val="right"/>
              <w:rPr>
                <w:rFonts w:ascii="Arial" w:hAnsi="Arial" w:cs="Arial"/>
                <w:b/>
              </w:rPr>
            </w:pPr>
            <w:r w:rsidRPr="00CD7572">
              <w:rPr>
                <w:rFonts w:ascii="Arial" w:hAnsi="Arial" w:cs="Arial"/>
                <w:b/>
              </w:rPr>
              <w:t>£m</w:t>
            </w:r>
          </w:p>
        </w:tc>
        <w:tc>
          <w:tcPr>
            <w:tcW w:w="430" w:type="dxa"/>
            <w:gridSpan w:val="2"/>
            <w:tcBorders>
              <w:right w:val="single" w:sz="4" w:space="0" w:color="FFFFFF" w:themeColor="background1"/>
            </w:tcBorders>
          </w:tcPr>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p>
        </w:tc>
        <w:tc>
          <w:tcPr>
            <w:tcW w:w="1696" w:type="dxa"/>
            <w:gridSpan w:val="2"/>
            <w:tcBorders>
              <w:left w:val="single" w:sz="4" w:space="0" w:color="FFFFFF" w:themeColor="background1"/>
            </w:tcBorders>
          </w:tcPr>
          <w:p w:rsidR="00CD7572" w:rsidRPr="00CD7572" w:rsidRDefault="0062660D" w:rsidP="00CD7572">
            <w:pPr>
              <w:spacing w:after="0"/>
              <w:jc w:val="right"/>
              <w:rPr>
                <w:rFonts w:ascii="Arial" w:hAnsi="Arial" w:cs="Arial"/>
                <w:b/>
              </w:rPr>
            </w:pPr>
            <w:r w:rsidRPr="00CD7572">
              <w:rPr>
                <w:rFonts w:ascii="Arial" w:hAnsi="Arial" w:cs="Arial"/>
                <w:b/>
              </w:rPr>
              <w:t>31/03/15</w:t>
            </w:r>
          </w:p>
          <w:p w:rsidR="00CD7572" w:rsidRPr="00CD7572" w:rsidRDefault="0062660D" w:rsidP="00CD7572">
            <w:pPr>
              <w:spacing w:after="0"/>
              <w:jc w:val="right"/>
              <w:rPr>
                <w:rFonts w:ascii="Arial" w:hAnsi="Arial" w:cs="Arial"/>
                <w:b/>
              </w:rPr>
            </w:pPr>
            <w:r w:rsidRPr="00CD7572">
              <w:rPr>
                <w:rFonts w:ascii="Arial" w:hAnsi="Arial" w:cs="Arial"/>
                <w:b/>
              </w:rPr>
              <w:t>£m</w:t>
            </w:r>
          </w:p>
        </w:tc>
      </w:tr>
      <w:tr w:rsidR="006A2C17" w:rsidTr="00E245D6">
        <w:trPr>
          <w:gridAfter w:val="1"/>
          <w:wAfter w:w="44" w:type="dxa"/>
        </w:trPr>
        <w:tc>
          <w:tcPr>
            <w:tcW w:w="5058" w:type="dxa"/>
          </w:tcPr>
          <w:p w:rsidR="00CD7572" w:rsidRPr="00CD7572" w:rsidRDefault="0062660D" w:rsidP="00CD7572">
            <w:pPr>
              <w:jc w:val="left"/>
              <w:rPr>
                <w:rFonts w:ascii="Arial" w:hAnsi="Arial" w:cs="Arial"/>
              </w:rPr>
            </w:pPr>
            <w:r w:rsidRPr="00CD7572">
              <w:rPr>
                <w:rFonts w:ascii="Arial" w:hAnsi="Arial" w:cs="Arial"/>
              </w:rPr>
              <w:t>Other local authorities</w:t>
            </w:r>
          </w:p>
        </w:tc>
        <w:tc>
          <w:tcPr>
            <w:tcW w:w="1559" w:type="dxa"/>
            <w:gridSpan w:val="2"/>
          </w:tcPr>
          <w:p w:rsidR="00CD7572" w:rsidRPr="00CD7572" w:rsidRDefault="0062660D" w:rsidP="00CD7572">
            <w:pPr>
              <w:jc w:val="right"/>
              <w:rPr>
                <w:rFonts w:ascii="Arial" w:hAnsi="Arial" w:cs="Arial"/>
              </w:rPr>
            </w:pPr>
            <w:r w:rsidRPr="00CD7572">
              <w:rPr>
                <w:rFonts w:ascii="Arial" w:hAnsi="Arial" w:cs="Arial"/>
              </w:rPr>
              <w:t>14.9</w:t>
            </w:r>
          </w:p>
        </w:tc>
        <w:tc>
          <w:tcPr>
            <w:tcW w:w="430" w:type="dxa"/>
            <w:gridSpan w:val="2"/>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gridSpan w:val="2"/>
          </w:tcPr>
          <w:p w:rsidR="00CD7572" w:rsidRPr="00CD7572" w:rsidRDefault="0062660D" w:rsidP="00CD7572">
            <w:pPr>
              <w:jc w:val="right"/>
              <w:rPr>
                <w:rFonts w:ascii="Arial" w:hAnsi="Arial" w:cs="Arial"/>
              </w:rPr>
            </w:pPr>
            <w:r w:rsidRPr="00CD7572">
              <w:rPr>
                <w:rFonts w:ascii="Arial" w:hAnsi="Arial" w:cs="Arial"/>
              </w:rPr>
              <w:t>15.6</w:t>
            </w:r>
          </w:p>
        </w:tc>
      </w:tr>
      <w:tr w:rsidR="006A2C17" w:rsidTr="00E245D6">
        <w:trPr>
          <w:gridAfter w:val="1"/>
          <w:wAfter w:w="44" w:type="dxa"/>
        </w:trPr>
        <w:tc>
          <w:tcPr>
            <w:tcW w:w="5058" w:type="dxa"/>
          </w:tcPr>
          <w:p w:rsidR="00CD7572" w:rsidRPr="00CD7572" w:rsidRDefault="0062660D" w:rsidP="00CD7572">
            <w:pPr>
              <w:jc w:val="left"/>
              <w:rPr>
                <w:rFonts w:ascii="Arial" w:hAnsi="Arial" w:cs="Arial"/>
              </w:rPr>
            </w:pPr>
            <w:r w:rsidRPr="00CD7572">
              <w:rPr>
                <w:rFonts w:ascii="Arial" w:hAnsi="Arial" w:cs="Arial"/>
              </w:rPr>
              <w:t>Other entities and individuals</w:t>
            </w:r>
          </w:p>
        </w:tc>
        <w:tc>
          <w:tcPr>
            <w:tcW w:w="1559" w:type="dxa"/>
            <w:gridSpan w:val="2"/>
          </w:tcPr>
          <w:p w:rsidR="00CD7572" w:rsidRPr="00CD7572" w:rsidRDefault="0062660D" w:rsidP="00CD7572">
            <w:pPr>
              <w:jc w:val="right"/>
              <w:rPr>
                <w:rFonts w:ascii="Arial" w:hAnsi="Arial" w:cs="Arial"/>
              </w:rPr>
            </w:pPr>
            <w:r w:rsidRPr="00CD7572">
              <w:rPr>
                <w:rFonts w:ascii="Arial" w:hAnsi="Arial" w:cs="Arial"/>
              </w:rPr>
              <w:t>12.8</w:t>
            </w:r>
          </w:p>
        </w:tc>
        <w:tc>
          <w:tcPr>
            <w:tcW w:w="430" w:type="dxa"/>
            <w:gridSpan w:val="2"/>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gridSpan w:val="2"/>
          </w:tcPr>
          <w:p w:rsidR="00CD7572" w:rsidRPr="00CD7572" w:rsidRDefault="0062660D" w:rsidP="00CD7572">
            <w:pPr>
              <w:jc w:val="right"/>
              <w:rPr>
                <w:rFonts w:ascii="Arial" w:hAnsi="Arial" w:cs="Arial"/>
              </w:rPr>
            </w:pPr>
            <w:r w:rsidRPr="00CD7572">
              <w:rPr>
                <w:rFonts w:ascii="Arial" w:hAnsi="Arial" w:cs="Arial"/>
              </w:rPr>
              <w:t>12.5</w:t>
            </w:r>
          </w:p>
        </w:tc>
      </w:tr>
      <w:tr w:rsidR="006A2C17" w:rsidTr="00E245D6">
        <w:trPr>
          <w:gridAfter w:val="1"/>
          <w:wAfter w:w="44" w:type="dxa"/>
        </w:trPr>
        <w:tc>
          <w:tcPr>
            <w:tcW w:w="5058" w:type="dxa"/>
          </w:tcPr>
          <w:p w:rsidR="00CD7572" w:rsidRPr="00CD7572" w:rsidRDefault="0062660D" w:rsidP="00CD7572">
            <w:pPr>
              <w:rPr>
                <w:rFonts w:ascii="Arial" w:hAnsi="Arial" w:cs="Arial"/>
              </w:rPr>
            </w:pPr>
          </w:p>
        </w:tc>
        <w:tc>
          <w:tcPr>
            <w:tcW w:w="1559" w:type="dxa"/>
            <w:gridSpan w:val="2"/>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27.7</w:t>
            </w:r>
          </w:p>
        </w:tc>
        <w:tc>
          <w:tcPr>
            <w:tcW w:w="430" w:type="dxa"/>
            <w:gridSpan w:val="2"/>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gridSpan w:val="2"/>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28.1</w:t>
            </w:r>
          </w:p>
        </w:tc>
      </w:tr>
    </w:tbl>
    <w:p w:rsidR="00CD7572" w:rsidRPr="00CD7572" w:rsidRDefault="0062660D" w:rsidP="00CD7572">
      <w:pPr>
        <w:tabs>
          <w:tab w:val="left" w:pos="1080"/>
        </w:tabs>
        <w:ind w:left="709"/>
        <w:rPr>
          <w:rFonts w:cs="Arial"/>
        </w:rPr>
      </w:pPr>
    </w:p>
    <w:p w:rsidR="00CD7572" w:rsidRPr="00CD7572" w:rsidRDefault="0062660D" w:rsidP="00CD7572">
      <w:pPr>
        <w:tabs>
          <w:tab w:val="left" w:pos="1080"/>
        </w:tabs>
        <w:ind w:left="709"/>
        <w:rPr>
          <w:rFonts w:cs="Arial"/>
        </w:rPr>
      </w:pPr>
    </w:p>
    <w:p w:rsidR="00CD7572" w:rsidRPr="00CD7572" w:rsidRDefault="0062660D" w:rsidP="00CD7572">
      <w:pPr>
        <w:tabs>
          <w:tab w:val="left" w:pos="1080"/>
        </w:tabs>
        <w:ind w:left="709"/>
        <w:rPr>
          <w:rFonts w:cs="Arial"/>
        </w:rPr>
      </w:pPr>
    </w:p>
    <w:p w:rsidR="00CD7572" w:rsidRPr="00CD7572" w:rsidRDefault="0062660D" w:rsidP="00CD7572">
      <w:pPr>
        <w:numPr>
          <w:ilvl w:val="0"/>
          <w:numId w:val="9"/>
        </w:numPr>
        <w:autoSpaceDE/>
        <w:autoSpaceDN/>
        <w:adjustRightInd/>
        <w:spacing w:after="0"/>
        <w:jc w:val="left"/>
        <w:rPr>
          <w:rFonts w:cs="Arial"/>
          <w:b/>
          <w:sz w:val="32"/>
          <w:szCs w:val="32"/>
        </w:rPr>
      </w:pPr>
      <w:r w:rsidRPr="00CD7572">
        <w:rPr>
          <w:rFonts w:cs="Arial"/>
          <w:b/>
          <w:sz w:val="32"/>
          <w:szCs w:val="32"/>
        </w:rPr>
        <w:t>Current liabilities</w:t>
      </w:r>
    </w:p>
    <w:tbl>
      <w:tblPr>
        <w:tblStyle w:val="TableGrid1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6A2C17" w:rsidTr="00E245D6">
        <w:tc>
          <w:tcPr>
            <w:tcW w:w="5058" w:type="dxa"/>
          </w:tcPr>
          <w:p w:rsidR="00CD7572" w:rsidRPr="00CD7572" w:rsidRDefault="0062660D" w:rsidP="00CD7572">
            <w:pPr>
              <w:spacing w:after="0"/>
              <w:rPr>
                <w:rFonts w:ascii="Arial" w:hAnsi="Arial" w:cs="Arial"/>
                <w:b/>
              </w:rPr>
            </w:pPr>
          </w:p>
        </w:tc>
        <w:tc>
          <w:tcPr>
            <w:tcW w:w="1559" w:type="dxa"/>
          </w:tcPr>
          <w:p w:rsidR="00CD7572" w:rsidRPr="00CD7572" w:rsidRDefault="0062660D" w:rsidP="00CD7572">
            <w:pPr>
              <w:spacing w:after="0"/>
              <w:jc w:val="right"/>
              <w:rPr>
                <w:rFonts w:ascii="Arial" w:hAnsi="Arial" w:cs="Arial"/>
                <w:b/>
              </w:rPr>
            </w:pPr>
            <w:r w:rsidRPr="00CD7572">
              <w:rPr>
                <w:rFonts w:ascii="Arial" w:hAnsi="Arial" w:cs="Arial"/>
                <w:b/>
              </w:rPr>
              <w:t>31/03/16</w:t>
            </w:r>
          </w:p>
          <w:p w:rsidR="00CD7572" w:rsidRPr="00CD7572" w:rsidRDefault="0062660D" w:rsidP="00CD7572">
            <w:pPr>
              <w:spacing w:after="0"/>
              <w:jc w:val="right"/>
              <w:rPr>
                <w:rFonts w:ascii="Arial" w:hAnsi="Arial" w:cs="Arial"/>
                <w:b/>
              </w:rPr>
            </w:pPr>
            <w:r w:rsidRPr="00CD7572">
              <w:rPr>
                <w:rFonts w:ascii="Arial" w:hAnsi="Arial" w:cs="Arial"/>
                <w:b/>
              </w:rPr>
              <w:t>£m</w:t>
            </w:r>
          </w:p>
        </w:tc>
        <w:tc>
          <w:tcPr>
            <w:tcW w:w="430" w:type="dxa"/>
            <w:tcBorders>
              <w:right w:val="single" w:sz="4" w:space="0" w:color="FFFFFF" w:themeColor="background1"/>
            </w:tcBorders>
          </w:tcPr>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p>
        </w:tc>
        <w:tc>
          <w:tcPr>
            <w:tcW w:w="1696" w:type="dxa"/>
            <w:tcBorders>
              <w:left w:val="single" w:sz="4" w:space="0" w:color="FFFFFF" w:themeColor="background1"/>
            </w:tcBorders>
          </w:tcPr>
          <w:p w:rsidR="00CD7572" w:rsidRPr="00CD7572" w:rsidRDefault="0062660D" w:rsidP="00CD7572">
            <w:pPr>
              <w:spacing w:after="0"/>
              <w:jc w:val="right"/>
              <w:rPr>
                <w:rFonts w:ascii="Arial" w:hAnsi="Arial" w:cs="Arial"/>
                <w:b/>
              </w:rPr>
            </w:pPr>
            <w:r w:rsidRPr="00CD7572">
              <w:rPr>
                <w:rFonts w:ascii="Arial" w:hAnsi="Arial" w:cs="Arial"/>
                <w:b/>
              </w:rPr>
              <w:t>31/03/15</w:t>
            </w:r>
          </w:p>
          <w:p w:rsidR="00CD7572" w:rsidRPr="00CD7572" w:rsidRDefault="0062660D" w:rsidP="00CD7572">
            <w:pPr>
              <w:spacing w:after="0"/>
              <w:jc w:val="right"/>
              <w:rPr>
                <w:rFonts w:ascii="Arial" w:hAnsi="Arial" w:cs="Arial"/>
                <w:b/>
              </w:rPr>
            </w:pPr>
            <w:r w:rsidRPr="00CD7572">
              <w:rPr>
                <w:rFonts w:ascii="Arial" w:hAnsi="Arial" w:cs="Arial"/>
                <w:b/>
              </w:rPr>
              <w:t>£m</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Unpaid benefits</w:t>
            </w:r>
          </w:p>
        </w:tc>
        <w:tc>
          <w:tcPr>
            <w:tcW w:w="1559" w:type="dxa"/>
          </w:tcPr>
          <w:p w:rsidR="00CD7572" w:rsidRPr="00CD7572" w:rsidRDefault="0062660D" w:rsidP="00CD7572">
            <w:pPr>
              <w:jc w:val="right"/>
              <w:rPr>
                <w:rFonts w:ascii="Arial" w:hAnsi="Arial" w:cs="Arial"/>
              </w:rPr>
            </w:pPr>
            <w:r w:rsidRPr="00CD7572">
              <w:rPr>
                <w:rFonts w:ascii="Arial" w:hAnsi="Arial" w:cs="Arial"/>
              </w:rPr>
              <w:t>1.1</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Pr>
          <w:p w:rsidR="00CD7572" w:rsidRPr="00CD7572" w:rsidRDefault="0062660D" w:rsidP="00CD7572">
            <w:pPr>
              <w:jc w:val="right"/>
              <w:rPr>
                <w:rFonts w:ascii="Arial" w:hAnsi="Arial" w:cs="Arial"/>
              </w:rPr>
            </w:pPr>
            <w:r w:rsidRPr="00CD7572">
              <w:rPr>
                <w:rFonts w:ascii="Arial" w:hAnsi="Arial" w:cs="Arial"/>
              </w:rPr>
              <w:t>0.1</w:t>
            </w:r>
          </w:p>
        </w:tc>
      </w:tr>
      <w:tr w:rsidR="006A2C17" w:rsidTr="00E245D6">
        <w:tc>
          <w:tcPr>
            <w:tcW w:w="5058" w:type="dxa"/>
          </w:tcPr>
          <w:p w:rsidR="00CD7572" w:rsidRPr="00CD7572" w:rsidRDefault="0062660D" w:rsidP="00CD7572">
            <w:pPr>
              <w:rPr>
                <w:rFonts w:ascii="Arial" w:hAnsi="Arial" w:cs="Arial"/>
              </w:rPr>
            </w:pPr>
            <w:r w:rsidRPr="00CD7572">
              <w:rPr>
                <w:rFonts w:ascii="Arial" w:hAnsi="Arial" w:cs="Arial"/>
              </w:rPr>
              <w:t>Accrued expenses</w:t>
            </w:r>
          </w:p>
        </w:tc>
        <w:tc>
          <w:tcPr>
            <w:tcW w:w="1559" w:type="dxa"/>
          </w:tcPr>
          <w:p w:rsidR="00CD7572" w:rsidRPr="00CD7572" w:rsidRDefault="0062660D" w:rsidP="00CD7572">
            <w:pPr>
              <w:jc w:val="right"/>
              <w:rPr>
                <w:rFonts w:ascii="Arial" w:hAnsi="Arial" w:cs="Arial"/>
              </w:rPr>
            </w:pPr>
            <w:r w:rsidRPr="00CD7572">
              <w:rPr>
                <w:rFonts w:ascii="Arial" w:hAnsi="Arial" w:cs="Arial"/>
              </w:rPr>
              <w:t>17.7</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Pr>
          <w:p w:rsidR="00CD7572" w:rsidRPr="00CD7572" w:rsidRDefault="0062660D" w:rsidP="00CD7572">
            <w:pPr>
              <w:jc w:val="right"/>
              <w:rPr>
                <w:rFonts w:ascii="Arial" w:hAnsi="Arial" w:cs="Arial"/>
              </w:rPr>
            </w:pPr>
            <w:r w:rsidRPr="00CD7572">
              <w:rPr>
                <w:rFonts w:ascii="Arial" w:hAnsi="Arial" w:cs="Arial"/>
              </w:rPr>
              <w:t>10.8</w:t>
            </w:r>
          </w:p>
        </w:tc>
      </w:tr>
      <w:tr w:rsidR="006A2C17" w:rsidTr="00E245D6">
        <w:tc>
          <w:tcPr>
            <w:tcW w:w="5058" w:type="dxa"/>
          </w:tcPr>
          <w:p w:rsidR="00CD7572" w:rsidRPr="00CD7572" w:rsidRDefault="0062660D" w:rsidP="00CD7572">
            <w:pPr>
              <w:rPr>
                <w:rFonts w:ascii="Arial" w:hAnsi="Arial" w:cs="Arial"/>
              </w:rPr>
            </w:pPr>
          </w:p>
        </w:tc>
        <w:tc>
          <w:tcPr>
            <w:tcW w:w="1559"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18.8</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10.9</w:t>
            </w:r>
          </w:p>
        </w:tc>
      </w:tr>
    </w:tbl>
    <w:p w:rsidR="00CD7572" w:rsidRPr="00CD7572" w:rsidRDefault="0062660D" w:rsidP="00CD7572">
      <w:pPr>
        <w:ind w:left="720"/>
        <w:rPr>
          <w:rFonts w:cs="Arial"/>
        </w:rPr>
      </w:pPr>
    </w:p>
    <w:p w:rsidR="00CD7572" w:rsidRPr="00CD7572" w:rsidRDefault="0062660D" w:rsidP="00CD7572">
      <w:pPr>
        <w:ind w:left="720"/>
        <w:rPr>
          <w:rFonts w:cs="Arial"/>
        </w:rPr>
      </w:pPr>
    </w:p>
    <w:p w:rsidR="00CD7572" w:rsidRPr="00CD7572" w:rsidRDefault="0062660D" w:rsidP="00CD7572">
      <w:pPr>
        <w:ind w:left="720"/>
        <w:rPr>
          <w:rFonts w:cs="Arial"/>
        </w:rPr>
      </w:pPr>
    </w:p>
    <w:p w:rsidR="00CD7572" w:rsidRPr="00CD7572" w:rsidRDefault="0062660D" w:rsidP="00CD7572">
      <w:pPr>
        <w:ind w:left="720"/>
        <w:rPr>
          <w:rFonts w:cs="Arial"/>
        </w:rPr>
      </w:pPr>
    </w:p>
    <w:p w:rsidR="00CD7572" w:rsidRPr="00CD7572" w:rsidRDefault="0062660D" w:rsidP="00CD7572">
      <w:pPr>
        <w:ind w:left="720"/>
        <w:rPr>
          <w:rFonts w:cs="Arial"/>
        </w:rPr>
      </w:pPr>
    </w:p>
    <w:p w:rsidR="00CD7572" w:rsidRPr="00CD7572" w:rsidRDefault="0062660D" w:rsidP="00CD7572">
      <w:pPr>
        <w:ind w:left="720"/>
        <w:rPr>
          <w:rFonts w:cs="Arial"/>
        </w:rPr>
      </w:pPr>
    </w:p>
    <w:p w:rsidR="00CD7572" w:rsidRPr="00CD7572" w:rsidRDefault="0062660D" w:rsidP="00CD7572">
      <w:pPr>
        <w:ind w:left="720"/>
        <w:rPr>
          <w:rFonts w:cs="Arial"/>
        </w:rPr>
      </w:pPr>
    </w:p>
    <w:tbl>
      <w:tblPr>
        <w:tblStyle w:val="TableGrid1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559"/>
        <w:gridCol w:w="430"/>
        <w:gridCol w:w="1696"/>
      </w:tblGrid>
      <w:tr w:rsidR="006A2C17" w:rsidTr="00E245D6">
        <w:tc>
          <w:tcPr>
            <w:tcW w:w="5058" w:type="dxa"/>
          </w:tcPr>
          <w:p w:rsidR="00CD7572" w:rsidRPr="00CD7572" w:rsidRDefault="0062660D" w:rsidP="00CD7572">
            <w:pPr>
              <w:spacing w:after="0"/>
              <w:rPr>
                <w:rFonts w:ascii="Arial" w:hAnsi="Arial" w:cs="Arial"/>
                <w:b/>
              </w:rPr>
            </w:pPr>
            <w:r w:rsidRPr="00CD7572">
              <w:rPr>
                <w:rFonts w:ascii="Arial" w:hAnsi="Arial" w:cs="Arial"/>
                <w:b/>
              </w:rPr>
              <w:t>Analysis of creditors</w:t>
            </w:r>
          </w:p>
        </w:tc>
        <w:tc>
          <w:tcPr>
            <w:tcW w:w="1559" w:type="dxa"/>
          </w:tcPr>
          <w:p w:rsidR="00CD7572" w:rsidRPr="00CD7572" w:rsidRDefault="0062660D" w:rsidP="00CD7572">
            <w:pPr>
              <w:spacing w:after="0"/>
              <w:jc w:val="right"/>
              <w:rPr>
                <w:rFonts w:ascii="Arial" w:hAnsi="Arial" w:cs="Arial"/>
                <w:b/>
              </w:rPr>
            </w:pPr>
            <w:r w:rsidRPr="00CD7572">
              <w:rPr>
                <w:rFonts w:ascii="Arial" w:hAnsi="Arial" w:cs="Arial"/>
                <w:b/>
              </w:rPr>
              <w:t>31/03/16</w:t>
            </w:r>
          </w:p>
          <w:p w:rsidR="00CD7572" w:rsidRPr="00CD7572" w:rsidRDefault="0062660D" w:rsidP="00CD7572">
            <w:pPr>
              <w:spacing w:after="0"/>
              <w:jc w:val="right"/>
              <w:rPr>
                <w:rFonts w:ascii="Arial" w:hAnsi="Arial" w:cs="Arial"/>
                <w:b/>
              </w:rPr>
            </w:pPr>
            <w:r w:rsidRPr="00CD7572">
              <w:rPr>
                <w:rFonts w:ascii="Arial" w:hAnsi="Arial" w:cs="Arial"/>
                <w:b/>
              </w:rPr>
              <w:t>£m</w:t>
            </w:r>
          </w:p>
        </w:tc>
        <w:tc>
          <w:tcPr>
            <w:tcW w:w="430" w:type="dxa"/>
            <w:tcBorders>
              <w:right w:val="single" w:sz="4" w:space="0" w:color="FFFFFF" w:themeColor="background1"/>
            </w:tcBorders>
          </w:tcPr>
          <w:p w:rsidR="00CD7572" w:rsidRPr="00CD7572" w:rsidRDefault="0062660D" w:rsidP="00CD7572">
            <w:pPr>
              <w:spacing w:after="0"/>
              <w:jc w:val="right"/>
              <w:rPr>
                <w:rFonts w:ascii="Arial" w:hAnsi="Arial" w:cs="Arial"/>
                <w:b/>
              </w:rPr>
            </w:pPr>
          </w:p>
          <w:p w:rsidR="00CD7572" w:rsidRPr="00CD7572" w:rsidRDefault="0062660D" w:rsidP="00CD7572">
            <w:pPr>
              <w:spacing w:after="0"/>
              <w:jc w:val="right"/>
              <w:rPr>
                <w:rFonts w:ascii="Arial" w:hAnsi="Arial" w:cs="Arial"/>
                <w:b/>
              </w:rPr>
            </w:pPr>
          </w:p>
        </w:tc>
        <w:tc>
          <w:tcPr>
            <w:tcW w:w="1696" w:type="dxa"/>
            <w:tcBorders>
              <w:left w:val="single" w:sz="4" w:space="0" w:color="FFFFFF" w:themeColor="background1"/>
            </w:tcBorders>
          </w:tcPr>
          <w:p w:rsidR="00CD7572" w:rsidRPr="00CD7572" w:rsidRDefault="0062660D" w:rsidP="00CD7572">
            <w:pPr>
              <w:spacing w:after="0"/>
              <w:jc w:val="right"/>
              <w:rPr>
                <w:rFonts w:ascii="Arial" w:hAnsi="Arial" w:cs="Arial"/>
                <w:b/>
              </w:rPr>
            </w:pPr>
            <w:r w:rsidRPr="00CD7572">
              <w:rPr>
                <w:rFonts w:ascii="Arial" w:hAnsi="Arial" w:cs="Arial"/>
                <w:b/>
              </w:rPr>
              <w:t>31/03/15</w:t>
            </w:r>
          </w:p>
          <w:p w:rsidR="00CD7572" w:rsidRPr="00CD7572" w:rsidRDefault="0062660D" w:rsidP="00CD7572">
            <w:pPr>
              <w:spacing w:after="0"/>
              <w:jc w:val="right"/>
              <w:rPr>
                <w:rFonts w:ascii="Arial" w:hAnsi="Arial" w:cs="Arial"/>
                <w:b/>
              </w:rPr>
            </w:pPr>
            <w:r w:rsidRPr="00CD7572">
              <w:rPr>
                <w:rFonts w:ascii="Arial" w:hAnsi="Arial" w:cs="Arial"/>
                <w:b/>
              </w:rPr>
              <w:t>£m</w:t>
            </w:r>
          </w:p>
        </w:tc>
      </w:tr>
      <w:tr w:rsidR="006A2C17" w:rsidTr="00E245D6">
        <w:tc>
          <w:tcPr>
            <w:tcW w:w="5058" w:type="dxa"/>
          </w:tcPr>
          <w:p w:rsidR="00CD7572" w:rsidRPr="00CD7572" w:rsidRDefault="0062660D" w:rsidP="00CD7572">
            <w:pPr>
              <w:jc w:val="left"/>
              <w:rPr>
                <w:rFonts w:ascii="Arial" w:hAnsi="Arial" w:cs="Arial"/>
              </w:rPr>
            </w:pPr>
            <w:r w:rsidRPr="00CD7572">
              <w:rPr>
                <w:rFonts w:ascii="Arial" w:hAnsi="Arial" w:cs="Arial"/>
              </w:rPr>
              <w:t>Other local authorities</w:t>
            </w:r>
          </w:p>
        </w:tc>
        <w:tc>
          <w:tcPr>
            <w:tcW w:w="1559" w:type="dxa"/>
          </w:tcPr>
          <w:p w:rsidR="00CD7572" w:rsidRPr="00CD7572" w:rsidRDefault="0062660D" w:rsidP="00CD7572">
            <w:pPr>
              <w:jc w:val="right"/>
              <w:rPr>
                <w:rFonts w:ascii="Arial" w:hAnsi="Arial" w:cs="Arial"/>
              </w:rPr>
            </w:pPr>
            <w:r w:rsidRPr="00CD7572">
              <w:rPr>
                <w:rFonts w:ascii="Arial" w:hAnsi="Arial" w:cs="Arial"/>
              </w:rPr>
              <w:t>2.1</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Pr>
          <w:p w:rsidR="00CD7572" w:rsidRPr="00CD7572" w:rsidRDefault="0062660D" w:rsidP="00CD7572">
            <w:pPr>
              <w:jc w:val="right"/>
              <w:rPr>
                <w:rFonts w:ascii="Arial" w:hAnsi="Arial" w:cs="Arial"/>
              </w:rPr>
            </w:pPr>
            <w:r w:rsidRPr="00CD7572">
              <w:rPr>
                <w:rFonts w:ascii="Arial" w:hAnsi="Arial" w:cs="Arial"/>
              </w:rPr>
              <w:t>4.2</w:t>
            </w:r>
          </w:p>
        </w:tc>
      </w:tr>
      <w:tr w:rsidR="006A2C17" w:rsidTr="00E245D6">
        <w:tc>
          <w:tcPr>
            <w:tcW w:w="5058" w:type="dxa"/>
          </w:tcPr>
          <w:p w:rsidR="00CD7572" w:rsidRPr="00CD7572" w:rsidRDefault="0062660D" w:rsidP="00CD7572">
            <w:pPr>
              <w:jc w:val="left"/>
              <w:rPr>
                <w:rFonts w:ascii="Arial" w:hAnsi="Arial" w:cs="Arial"/>
              </w:rPr>
            </w:pPr>
            <w:r w:rsidRPr="00CD7572">
              <w:rPr>
                <w:rFonts w:ascii="Arial" w:hAnsi="Arial" w:cs="Arial"/>
              </w:rPr>
              <w:t>Other entities and individuals</w:t>
            </w:r>
          </w:p>
        </w:tc>
        <w:tc>
          <w:tcPr>
            <w:tcW w:w="1559" w:type="dxa"/>
          </w:tcPr>
          <w:p w:rsidR="00CD7572" w:rsidRPr="00CD7572" w:rsidRDefault="0062660D" w:rsidP="00CD7572">
            <w:pPr>
              <w:jc w:val="right"/>
              <w:rPr>
                <w:rFonts w:ascii="Arial" w:hAnsi="Arial" w:cs="Arial"/>
              </w:rPr>
            </w:pPr>
            <w:r w:rsidRPr="00CD7572">
              <w:rPr>
                <w:rFonts w:ascii="Arial" w:hAnsi="Arial" w:cs="Arial"/>
              </w:rPr>
              <w:t>16.7</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Pr>
          <w:p w:rsidR="00CD7572" w:rsidRPr="00CD7572" w:rsidRDefault="0062660D" w:rsidP="00CD7572">
            <w:pPr>
              <w:jc w:val="right"/>
              <w:rPr>
                <w:rFonts w:ascii="Arial" w:hAnsi="Arial" w:cs="Arial"/>
              </w:rPr>
            </w:pPr>
            <w:r w:rsidRPr="00CD7572">
              <w:rPr>
                <w:rFonts w:ascii="Arial" w:hAnsi="Arial" w:cs="Arial"/>
              </w:rPr>
              <w:t>6.7</w:t>
            </w:r>
          </w:p>
        </w:tc>
      </w:tr>
      <w:tr w:rsidR="006A2C17" w:rsidTr="00E245D6">
        <w:tc>
          <w:tcPr>
            <w:tcW w:w="5058" w:type="dxa"/>
          </w:tcPr>
          <w:p w:rsidR="00CD7572" w:rsidRPr="00CD7572" w:rsidRDefault="0062660D" w:rsidP="00CD7572">
            <w:pPr>
              <w:rPr>
                <w:rFonts w:ascii="Arial" w:hAnsi="Arial" w:cs="Arial"/>
              </w:rPr>
            </w:pPr>
          </w:p>
        </w:tc>
        <w:tc>
          <w:tcPr>
            <w:tcW w:w="1559"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18.8</w:t>
            </w:r>
          </w:p>
        </w:tc>
        <w:tc>
          <w:tcPr>
            <w:tcW w:w="430" w:type="dxa"/>
            <w:tcBorders>
              <w:right w:val="single" w:sz="4" w:space="0" w:color="FFFFFF" w:themeColor="background1"/>
            </w:tcBorders>
          </w:tcPr>
          <w:p w:rsidR="00CD7572" w:rsidRPr="00CD7572" w:rsidRDefault="0062660D" w:rsidP="00CD7572">
            <w:pPr>
              <w:jc w:val="right"/>
              <w:rPr>
                <w:rFonts w:ascii="Arial" w:hAnsi="Arial" w:cs="Arial"/>
              </w:rPr>
            </w:pPr>
          </w:p>
        </w:tc>
        <w:tc>
          <w:tcPr>
            <w:tcW w:w="1696" w:type="dxa"/>
            <w:tcBorders>
              <w:top w:val="single" w:sz="18" w:space="0" w:color="auto"/>
              <w:bottom w:val="single" w:sz="18" w:space="0" w:color="auto"/>
            </w:tcBorders>
          </w:tcPr>
          <w:p w:rsidR="00CD7572" w:rsidRPr="00CD7572" w:rsidRDefault="0062660D" w:rsidP="00CD7572">
            <w:pPr>
              <w:jc w:val="right"/>
              <w:rPr>
                <w:rFonts w:ascii="Arial" w:hAnsi="Arial" w:cs="Arial"/>
              </w:rPr>
            </w:pPr>
            <w:r w:rsidRPr="00CD7572">
              <w:rPr>
                <w:rFonts w:ascii="Arial" w:hAnsi="Arial" w:cs="Arial"/>
              </w:rPr>
              <w:t>10.9</w:t>
            </w:r>
          </w:p>
        </w:tc>
      </w:tr>
    </w:tbl>
    <w:p w:rsidR="00CD7572" w:rsidRPr="00CD7572" w:rsidRDefault="0062660D" w:rsidP="00CD7572">
      <w:pPr>
        <w:rPr>
          <w:rFonts w:cs="Arial"/>
          <w:b/>
          <w:bCs/>
        </w:rPr>
      </w:pPr>
    </w:p>
    <w:p w:rsidR="00CD7572" w:rsidRPr="00CD7572" w:rsidRDefault="0062660D" w:rsidP="00CD7572">
      <w:pPr>
        <w:tabs>
          <w:tab w:val="left" w:pos="1080"/>
        </w:tabs>
        <w:spacing w:after="80"/>
        <w:ind w:left="709"/>
        <w:rPr>
          <w:rFonts w:cs="Arial"/>
        </w:rPr>
      </w:pPr>
    </w:p>
    <w:p w:rsidR="00CD7572" w:rsidRPr="00CD7572" w:rsidRDefault="0062660D" w:rsidP="00CD7572">
      <w:pPr>
        <w:spacing w:after="80"/>
        <w:ind w:left="709"/>
      </w:pPr>
    </w:p>
    <w:p w:rsidR="00CD7572" w:rsidRPr="00CD7572" w:rsidRDefault="0062660D" w:rsidP="00CD7572">
      <w:pPr>
        <w:numPr>
          <w:ilvl w:val="0"/>
          <w:numId w:val="9"/>
        </w:numPr>
        <w:autoSpaceDE/>
        <w:autoSpaceDN/>
        <w:adjustRightInd/>
        <w:spacing w:after="240"/>
        <w:ind w:left="862"/>
        <w:rPr>
          <w:sz w:val="32"/>
          <w:szCs w:val="32"/>
        </w:rPr>
      </w:pPr>
      <w:r w:rsidRPr="00CD7572">
        <w:rPr>
          <w:b/>
          <w:sz w:val="32"/>
          <w:szCs w:val="32"/>
        </w:rPr>
        <w:t>Contractual Commitments</w:t>
      </w:r>
    </w:p>
    <w:p w:rsidR="00CD7572" w:rsidRPr="00CD7572" w:rsidRDefault="0062660D" w:rsidP="00CD7572">
      <w:pPr>
        <w:tabs>
          <w:tab w:val="left" w:pos="709"/>
        </w:tabs>
        <w:spacing w:after="80"/>
        <w:ind w:left="709"/>
        <w:jc w:val="left"/>
      </w:pPr>
      <w:r w:rsidRPr="00CD7572">
        <w:t>The commitments relating to outstanding call payments due to unquoted limited partnership funds held in the venture capital and infrastructure part of the portfolio totalled £665.3m. The amounts 'called' by these funds are irregular in both size and timing</w:t>
      </w:r>
      <w:r w:rsidRPr="00CD7572">
        <w:t xml:space="preserve"> and commitments to these partnerships are drawn down over a number of years.  The term of an individual investment can be up to 10 years.  Realisation of these investments in the form of distributions normally occurs towards the end of the investment peri</w:t>
      </w:r>
      <w:r w:rsidRPr="00CD7572">
        <w:t xml:space="preserve">od, when portfolio companies have built value and can be liquidated.  </w:t>
      </w:r>
    </w:p>
    <w:p w:rsidR="00CD7572" w:rsidRPr="00CD7572" w:rsidRDefault="0062660D" w:rsidP="00CD7572">
      <w:pPr>
        <w:tabs>
          <w:tab w:val="left" w:pos="709"/>
        </w:tabs>
        <w:spacing w:after="80"/>
        <w:ind w:left="709"/>
        <w:jc w:val="left"/>
      </w:pPr>
      <w:r w:rsidRPr="00CD7572">
        <w:t>Commitments to outstanding call payments due to certain credit strategies stood at £497.2m.  The majority of these amounts are expected to be called over the coming two years and relate</w:t>
      </w:r>
      <w:r w:rsidRPr="00CD7572">
        <w:t xml:space="preserve"> to various different investments including direct lending and distressed credit opportunities which are expected to begin repaying capital after 5 years.  In order to maintain a steady level of investment in the long term, the Fund will enter into further</w:t>
      </w:r>
      <w:r w:rsidRPr="00CD7572">
        <w:t xml:space="preserve"> commitments to fund this type of strategy over the coming years.</w:t>
      </w:r>
    </w:p>
    <w:p w:rsidR="00CD7572" w:rsidRPr="00CD7572" w:rsidRDefault="0062660D" w:rsidP="00CD7572">
      <w:pPr>
        <w:ind w:left="709"/>
        <w:jc w:val="left"/>
      </w:pPr>
      <w:r w:rsidRPr="00CD7572">
        <w:t>The commitments on direct property development contracts relating to properties under construction held in the direct property part of the portfolio totalled £19.9m at 31st March 2016. These</w:t>
      </w:r>
      <w:r w:rsidRPr="00CD7572">
        <w:t xml:space="preserve"> amounts are expected to be drawn down over the next 12 months based on valuation certificates.</w:t>
      </w:r>
    </w:p>
    <w:p w:rsidR="00CD7572" w:rsidRPr="00CD7572" w:rsidRDefault="0062660D" w:rsidP="00CD7572">
      <w:pPr>
        <w:ind w:left="709"/>
        <w:jc w:val="left"/>
      </w:pPr>
      <w:r w:rsidRPr="00CD7572">
        <w:t>The commitment on indirect property of £13.8m at 31st March 2016.  These amounts are expected to be drawn down over the next few months.</w:t>
      </w:r>
    </w:p>
    <w:p w:rsidR="00CD7572" w:rsidRPr="00CD7572" w:rsidRDefault="0062660D" w:rsidP="00CD7572">
      <w:pPr>
        <w:tabs>
          <w:tab w:val="left" w:pos="709"/>
        </w:tabs>
        <w:spacing w:after="80"/>
        <w:ind w:left="709"/>
      </w:pPr>
    </w:p>
    <w:p w:rsidR="00CD7572" w:rsidRPr="00CD7572" w:rsidRDefault="0062660D" w:rsidP="00CD7572">
      <w:pPr>
        <w:tabs>
          <w:tab w:val="left" w:pos="709"/>
        </w:tabs>
        <w:spacing w:after="80"/>
        <w:ind w:left="709"/>
      </w:pPr>
    </w:p>
    <w:p w:rsidR="00CD7572" w:rsidRPr="00CD7572" w:rsidRDefault="0062660D" w:rsidP="00CD7572">
      <w:pPr>
        <w:numPr>
          <w:ilvl w:val="0"/>
          <w:numId w:val="9"/>
        </w:numPr>
        <w:autoSpaceDE/>
        <w:autoSpaceDN/>
        <w:adjustRightInd/>
        <w:spacing w:after="240"/>
        <w:ind w:left="709"/>
        <w:jc w:val="left"/>
        <w:rPr>
          <w:sz w:val="32"/>
          <w:szCs w:val="32"/>
        </w:rPr>
      </w:pPr>
      <w:r w:rsidRPr="00CD7572">
        <w:rPr>
          <w:b/>
          <w:sz w:val="32"/>
          <w:szCs w:val="32"/>
        </w:rPr>
        <w:t xml:space="preserve">Related Party </w:t>
      </w:r>
      <w:r w:rsidRPr="00CD7572">
        <w:rPr>
          <w:b/>
          <w:sz w:val="32"/>
          <w:szCs w:val="32"/>
        </w:rPr>
        <w:t>Transactions</w:t>
      </w:r>
    </w:p>
    <w:p w:rsidR="00CD7572" w:rsidRPr="00CD7572" w:rsidRDefault="0062660D" w:rsidP="00CD7572">
      <w:pPr>
        <w:tabs>
          <w:tab w:val="left" w:pos="709"/>
        </w:tabs>
        <w:spacing w:after="80"/>
        <w:ind w:left="709"/>
        <w:jc w:val="left"/>
      </w:pPr>
      <w:r w:rsidRPr="00CD7572">
        <w:t>In accordance with IFRS, the financial statements must contain the disclosures necessary to draw attention to the possibility that the reported financial position of the Pension Fund may have been affected by the existence of related parties a</w:t>
      </w:r>
      <w:r w:rsidRPr="00CD7572">
        <w:t xml:space="preserve">nd associated material transactions.  </w:t>
      </w:r>
    </w:p>
    <w:p w:rsidR="00CD7572" w:rsidRPr="00CD7572" w:rsidRDefault="0062660D" w:rsidP="00CD7572">
      <w:pPr>
        <w:tabs>
          <w:tab w:val="left" w:pos="709"/>
        </w:tabs>
        <w:spacing w:after="80"/>
        <w:ind w:left="709"/>
        <w:jc w:val="left"/>
      </w:pPr>
      <w:r w:rsidRPr="00CD7572">
        <w:t>There are three groups of related parties; transactions between Lancashire County Council as administering authority and the Fund; between employers within the Fund and the Fund; and between members and senior officer</w:t>
      </w:r>
      <w:r w:rsidRPr="00CD7572">
        <w:t>s and the Fund.</w:t>
      </w:r>
    </w:p>
    <w:p w:rsidR="00CD7572" w:rsidRPr="00CD7572" w:rsidRDefault="0062660D" w:rsidP="00CD7572">
      <w:pPr>
        <w:tabs>
          <w:tab w:val="left" w:pos="709"/>
        </w:tabs>
        <w:spacing w:after="80"/>
        <w:ind w:left="709"/>
        <w:jc w:val="left"/>
      </w:pPr>
    </w:p>
    <w:p w:rsidR="00CD7572" w:rsidRPr="00CD7572" w:rsidRDefault="0062660D" w:rsidP="00CD7572">
      <w:pPr>
        <w:spacing w:after="0"/>
        <w:ind w:left="709"/>
        <w:jc w:val="left"/>
        <w:rPr>
          <w:b/>
        </w:rPr>
      </w:pPr>
      <w:r w:rsidRPr="00CD7572">
        <w:rPr>
          <w:b/>
        </w:rPr>
        <w:t>23.1 Lancashire County Council</w:t>
      </w:r>
    </w:p>
    <w:p w:rsidR="00CD7572" w:rsidRPr="00CD7572" w:rsidRDefault="0062660D" w:rsidP="00CD7572">
      <w:pPr>
        <w:spacing w:after="0"/>
        <w:ind w:left="709"/>
        <w:jc w:val="left"/>
        <w:rPr>
          <w:b/>
        </w:rPr>
      </w:pPr>
    </w:p>
    <w:p w:rsidR="00CD7572" w:rsidRPr="00CD7572" w:rsidRDefault="0062660D" w:rsidP="00CD7572">
      <w:pPr>
        <w:spacing w:after="0"/>
        <w:ind w:left="709"/>
        <w:jc w:val="left"/>
      </w:pPr>
      <w:r w:rsidRPr="00CD7572">
        <w:t>The Lancashire County Pension Fund is administered by Lancashire County Council. Consequently there is a strong relationship between the council and the Pension Fund.</w:t>
      </w:r>
    </w:p>
    <w:p w:rsidR="00CD7572" w:rsidRPr="00CD7572" w:rsidRDefault="0062660D" w:rsidP="00CD7572">
      <w:pPr>
        <w:spacing w:after="0"/>
        <w:ind w:left="709"/>
        <w:jc w:val="left"/>
      </w:pPr>
    </w:p>
    <w:p w:rsidR="00CD7572" w:rsidRPr="00CD7572" w:rsidRDefault="0062660D" w:rsidP="00CD7572">
      <w:pPr>
        <w:spacing w:after="0"/>
        <w:ind w:left="709"/>
        <w:jc w:val="left"/>
      </w:pPr>
      <w:r w:rsidRPr="00CD7572">
        <w:t xml:space="preserve">The council incurred costs of £4.2 m </w:t>
      </w:r>
      <w:r w:rsidRPr="00CD7572">
        <w:t>(2014/15: £4.5m) in relation to the administration of the Fund.  This includes a proportion of relevant officers' salaries in respect of time allocated to pension and investment issues.  The council was subsequently reimbursed by the Fund for these expense</w:t>
      </w:r>
      <w:r w:rsidRPr="00CD7572">
        <w:t>s. The council is also the single largest employer of the members of the Pension Fund and contributed £81.4m to the fund in 2015/16 (2014/15: £79.5m). All monies owing to and due from the Fund were paid in year.</w:t>
      </w:r>
    </w:p>
    <w:p w:rsidR="00CD7572" w:rsidRPr="00CD7572" w:rsidRDefault="0062660D" w:rsidP="00CD7572">
      <w:pPr>
        <w:tabs>
          <w:tab w:val="left" w:pos="709"/>
        </w:tabs>
        <w:spacing w:after="80"/>
        <w:ind w:left="709"/>
        <w:jc w:val="left"/>
      </w:pPr>
    </w:p>
    <w:p w:rsidR="00CD7572" w:rsidRPr="00CD7572" w:rsidRDefault="0062660D" w:rsidP="00CD7572">
      <w:pPr>
        <w:tabs>
          <w:tab w:val="left" w:pos="709"/>
        </w:tabs>
        <w:spacing w:after="80"/>
        <w:ind w:left="709"/>
        <w:jc w:val="left"/>
        <w:rPr>
          <w:b/>
        </w:rPr>
      </w:pPr>
      <w:r w:rsidRPr="00CD7572">
        <w:rPr>
          <w:b/>
        </w:rPr>
        <w:t>23.2 Employers within the Fund</w:t>
      </w:r>
    </w:p>
    <w:p w:rsidR="00CD7572" w:rsidRPr="00CD7572" w:rsidRDefault="0062660D" w:rsidP="00CD7572">
      <w:pPr>
        <w:tabs>
          <w:tab w:val="left" w:pos="709"/>
        </w:tabs>
        <w:spacing w:after="80"/>
        <w:ind w:left="709"/>
        <w:jc w:val="left"/>
      </w:pPr>
      <w:r w:rsidRPr="00CD7572">
        <w:t>Employers ar</w:t>
      </w:r>
      <w:r w:rsidRPr="00CD7572">
        <w:t>e related parties in so far as they pay contributions to the Fund in accordance with the appropriate Local Government Pension Scheme Regulations (LGPS).  Contributions for the year are shown in note 6 and in respect of March 2016 payroll, are included with</w:t>
      </w:r>
      <w:r w:rsidRPr="00CD7572">
        <w:t>in the debtors figure in note 20.</w:t>
      </w:r>
    </w:p>
    <w:p w:rsidR="00CD7572" w:rsidRPr="00CD7572" w:rsidRDefault="0062660D" w:rsidP="00CD7572">
      <w:pPr>
        <w:tabs>
          <w:tab w:val="left" w:pos="709"/>
        </w:tabs>
        <w:spacing w:after="80"/>
        <w:ind w:left="709"/>
        <w:jc w:val="left"/>
      </w:pPr>
    </w:p>
    <w:p w:rsidR="00CD7572" w:rsidRPr="00CD7572" w:rsidRDefault="0062660D" w:rsidP="00CD7572">
      <w:pPr>
        <w:tabs>
          <w:tab w:val="left" w:pos="709"/>
        </w:tabs>
        <w:spacing w:after="80"/>
        <w:ind w:left="709"/>
        <w:jc w:val="left"/>
        <w:rPr>
          <w:b/>
        </w:rPr>
      </w:pPr>
      <w:r w:rsidRPr="00CD7572">
        <w:rPr>
          <w:b/>
        </w:rPr>
        <w:t>23.3 Pension Fund Committee, Pensions Board and Senior Officers.</w:t>
      </w:r>
    </w:p>
    <w:p w:rsidR="00CD7572" w:rsidRDefault="0062660D" w:rsidP="00CD7572">
      <w:pPr>
        <w:spacing w:after="240"/>
        <w:ind w:left="720"/>
        <w:jc w:val="left"/>
      </w:pPr>
      <w:r w:rsidRPr="00CD7572">
        <w:t>The Pension Fund Committee, Pensions Board members and senior officers of the Pension Fund were asked to complete a related party declaration for 2015/16 re</w:t>
      </w:r>
      <w:r w:rsidRPr="00CD7572">
        <w:t>garding membership of, and transactions with such persons or their related parties and as such the following related party transactions have been declared:</w:t>
      </w:r>
    </w:p>
    <w:p w:rsidR="0063004A" w:rsidRPr="0063004A" w:rsidRDefault="0062660D" w:rsidP="0063004A">
      <w:pPr>
        <w:spacing w:after="240"/>
        <w:ind w:left="720"/>
        <w:jc w:val="left"/>
      </w:pPr>
      <w:r w:rsidRPr="0063004A">
        <w:t xml:space="preserve">George Graham, Director of the Lancashire Pension Fund acts in an un-remunerated Chair capacity on Guild Investments Ltd, which is used as a vehicle for holding infrastructure investments (£70.4m), </w:t>
      </w:r>
    </w:p>
    <w:p w:rsidR="0063004A" w:rsidRPr="0063004A" w:rsidRDefault="0062660D" w:rsidP="0063004A">
      <w:pPr>
        <w:spacing w:after="240"/>
        <w:ind w:left="720"/>
        <w:jc w:val="left"/>
      </w:pPr>
      <w:r w:rsidRPr="0063004A">
        <w:t xml:space="preserve">George Graham was appointed as Executive Director of the </w:t>
      </w:r>
      <w:r w:rsidRPr="0063004A">
        <w:t xml:space="preserve">Local Pensions Partnership Ltd </w:t>
      </w:r>
      <w:r w:rsidRPr="0063004A">
        <w:rPr>
          <w:rFonts w:eastAsia="Times New Roman"/>
        </w:rPr>
        <w:t xml:space="preserve">and Local Pensions Partnership (Administration) Ltd </w:t>
      </w:r>
      <w:r w:rsidRPr="0063004A">
        <w:t>prior to the staff transfer on the 8</w:t>
      </w:r>
      <w:r w:rsidRPr="0063004A">
        <w:rPr>
          <w:vertAlign w:val="superscript"/>
        </w:rPr>
        <w:t>th</w:t>
      </w:r>
      <w:r w:rsidRPr="0063004A">
        <w:t xml:space="preserve"> April 2016.</w:t>
      </w:r>
    </w:p>
    <w:p w:rsidR="0063004A" w:rsidRPr="0063004A" w:rsidRDefault="0062660D" w:rsidP="0063004A">
      <w:pPr>
        <w:spacing w:after="240"/>
        <w:ind w:left="720"/>
        <w:jc w:val="left"/>
      </w:pPr>
      <w:r w:rsidRPr="0063004A">
        <w:t xml:space="preserve">Mike Jensen, Chief Investment Officer acts in an un-remunerated director capacity on Guild Investments Ltd, which is used </w:t>
      </w:r>
      <w:r w:rsidRPr="0063004A">
        <w:t xml:space="preserve">as a vehicle for holding infrastructure investments (£70.4m), </w:t>
      </w:r>
    </w:p>
    <w:p w:rsidR="0063004A" w:rsidRPr="0063004A" w:rsidRDefault="0062660D" w:rsidP="0063004A">
      <w:pPr>
        <w:spacing w:after="240"/>
        <w:ind w:left="720"/>
        <w:jc w:val="left"/>
      </w:pPr>
      <w:r w:rsidRPr="0063004A">
        <w:t>Mike Jensen was appointed as an Executive Director of the Local Pensions Partnership (Investments) Ltd prior to the staff transfer on the 8</w:t>
      </w:r>
      <w:r w:rsidRPr="0063004A">
        <w:rPr>
          <w:vertAlign w:val="superscript"/>
        </w:rPr>
        <w:t>th</w:t>
      </w:r>
      <w:r w:rsidRPr="0063004A">
        <w:t xml:space="preserve"> April 2016</w:t>
      </w:r>
    </w:p>
    <w:p w:rsidR="0063004A" w:rsidRPr="0063004A" w:rsidRDefault="0062660D" w:rsidP="0063004A">
      <w:pPr>
        <w:spacing w:after="240"/>
        <w:ind w:left="720"/>
        <w:jc w:val="left"/>
      </w:pPr>
      <w:r w:rsidRPr="0063004A">
        <w:t>Richard Tomlinson, Investment Manager ac</w:t>
      </w:r>
      <w:r w:rsidRPr="0063004A">
        <w:t xml:space="preserve">ts in an un-remunerated director capacity on Guild Investments Ltd, which is used as a vehicle for holding infrastructure investments (£70.4m), </w:t>
      </w:r>
    </w:p>
    <w:p w:rsidR="0063004A" w:rsidRPr="00CD7572" w:rsidRDefault="0062660D" w:rsidP="00CD7572">
      <w:pPr>
        <w:spacing w:after="240"/>
        <w:ind w:left="720"/>
        <w:jc w:val="left"/>
      </w:pPr>
      <w:r w:rsidRPr="0063004A">
        <w:t>Trevor Castledine, Deputy Chief Investment Officer acts in an un-remunerated non-executive director capacity of</w:t>
      </w:r>
      <w:r w:rsidRPr="0063004A">
        <w:t xml:space="preserve"> Heylo Housing Ltd in which the Fund has an interest (£83.6m).</w:t>
      </w:r>
    </w:p>
    <w:p w:rsidR="00CD7572" w:rsidRPr="00CD7572" w:rsidRDefault="0062660D" w:rsidP="00CD7572">
      <w:pPr>
        <w:spacing w:after="0"/>
        <w:ind w:left="709"/>
        <w:jc w:val="left"/>
      </w:pPr>
      <w:r w:rsidRPr="00CD7572">
        <w:t>Each member of the Pension Fund Committee and Pension Board formally considers conflicts of interest at each meeting.</w:t>
      </w:r>
    </w:p>
    <w:p w:rsidR="00CD7572" w:rsidRPr="00CD7572" w:rsidRDefault="0062660D" w:rsidP="00CD7572">
      <w:pPr>
        <w:spacing w:after="0"/>
        <w:ind w:left="709"/>
        <w:jc w:val="left"/>
      </w:pPr>
    </w:p>
    <w:p w:rsidR="00CD7572" w:rsidRPr="00CD7572" w:rsidRDefault="0062660D" w:rsidP="00CD7572">
      <w:pPr>
        <w:spacing w:after="0"/>
        <w:ind w:left="709"/>
        <w:jc w:val="left"/>
      </w:pPr>
    </w:p>
    <w:p w:rsidR="00CD7572" w:rsidRPr="00CD7572" w:rsidRDefault="0062660D" w:rsidP="00CD7572">
      <w:pPr>
        <w:spacing w:after="0"/>
        <w:ind w:left="709"/>
        <w:jc w:val="left"/>
        <w:rPr>
          <w:b/>
        </w:rPr>
      </w:pPr>
      <w:r w:rsidRPr="00CD7572">
        <w:rPr>
          <w:b/>
        </w:rPr>
        <w:t>23.4 Key management personnel</w:t>
      </w:r>
    </w:p>
    <w:p w:rsidR="00CD7572" w:rsidRPr="00CD7572" w:rsidRDefault="0062660D" w:rsidP="00CD7572">
      <w:pPr>
        <w:spacing w:after="0"/>
        <w:ind w:left="709"/>
        <w:jc w:val="left"/>
        <w:rPr>
          <w:b/>
        </w:rPr>
      </w:pPr>
    </w:p>
    <w:p w:rsidR="00CD7572" w:rsidRPr="00CD7572" w:rsidRDefault="0062660D" w:rsidP="00CD7572">
      <w:pPr>
        <w:spacing w:after="0"/>
        <w:ind w:left="709"/>
        <w:jc w:val="left"/>
      </w:pPr>
      <w:r w:rsidRPr="00CD7572">
        <w:t>Paragraph 3.9.4.3 of the Code exempts loca</w:t>
      </w:r>
      <w:r w:rsidRPr="00CD7572">
        <w:t>l authorities from key management personnel disclosure requirements of IAS24, on the basis that the disclosure requirements for officer remuneration and members' allowances detailed in section 3.4 of the code (which are derived from the requirements of Reg</w:t>
      </w:r>
      <w:r w:rsidRPr="00CD7572">
        <w:t xml:space="preserve">ulation 7 (2)-(4) of the Accounts and Audit (England) Regulations 2011 and Regulation 7A of the Accounts and Audit (Wales) Regulations 2005) satisfy the key management disclosure requirements of paragraph 16 of IAS24.  This applies in equal measure to the </w:t>
      </w:r>
      <w:r w:rsidRPr="00CD7572">
        <w:t>accounts of the Lancashire County Pension Fund.</w:t>
      </w:r>
    </w:p>
    <w:p w:rsidR="00CD7572" w:rsidRPr="00CD7572" w:rsidRDefault="0062660D" w:rsidP="00CD7572">
      <w:pPr>
        <w:spacing w:after="0"/>
        <w:ind w:left="709"/>
        <w:jc w:val="left"/>
      </w:pPr>
    </w:p>
    <w:p w:rsidR="00CD7572" w:rsidRPr="00CD7572" w:rsidRDefault="0062660D" w:rsidP="00CD7572">
      <w:pPr>
        <w:spacing w:after="0"/>
        <w:ind w:left="709"/>
        <w:jc w:val="left"/>
      </w:pPr>
      <w:r w:rsidRPr="00CD7572">
        <w:t>The Fund does not employ any staff directly.  Lancashire County Council employs the staff involved in providing the duties of the administering authority for the Fund.  Disclosures of the remuneration awarde</w:t>
      </w:r>
      <w:r w:rsidRPr="00CD7572">
        <w:t>d to key management personnel is therefore included in the officers' remuneration disclosure in the notes to the Lancashire County Council Statement of Accounts 2015/16.</w:t>
      </w:r>
    </w:p>
    <w:p w:rsidR="00CD7572" w:rsidRPr="00CD7572" w:rsidRDefault="0062660D" w:rsidP="00CD7572">
      <w:pPr>
        <w:spacing w:after="0"/>
        <w:ind w:left="709"/>
        <w:jc w:val="left"/>
      </w:pPr>
    </w:p>
    <w:p w:rsidR="00CD7572" w:rsidRPr="00CD7572" w:rsidRDefault="0062660D" w:rsidP="00CD7572">
      <w:pPr>
        <w:spacing w:after="0"/>
        <w:ind w:left="709"/>
        <w:jc w:val="left"/>
      </w:pPr>
      <w:r w:rsidRPr="00CD7572">
        <w:t>In the interests of transparency the Fund has incorporated disclosure of the remunera</w:t>
      </w:r>
      <w:r w:rsidRPr="00CD7572">
        <w:t>tion awarded of senior officers employed by Lancashire County Council who have responsibility of the management of the Fund to the extent that they have power to direct or control the major activities of the Fund (in particular activities involving the exp</w:t>
      </w:r>
      <w:r w:rsidRPr="00CD7572">
        <w:t>enditure of money) whether solely or collectively with other persons.</w:t>
      </w:r>
    </w:p>
    <w:p w:rsidR="00CD7572" w:rsidRPr="00CD7572" w:rsidRDefault="0062660D" w:rsidP="00CD7572">
      <w:pPr>
        <w:spacing w:after="0"/>
        <w:ind w:left="709"/>
        <w:jc w:val="left"/>
      </w:pPr>
    </w:p>
    <w:p w:rsidR="00CD7572" w:rsidRPr="00CD7572" w:rsidRDefault="0062660D" w:rsidP="00CD7572">
      <w:pPr>
        <w:spacing w:after="0"/>
        <w:ind w:left="709"/>
        <w:jc w:val="left"/>
      </w:pPr>
    </w:p>
    <w:p w:rsidR="00CD7572" w:rsidRPr="00CD7572" w:rsidRDefault="0062660D" w:rsidP="00CD7572">
      <w:pPr>
        <w:spacing w:after="240"/>
        <w:ind w:left="720"/>
        <w:jc w:val="left"/>
      </w:pPr>
      <w:r w:rsidRPr="00CD7572">
        <w:t>The remuneration as charged to Lancashire County Pension Fund of senior officers of Lancashire County Council who have significant management responsibilities for Lancashire County Pen</w:t>
      </w:r>
      <w:r w:rsidRPr="00CD7572">
        <w:t>sion Fund.</w:t>
      </w:r>
    </w:p>
    <w:tbl>
      <w:tblPr>
        <w:tblStyle w:val="TableGrid6"/>
        <w:tblW w:w="0" w:type="auto"/>
        <w:tblInd w:w="720" w:type="dxa"/>
        <w:tblBorders>
          <w:insideH w:val="none" w:sz="0" w:space="0" w:color="auto"/>
          <w:insideV w:val="none" w:sz="0" w:space="0" w:color="auto"/>
        </w:tblBorders>
        <w:tblLook w:val="04A0" w:firstRow="1" w:lastRow="0" w:firstColumn="1" w:lastColumn="0" w:noHBand="0" w:noVBand="1"/>
      </w:tblPr>
      <w:tblGrid>
        <w:gridCol w:w="2402"/>
        <w:gridCol w:w="2210"/>
        <w:gridCol w:w="1111"/>
        <w:gridCol w:w="396"/>
        <w:gridCol w:w="136"/>
        <w:gridCol w:w="1699"/>
        <w:gridCol w:w="1776"/>
      </w:tblGrid>
      <w:tr w:rsidR="006A2C17" w:rsidTr="00E245D6">
        <w:tc>
          <w:tcPr>
            <w:tcW w:w="2507" w:type="dxa"/>
            <w:tcBorders>
              <w:top w:val="single" w:sz="4" w:space="0" w:color="auto"/>
              <w:bottom w:val="nil"/>
            </w:tcBorders>
            <w:shd w:val="clear" w:color="auto" w:fill="A8D08D" w:themeFill="accent6" w:themeFillTint="99"/>
          </w:tcPr>
          <w:p w:rsidR="00CD7572" w:rsidRPr="00CD7572" w:rsidRDefault="0062660D" w:rsidP="00CD7572">
            <w:pPr>
              <w:spacing w:after="240"/>
              <w:jc w:val="left"/>
              <w:rPr>
                <w:b/>
              </w:rPr>
            </w:pPr>
            <w:r w:rsidRPr="00CD7572">
              <w:rPr>
                <w:b/>
              </w:rPr>
              <w:t>2015/16</w:t>
            </w:r>
          </w:p>
        </w:tc>
        <w:tc>
          <w:tcPr>
            <w:tcW w:w="2268" w:type="dxa"/>
            <w:tcBorders>
              <w:top w:val="single" w:sz="4" w:space="0" w:color="auto"/>
              <w:bottom w:val="nil"/>
            </w:tcBorders>
            <w:shd w:val="clear" w:color="auto" w:fill="A8D08D" w:themeFill="accent6" w:themeFillTint="99"/>
          </w:tcPr>
          <w:p w:rsidR="00CD7572" w:rsidRPr="00CD7572" w:rsidRDefault="0062660D" w:rsidP="00CD7572">
            <w:pPr>
              <w:spacing w:after="240"/>
              <w:jc w:val="center"/>
              <w:rPr>
                <w:b/>
              </w:rPr>
            </w:pPr>
            <w:r w:rsidRPr="00CD7572">
              <w:rPr>
                <w:b/>
              </w:rPr>
              <w:t>Employment period</w:t>
            </w:r>
          </w:p>
        </w:tc>
        <w:tc>
          <w:tcPr>
            <w:tcW w:w="1559" w:type="dxa"/>
            <w:gridSpan w:val="2"/>
            <w:tcBorders>
              <w:top w:val="single" w:sz="4" w:space="0" w:color="auto"/>
              <w:bottom w:val="nil"/>
            </w:tcBorders>
            <w:shd w:val="clear" w:color="auto" w:fill="A8D08D" w:themeFill="accent6" w:themeFillTint="99"/>
          </w:tcPr>
          <w:p w:rsidR="00CD7572" w:rsidRPr="00CD7572" w:rsidRDefault="0062660D" w:rsidP="00CD7572">
            <w:pPr>
              <w:spacing w:after="240"/>
              <w:jc w:val="center"/>
              <w:rPr>
                <w:b/>
              </w:rPr>
            </w:pPr>
            <w:r w:rsidRPr="00CD7572">
              <w:rPr>
                <w:b/>
              </w:rPr>
              <w:t>Salary</w:t>
            </w:r>
          </w:p>
        </w:tc>
        <w:tc>
          <w:tcPr>
            <w:tcW w:w="1843" w:type="dxa"/>
            <w:gridSpan w:val="2"/>
            <w:tcBorders>
              <w:top w:val="single" w:sz="4" w:space="0" w:color="auto"/>
              <w:bottom w:val="nil"/>
            </w:tcBorders>
            <w:shd w:val="clear" w:color="auto" w:fill="A8D08D" w:themeFill="accent6" w:themeFillTint="99"/>
          </w:tcPr>
          <w:p w:rsidR="00CD7572" w:rsidRPr="00CD7572" w:rsidRDefault="0062660D" w:rsidP="00CD7572">
            <w:pPr>
              <w:spacing w:after="240"/>
              <w:jc w:val="center"/>
              <w:rPr>
                <w:b/>
              </w:rPr>
            </w:pPr>
            <w:r w:rsidRPr="00CD7572">
              <w:rPr>
                <w:b/>
              </w:rPr>
              <w:t>Pension contributions</w:t>
            </w:r>
          </w:p>
        </w:tc>
        <w:tc>
          <w:tcPr>
            <w:tcW w:w="1779" w:type="dxa"/>
            <w:tcBorders>
              <w:top w:val="single" w:sz="4" w:space="0" w:color="auto"/>
              <w:bottom w:val="nil"/>
            </w:tcBorders>
            <w:shd w:val="clear" w:color="auto" w:fill="A8D08D" w:themeFill="accent6" w:themeFillTint="99"/>
          </w:tcPr>
          <w:p w:rsidR="00CD7572" w:rsidRPr="00CD7572" w:rsidRDefault="0062660D" w:rsidP="00CD7572">
            <w:pPr>
              <w:spacing w:after="240"/>
              <w:jc w:val="center"/>
              <w:rPr>
                <w:b/>
              </w:rPr>
            </w:pPr>
            <w:r w:rsidRPr="00CD7572">
              <w:rPr>
                <w:b/>
              </w:rPr>
              <w:t>Total including pension contributions</w:t>
            </w:r>
          </w:p>
        </w:tc>
      </w:tr>
      <w:tr w:rsidR="006A2C17" w:rsidTr="00E245D6">
        <w:trPr>
          <w:trHeight w:val="269"/>
        </w:trPr>
        <w:tc>
          <w:tcPr>
            <w:tcW w:w="2507" w:type="dxa"/>
            <w:tcBorders>
              <w:top w:val="nil"/>
              <w:bottom w:val="single" w:sz="4" w:space="0" w:color="auto"/>
            </w:tcBorders>
            <w:shd w:val="clear" w:color="auto" w:fill="A8D08D" w:themeFill="accent6" w:themeFillTint="99"/>
          </w:tcPr>
          <w:p w:rsidR="00CD7572" w:rsidRPr="00CD7572" w:rsidRDefault="0062660D" w:rsidP="00CD7572">
            <w:pPr>
              <w:autoSpaceDE/>
              <w:autoSpaceDN/>
              <w:adjustRightInd/>
              <w:spacing w:after="0"/>
              <w:rPr>
                <w:rFonts w:cs="Arial"/>
              </w:rPr>
            </w:pPr>
          </w:p>
        </w:tc>
        <w:tc>
          <w:tcPr>
            <w:tcW w:w="2268" w:type="dxa"/>
            <w:tcBorders>
              <w:top w:val="nil"/>
              <w:bottom w:val="single" w:sz="4" w:space="0" w:color="auto"/>
            </w:tcBorders>
            <w:shd w:val="clear" w:color="auto" w:fill="A8D08D" w:themeFill="accent6" w:themeFillTint="99"/>
          </w:tcPr>
          <w:p w:rsidR="00CD7572" w:rsidRPr="00CD7572" w:rsidRDefault="0062660D" w:rsidP="00CD7572">
            <w:pPr>
              <w:spacing w:after="240"/>
            </w:pPr>
          </w:p>
        </w:tc>
        <w:tc>
          <w:tcPr>
            <w:tcW w:w="1132" w:type="dxa"/>
            <w:tcBorders>
              <w:top w:val="nil"/>
              <w:bottom w:val="single" w:sz="4" w:space="0" w:color="auto"/>
            </w:tcBorders>
            <w:shd w:val="clear" w:color="auto" w:fill="A8D08D" w:themeFill="accent6" w:themeFillTint="99"/>
          </w:tcPr>
          <w:p w:rsidR="00CD7572" w:rsidRPr="00CD7572" w:rsidRDefault="0062660D" w:rsidP="00CD7572">
            <w:pPr>
              <w:spacing w:after="240"/>
              <w:jc w:val="right"/>
            </w:pPr>
            <w:r w:rsidRPr="00CD7572">
              <w:t>£</w:t>
            </w:r>
          </w:p>
        </w:tc>
        <w:tc>
          <w:tcPr>
            <w:tcW w:w="2270" w:type="dxa"/>
            <w:gridSpan w:val="3"/>
            <w:tcBorders>
              <w:top w:val="nil"/>
              <w:bottom w:val="single" w:sz="4" w:space="0" w:color="auto"/>
            </w:tcBorders>
            <w:shd w:val="clear" w:color="auto" w:fill="A8D08D" w:themeFill="accent6" w:themeFillTint="99"/>
          </w:tcPr>
          <w:p w:rsidR="00CD7572" w:rsidRPr="00CD7572" w:rsidRDefault="0062660D" w:rsidP="00CD7572">
            <w:pPr>
              <w:spacing w:after="240"/>
              <w:jc w:val="right"/>
            </w:pPr>
            <w:r w:rsidRPr="00CD7572">
              <w:t>£</w:t>
            </w:r>
          </w:p>
        </w:tc>
        <w:tc>
          <w:tcPr>
            <w:tcW w:w="1779" w:type="dxa"/>
            <w:tcBorders>
              <w:top w:val="nil"/>
              <w:bottom w:val="single" w:sz="4" w:space="0" w:color="auto"/>
            </w:tcBorders>
            <w:shd w:val="clear" w:color="auto" w:fill="A8D08D" w:themeFill="accent6" w:themeFillTint="99"/>
          </w:tcPr>
          <w:p w:rsidR="00CD7572" w:rsidRPr="00CD7572" w:rsidRDefault="0062660D" w:rsidP="00CD7572">
            <w:pPr>
              <w:spacing w:after="240"/>
              <w:jc w:val="right"/>
            </w:pPr>
            <w:r w:rsidRPr="00CD7572">
              <w:t>£</w:t>
            </w:r>
          </w:p>
        </w:tc>
      </w:tr>
      <w:tr w:rsidR="006A2C17" w:rsidTr="00E245D6">
        <w:tc>
          <w:tcPr>
            <w:tcW w:w="2507" w:type="dxa"/>
            <w:tcBorders>
              <w:top w:val="single" w:sz="4" w:space="0" w:color="auto"/>
              <w:bottom w:val="single" w:sz="4" w:space="0" w:color="auto"/>
            </w:tcBorders>
            <w:shd w:val="clear" w:color="auto" w:fill="E2EFD9" w:themeFill="accent6" w:themeFillTint="33"/>
          </w:tcPr>
          <w:p w:rsidR="00CD7572" w:rsidRPr="00CD7572" w:rsidRDefault="0062660D" w:rsidP="00CD7572">
            <w:pPr>
              <w:autoSpaceDE/>
              <w:autoSpaceDN/>
              <w:adjustRightInd/>
              <w:spacing w:after="0"/>
              <w:jc w:val="left"/>
            </w:pPr>
            <w:r w:rsidRPr="00CD7572">
              <w:rPr>
                <w:rFonts w:cs="Arial"/>
              </w:rPr>
              <w:t>*Director of Lancashire Pension Fund</w:t>
            </w:r>
          </w:p>
        </w:tc>
        <w:tc>
          <w:tcPr>
            <w:tcW w:w="2268" w:type="dxa"/>
            <w:tcBorders>
              <w:top w:val="single" w:sz="4" w:space="0" w:color="auto"/>
              <w:bottom w:val="single" w:sz="4" w:space="0" w:color="auto"/>
            </w:tcBorders>
            <w:shd w:val="clear" w:color="auto" w:fill="E2EFD9" w:themeFill="accent6" w:themeFillTint="33"/>
          </w:tcPr>
          <w:p w:rsidR="00CD7572" w:rsidRPr="00CD7572" w:rsidRDefault="0062660D" w:rsidP="00CD7572">
            <w:pPr>
              <w:spacing w:after="240"/>
            </w:pPr>
            <w:r w:rsidRPr="00CD7572">
              <w:t>1/4/15 - 31/3/16</w:t>
            </w:r>
          </w:p>
        </w:tc>
        <w:tc>
          <w:tcPr>
            <w:tcW w:w="1701" w:type="dxa"/>
            <w:gridSpan w:val="3"/>
            <w:tcBorders>
              <w:top w:val="single" w:sz="4" w:space="0" w:color="auto"/>
              <w:bottom w:val="single" w:sz="4" w:space="0" w:color="auto"/>
            </w:tcBorders>
            <w:shd w:val="clear" w:color="auto" w:fill="E2EFD9" w:themeFill="accent6" w:themeFillTint="33"/>
          </w:tcPr>
          <w:p w:rsidR="00CD7572" w:rsidRPr="00CD7572" w:rsidRDefault="0062660D" w:rsidP="00CD7572">
            <w:pPr>
              <w:spacing w:after="240"/>
              <w:jc w:val="right"/>
            </w:pPr>
            <w:r w:rsidRPr="00CD7572">
              <w:t>86,199</w:t>
            </w:r>
          </w:p>
        </w:tc>
        <w:tc>
          <w:tcPr>
            <w:tcW w:w="1701" w:type="dxa"/>
            <w:tcBorders>
              <w:top w:val="single" w:sz="4" w:space="0" w:color="auto"/>
              <w:bottom w:val="single" w:sz="4" w:space="0" w:color="auto"/>
            </w:tcBorders>
            <w:shd w:val="clear" w:color="auto" w:fill="E2EFD9" w:themeFill="accent6" w:themeFillTint="33"/>
          </w:tcPr>
          <w:p w:rsidR="00CD7572" w:rsidRPr="00CD7572" w:rsidRDefault="0062660D" w:rsidP="00CD7572">
            <w:pPr>
              <w:spacing w:after="240"/>
              <w:jc w:val="right"/>
            </w:pPr>
            <w:r w:rsidRPr="00CD7572">
              <w:t>10,800</w:t>
            </w:r>
          </w:p>
        </w:tc>
        <w:tc>
          <w:tcPr>
            <w:tcW w:w="1779" w:type="dxa"/>
            <w:tcBorders>
              <w:top w:val="single" w:sz="4" w:space="0" w:color="auto"/>
              <w:bottom w:val="single" w:sz="4" w:space="0" w:color="auto"/>
            </w:tcBorders>
            <w:shd w:val="clear" w:color="auto" w:fill="E2EFD9" w:themeFill="accent6" w:themeFillTint="33"/>
          </w:tcPr>
          <w:p w:rsidR="00CD7572" w:rsidRPr="00CD7572" w:rsidRDefault="0062660D" w:rsidP="00CD7572">
            <w:pPr>
              <w:spacing w:after="240"/>
              <w:jc w:val="right"/>
            </w:pPr>
            <w:r w:rsidRPr="00CD7572">
              <w:t>96,999</w:t>
            </w:r>
          </w:p>
        </w:tc>
      </w:tr>
      <w:tr w:rsidR="006A2C17" w:rsidTr="00E245D6">
        <w:trPr>
          <w:trHeight w:val="476"/>
        </w:trPr>
        <w:tc>
          <w:tcPr>
            <w:tcW w:w="2507" w:type="dxa"/>
            <w:tcBorders>
              <w:top w:val="single" w:sz="4" w:space="0" w:color="auto"/>
              <w:bottom w:val="single" w:sz="4" w:space="0" w:color="auto"/>
            </w:tcBorders>
            <w:shd w:val="clear" w:color="auto" w:fill="E2EFD9" w:themeFill="accent6" w:themeFillTint="33"/>
          </w:tcPr>
          <w:p w:rsidR="00CD7572" w:rsidRPr="00CD7572" w:rsidRDefault="0062660D" w:rsidP="00CD7572">
            <w:pPr>
              <w:spacing w:after="240"/>
              <w:jc w:val="left"/>
            </w:pPr>
            <w:r w:rsidRPr="00CD7572">
              <w:t>**</w:t>
            </w:r>
            <w:r w:rsidRPr="00CD7572">
              <w:rPr>
                <w:rFonts w:cs="Arial"/>
              </w:rPr>
              <w:t>Head of Service Pension Fund Client</w:t>
            </w:r>
          </w:p>
        </w:tc>
        <w:tc>
          <w:tcPr>
            <w:tcW w:w="2268" w:type="dxa"/>
            <w:tcBorders>
              <w:top w:val="single" w:sz="4" w:space="0" w:color="auto"/>
              <w:bottom w:val="single" w:sz="4" w:space="0" w:color="auto"/>
            </w:tcBorders>
            <w:shd w:val="clear" w:color="auto" w:fill="E2EFD9" w:themeFill="accent6" w:themeFillTint="33"/>
          </w:tcPr>
          <w:p w:rsidR="00CD7572" w:rsidRPr="00CD7572" w:rsidRDefault="0062660D" w:rsidP="00CD7572">
            <w:pPr>
              <w:spacing w:after="240"/>
            </w:pPr>
            <w:r w:rsidRPr="00CD7572">
              <w:t>1/12/15 – 31/3/16</w:t>
            </w:r>
          </w:p>
        </w:tc>
        <w:tc>
          <w:tcPr>
            <w:tcW w:w="1701" w:type="dxa"/>
            <w:gridSpan w:val="3"/>
            <w:tcBorders>
              <w:top w:val="single" w:sz="4" w:space="0" w:color="auto"/>
              <w:bottom w:val="single" w:sz="4" w:space="0" w:color="auto"/>
            </w:tcBorders>
            <w:shd w:val="clear" w:color="auto" w:fill="E2EFD9" w:themeFill="accent6" w:themeFillTint="33"/>
          </w:tcPr>
          <w:p w:rsidR="00CD7572" w:rsidRPr="00CD7572" w:rsidRDefault="0062660D" w:rsidP="00CD7572">
            <w:pPr>
              <w:spacing w:after="240"/>
              <w:jc w:val="right"/>
            </w:pPr>
            <w:r w:rsidRPr="00CD7572">
              <w:t>16,316</w:t>
            </w:r>
          </w:p>
        </w:tc>
        <w:tc>
          <w:tcPr>
            <w:tcW w:w="1701" w:type="dxa"/>
            <w:tcBorders>
              <w:top w:val="single" w:sz="4" w:space="0" w:color="auto"/>
              <w:bottom w:val="single" w:sz="4" w:space="0" w:color="auto"/>
            </w:tcBorders>
            <w:shd w:val="clear" w:color="auto" w:fill="E2EFD9" w:themeFill="accent6" w:themeFillTint="33"/>
          </w:tcPr>
          <w:p w:rsidR="00CD7572" w:rsidRPr="00CD7572" w:rsidRDefault="0062660D" w:rsidP="00CD7572">
            <w:pPr>
              <w:spacing w:after="240"/>
              <w:jc w:val="right"/>
            </w:pPr>
            <w:r w:rsidRPr="00CD7572">
              <w:t>2,167</w:t>
            </w:r>
          </w:p>
        </w:tc>
        <w:tc>
          <w:tcPr>
            <w:tcW w:w="1779" w:type="dxa"/>
            <w:tcBorders>
              <w:top w:val="single" w:sz="4" w:space="0" w:color="auto"/>
              <w:bottom w:val="single" w:sz="4" w:space="0" w:color="auto"/>
            </w:tcBorders>
            <w:shd w:val="clear" w:color="auto" w:fill="E2EFD9" w:themeFill="accent6" w:themeFillTint="33"/>
          </w:tcPr>
          <w:p w:rsidR="00CD7572" w:rsidRPr="00CD7572" w:rsidRDefault="0062660D" w:rsidP="00CD7572">
            <w:pPr>
              <w:spacing w:after="240"/>
              <w:jc w:val="right"/>
            </w:pPr>
            <w:r w:rsidRPr="00CD7572">
              <w:t>18,483</w:t>
            </w:r>
          </w:p>
        </w:tc>
      </w:tr>
      <w:tr w:rsidR="006A2C17" w:rsidTr="00E245D6">
        <w:trPr>
          <w:trHeight w:val="941"/>
        </w:trPr>
        <w:tc>
          <w:tcPr>
            <w:tcW w:w="2507" w:type="dxa"/>
            <w:tcBorders>
              <w:top w:val="single" w:sz="4" w:space="0" w:color="auto"/>
              <w:bottom w:val="single" w:sz="4" w:space="0" w:color="auto"/>
            </w:tcBorders>
            <w:shd w:val="clear" w:color="auto" w:fill="E2EFD9" w:themeFill="accent6" w:themeFillTint="33"/>
          </w:tcPr>
          <w:p w:rsidR="00CD7572" w:rsidRPr="00CD7572" w:rsidRDefault="0062660D" w:rsidP="00CD7572">
            <w:pPr>
              <w:spacing w:after="240"/>
              <w:jc w:val="left"/>
            </w:pPr>
            <w:r w:rsidRPr="00CD7572">
              <w:t>***Director of Financial Resources (Section 151 officer)</w:t>
            </w:r>
          </w:p>
        </w:tc>
        <w:tc>
          <w:tcPr>
            <w:tcW w:w="2268" w:type="dxa"/>
            <w:tcBorders>
              <w:top w:val="single" w:sz="4" w:space="0" w:color="auto"/>
              <w:bottom w:val="single" w:sz="4" w:space="0" w:color="auto"/>
            </w:tcBorders>
            <w:shd w:val="clear" w:color="auto" w:fill="E2EFD9" w:themeFill="accent6" w:themeFillTint="33"/>
          </w:tcPr>
          <w:p w:rsidR="00CD7572" w:rsidRPr="00CD7572" w:rsidRDefault="0062660D" w:rsidP="00CD7572">
            <w:pPr>
              <w:spacing w:after="240"/>
            </w:pPr>
            <w:r w:rsidRPr="00CD7572">
              <w:t>29/2/16 – 31/3/16</w:t>
            </w:r>
          </w:p>
        </w:tc>
        <w:tc>
          <w:tcPr>
            <w:tcW w:w="1701" w:type="dxa"/>
            <w:gridSpan w:val="3"/>
            <w:tcBorders>
              <w:top w:val="single" w:sz="4" w:space="0" w:color="auto"/>
              <w:bottom w:val="single" w:sz="4" w:space="0" w:color="auto"/>
            </w:tcBorders>
            <w:shd w:val="clear" w:color="auto" w:fill="E2EFD9" w:themeFill="accent6" w:themeFillTint="33"/>
          </w:tcPr>
          <w:p w:rsidR="00CD7572" w:rsidRPr="00CD7572" w:rsidRDefault="0062660D" w:rsidP="00CD7572">
            <w:pPr>
              <w:spacing w:after="240"/>
              <w:jc w:val="right"/>
            </w:pPr>
            <w:r w:rsidRPr="00CD7572">
              <w:t>401</w:t>
            </w:r>
          </w:p>
        </w:tc>
        <w:tc>
          <w:tcPr>
            <w:tcW w:w="1701" w:type="dxa"/>
            <w:tcBorders>
              <w:top w:val="single" w:sz="4" w:space="0" w:color="auto"/>
              <w:bottom w:val="single" w:sz="4" w:space="0" w:color="auto"/>
            </w:tcBorders>
            <w:shd w:val="clear" w:color="auto" w:fill="E2EFD9" w:themeFill="accent6" w:themeFillTint="33"/>
          </w:tcPr>
          <w:p w:rsidR="00CD7572" w:rsidRPr="00CD7572" w:rsidRDefault="0062660D" w:rsidP="00CD7572">
            <w:pPr>
              <w:spacing w:after="240"/>
              <w:jc w:val="right"/>
            </w:pPr>
            <w:r w:rsidRPr="00CD7572">
              <w:t>25</w:t>
            </w:r>
          </w:p>
        </w:tc>
        <w:tc>
          <w:tcPr>
            <w:tcW w:w="1779" w:type="dxa"/>
            <w:tcBorders>
              <w:top w:val="single" w:sz="4" w:space="0" w:color="auto"/>
              <w:bottom w:val="single" w:sz="4" w:space="0" w:color="auto"/>
            </w:tcBorders>
            <w:shd w:val="clear" w:color="auto" w:fill="E2EFD9" w:themeFill="accent6" w:themeFillTint="33"/>
          </w:tcPr>
          <w:p w:rsidR="00CD7572" w:rsidRPr="00CD7572" w:rsidRDefault="0062660D" w:rsidP="00CD7572">
            <w:pPr>
              <w:spacing w:after="240"/>
              <w:jc w:val="right"/>
            </w:pPr>
            <w:r w:rsidRPr="00CD7572">
              <w:t>426</w:t>
            </w:r>
          </w:p>
        </w:tc>
      </w:tr>
      <w:tr w:rsidR="006A2C17" w:rsidTr="00E245D6">
        <w:tc>
          <w:tcPr>
            <w:tcW w:w="2507" w:type="dxa"/>
            <w:tcBorders>
              <w:top w:val="single" w:sz="4" w:space="0" w:color="auto"/>
              <w:bottom w:val="single" w:sz="4" w:space="0" w:color="auto"/>
            </w:tcBorders>
            <w:shd w:val="clear" w:color="auto" w:fill="E2EFD9" w:themeFill="accent6" w:themeFillTint="33"/>
          </w:tcPr>
          <w:p w:rsidR="00CD7572" w:rsidRPr="00CD7572" w:rsidRDefault="0062660D" w:rsidP="00CD7572">
            <w:pPr>
              <w:spacing w:after="240"/>
              <w:jc w:val="left"/>
            </w:pPr>
            <w:r w:rsidRPr="00CD7572">
              <w:t>Chief Investment Officer</w:t>
            </w:r>
          </w:p>
        </w:tc>
        <w:tc>
          <w:tcPr>
            <w:tcW w:w="2268" w:type="dxa"/>
            <w:tcBorders>
              <w:top w:val="single" w:sz="4" w:space="0" w:color="auto"/>
              <w:bottom w:val="single" w:sz="4" w:space="0" w:color="auto"/>
            </w:tcBorders>
            <w:shd w:val="clear" w:color="auto" w:fill="E2EFD9" w:themeFill="accent6" w:themeFillTint="33"/>
          </w:tcPr>
          <w:p w:rsidR="00CD7572" w:rsidRPr="00CD7572" w:rsidRDefault="0062660D" w:rsidP="00CD7572">
            <w:pPr>
              <w:spacing w:after="240"/>
            </w:pPr>
            <w:r w:rsidRPr="00CD7572">
              <w:t>1/4/15 - 31/3/16</w:t>
            </w:r>
          </w:p>
        </w:tc>
        <w:tc>
          <w:tcPr>
            <w:tcW w:w="1701" w:type="dxa"/>
            <w:gridSpan w:val="3"/>
            <w:tcBorders>
              <w:top w:val="single" w:sz="4" w:space="0" w:color="auto"/>
              <w:bottom w:val="single" w:sz="4" w:space="0" w:color="auto"/>
            </w:tcBorders>
            <w:shd w:val="clear" w:color="auto" w:fill="E2EFD9" w:themeFill="accent6" w:themeFillTint="33"/>
          </w:tcPr>
          <w:p w:rsidR="00CD7572" w:rsidRPr="00CD7572" w:rsidRDefault="0062660D" w:rsidP="00CD7572">
            <w:pPr>
              <w:spacing w:after="240"/>
              <w:jc w:val="right"/>
            </w:pPr>
            <w:r w:rsidRPr="00CD7572">
              <w:t>120,150</w:t>
            </w:r>
          </w:p>
        </w:tc>
        <w:tc>
          <w:tcPr>
            <w:tcW w:w="1701" w:type="dxa"/>
            <w:tcBorders>
              <w:top w:val="single" w:sz="4" w:space="0" w:color="auto"/>
              <w:bottom w:val="single" w:sz="4" w:space="0" w:color="auto"/>
            </w:tcBorders>
            <w:shd w:val="clear" w:color="auto" w:fill="E2EFD9" w:themeFill="accent6" w:themeFillTint="33"/>
          </w:tcPr>
          <w:p w:rsidR="00CD7572" w:rsidRPr="00CD7572" w:rsidRDefault="0062660D" w:rsidP="00CD7572">
            <w:pPr>
              <w:spacing w:after="240"/>
              <w:jc w:val="right"/>
            </w:pPr>
            <w:r w:rsidRPr="00CD7572">
              <w:t>13,230</w:t>
            </w:r>
          </w:p>
        </w:tc>
        <w:tc>
          <w:tcPr>
            <w:tcW w:w="1779" w:type="dxa"/>
            <w:tcBorders>
              <w:top w:val="single" w:sz="4" w:space="0" w:color="auto"/>
              <w:bottom w:val="single" w:sz="4" w:space="0" w:color="auto"/>
            </w:tcBorders>
            <w:shd w:val="clear" w:color="auto" w:fill="E2EFD9" w:themeFill="accent6" w:themeFillTint="33"/>
          </w:tcPr>
          <w:p w:rsidR="00CD7572" w:rsidRPr="00CD7572" w:rsidRDefault="0062660D" w:rsidP="00CD7572">
            <w:pPr>
              <w:spacing w:after="240"/>
              <w:jc w:val="right"/>
            </w:pPr>
            <w:r w:rsidRPr="00CD7572">
              <w:t>133,380</w:t>
            </w:r>
          </w:p>
        </w:tc>
      </w:tr>
    </w:tbl>
    <w:p w:rsidR="00CD7572" w:rsidRPr="00CD7572" w:rsidRDefault="0062660D" w:rsidP="00CD7572">
      <w:pPr>
        <w:spacing w:after="240"/>
        <w:ind w:left="720"/>
      </w:pPr>
    </w:p>
    <w:p w:rsidR="00CD7572" w:rsidRPr="00CD7572" w:rsidRDefault="0062660D" w:rsidP="00CD7572">
      <w:pPr>
        <w:spacing w:after="240"/>
        <w:ind w:left="720"/>
        <w:jc w:val="left"/>
      </w:pPr>
      <w:r w:rsidRPr="00CD7572">
        <w:t>*The Director of Lancashire Pension fund held the position for the full 12 month period.</w:t>
      </w:r>
      <w:r w:rsidRPr="00CD7572">
        <w:t xml:space="preserve"> This position was terminated on 31/03/2016</w:t>
      </w:r>
    </w:p>
    <w:p w:rsidR="00CD7572" w:rsidRPr="00CD7572" w:rsidRDefault="0062660D" w:rsidP="00CD7572">
      <w:pPr>
        <w:spacing w:after="240"/>
        <w:ind w:left="720"/>
        <w:jc w:val="left"/>
      </w:pPr>
      <w:r w:rsidRPr="00CD7572">
        <w:t>**The Head of Service Pension Fund client, took up this new post on the 1st of December 2015</w:t>
      </w:r>
    </w:p>
    <w:p w:rsidR="00CD7572" w:rsidRPr="00CD7572" w:rsidRDefault="0062660D" w:rsidP="00CD7572">
      <w:pPr>
        <w:spacing w:after="240"/>
        <w:ind w:left="720"/>
        <w:jc w:val="left"/>
      </w:pPr>
      <w:r w:rsidRPr="00CD7572">
        <w:t>***The Director of Financial Resources was appointed on the 29th of February 2016. This position was previously held by</w:t>
      </w:r>
      <w:r w:rsidRPr="00CD7572">
        <w:t xml:space="preserve"> an interim consultant.  The remuneration amount has been apportioned to the Fund on the basis of time spent on Fund work. </w:t>
      </w:r>
    </w:p>
    <w:p w:rsidR="00CD7572" w:rsidRPr="00CD7572" w:rsidRDefault="0062660D" w:rsidP="00CD7572">
      <w:pPr>
        <w:spacing w:after="240"/>
        <w:ind w:left="720"/>
        <w:jc w:val="left"/>
      </w:pPr>
      <w:r w:rsidRPr="00CD7572">
        <w:t>Senior Officers (unless stated above) took up their new posts after a council wide management restructure commencing on 1/4/15 and t</w:t>
      </w:r>
      <w:r w:rsidRPr="00CD7572">
        <w:t>herefore no comparison has been done for the prior year.</w:t>
      </w:r>
    </w:p>
    <w:p w:rsidR="00CD7572" w:rsidRPr="00CD7572" w:rsidRDefault="0062660D" w:rsidP="00CD7572">
      <w:pPr>
        <w:spacing w:after="240"/>
        <w:ind w:left="720"/>
      </w:pPr>
    </w:p>
    <w:p w:rsidR="00CD7572" w:rsidRPr="00CD7572" w:rsidRDefault="0062660D" w:rsidP="00CD7572">
      <w:pPr>
        <w:spacing w:after="240"/>
        <w:ind w:left="720"/>
      </w:pPr>
    </w:p>
    <w:p w:rsidR="00CD7572" w:rsidRPr="00CD7572" w:rsidRDefault="0062660D" w:rsidP="00CD7572">
      <w:pPr>
        <w:widowControl w:val="0"/>
        <w:numPr>
          <w:ilvl w:val="0"/>
          <w:numId w:val="9"/>
        </w:numPr>
        <w:tabs>
          <w:tab w:val="num" w:pos="862"/>
        </w:tabs>
        <w:suppressAutoHyphens/>
        <w:autoSpaceDE/>
        <w:autoSpaceDN/>
        <w:adjustRightInd/>
        <w:spacing w:after="0"/>
        <w:ind w:left="862"/>
        <w:contextualSpacing/>
        <w:jc w:val="left"/>
        <w:rPr>
          <w:b/>
          <w:sz w:val="32"/>
          <w:szCs w:val="32"/>
        </w:rPr>
      </w:pPr>
      <w:r w:rsidRPr="00CD7572">
        <w:rPr>
          <w:b/>
          <w:sz w:val="32"/>
          <w:szCs w:val="32"/>
        </w:rPr>
        <w:t>Funding arrangements</w:t>
      </w:r>
    </w:p>
    <w:p w:rsidR="00CD7572" w:rsidRPr="00CD7572" w:rsidRDefault="0062660D" w:rsidP="00CD7572">
      <w:pPr>
        <w:widowControl w:val="0"/>
        <w:tabs>
          <w:tab w:val="num" w:pos="567"/>
        </w:tabs>
        <w:suppressAutoHyphens/>
        <w:rPr>
          <w:b/>
        </w:rPr>
      </w:pPr>
    </w:p>
    <w:p w:rsidR="00CD7572" w:rsidRPr="00CD7572" w:rsidRDefault="0062660D" w:rsidP="00CD7572">
      <w:pPr>
        <w:keepNext/>
        <w:spacing w:before="60" w:after="60" w:line="300" w:lineRule="atLeast"/>
        <w:ind w:left="709"/>
        <w:jc w:val="left"/>
        <w:outlineLvl w:val="2"/>
        <w:rPr>
          <w:b/>
          <w:snapToGrid w:val="0"/>
        </w:rPr>
      </w:pPr>
      <w:r w:rsidRPr="00CD7572">
        <w:rPr>
          <w:b/>
          <w:snapToGrid w:val="0"/>
        </w:rPr>
        <w:t>Accounts for the year ended 31 March 2016 - Statement by the Consulting Actuary</w:t>
      </w:r>
    </w:p>
    <w:p w:rsidR="00CD7572" w:rsidRPr="00CD7572" w:rsidRDefault="0062660D" w:rsidP="00CD7572">
      <w:pPr>
        <w:jc w:val="left"/>
      </w:pPr>
    </w:p>
    <w:p w:rsidR="00CD7572" w:rsidRPr="00CD7572" w:rsidRDefault="0062660D" w:rsidP="00CD7572">
      <w:pPr>
        <w:ind w:left="709"/>
        <w:jc w:val="left"/>
        <w:rPr>
          <w:noProof/>
        </w:rPr>
      </w:pPr>
      <w:r w:rsidRPr="00CD7572">
        <w:rPr>
          <w:noProof/>
        </w:rPr>
        <w:t xml:space="preserve">This statement has been provided to meet the requirements under Regulation 57(1)(d) of The </w:t>
      </w:r>
      <w:r w:rsidRPr="00CD7572">
        <w:rPr>
          <w:noProof/>
        </w:rPr>
        <w:t>Local Government Pension Scheme Regulations 2013.</w:t>
      </w:r>
    </w:p>
    <w:p w:rsidR="00CD7572" w:rsidRPr="00CD7572" w:rsidRDefault="0062660D" w:rsidP="00CD7572">
      <w:pPr>
        <w:ind w:left="709"/>
        <w:jc w:val="left"/>
        <w:rPr>
          <w:noProof/>
          <w:color w:val="0000FF"/>
          <w:u w:val="single"/>
        </w:rPr>
      </w:pPr>
      <w:r w:rsidRPr="00CD7572">
        <w:rPr>
          <w:noProof/>
        </w:rPr>
        <w:t xml:space="preserve">An actuarial valuation of the Lancashire County Pension Fund was carried out as at 31 March 2013 to determine the contribution rates with effect from 1 April 2014 to 31 March 2017.  </w:t>
      </w:r>
    </w:p>
    <w:p w:rsidR="00CD7572" w:rsidRPr="00CD7572" w:rsidRDefault="0062660D" w:rsidP="00CD7572">
      <w:pPr>
        <w:ind w:left="709"/>
        <w:jc w:val="left"/>
        <w:rPr>
          <w:noProof/>
          <w:color w:val="0000FF"/>
          <w:u w:val="single"/>
        </w:rPr>
      </w:pPr>
    </w:p>
    <w:p w:rsidR="00CD7572" w:rsidRPr="00CD7572" w:rsidRDefault="0062660D" w:rsidP="00CD7572">
      <w:pPr>
        <w:ind w:left="709"/>
        <w:rPr>
          <w:noProof/>
        </w:rPr>
      </w:pPr>
    </w:p>
    <w:p w:rsidR="00CD7572" w:rsidRPr="00CD7572" w:rsidRDefault="0062660D" w:rsidP="00CD7572">
      <w:pPr>
        <w:spacing w:after="240"/>
        <w:ind w:left="709"/>
        <w:jc w:val="left"/>
      </w:pPr>
      <w:r w:rsidRPr="00CD7572">
        <w:t>On the basis of the assumptions adopted, the Fund’s assets of £5,011 million represented 78% of the Fund’s past service liabilities of £6,388 million (the “Funding Target”) at the valuation date. The deficit at the valuation date was therefore £1,377 milli</w:t>
      </w:r>
      <w:r w:rsidRPr="00CD7572">
        <w:t xml:space="preserve">on. </w:t>
      </w:r>
    </w:p>
    <w:p w:rsidR="00CD7572" w:rsidRPr="00CD7572" w:rsidRDefault="0062660D" w:rsidP="00CD7572">
      <w:pPr>
        <w:widowControl w:val="0"/>
        <w:tabs>
          <w:tab w:val="num" w:pos="567"/>
        </w:tabs>
        <w:suppressAutoHyphens/>
        <w:rPr>
          <w:b/>
        </w:rPr>
      </w:pPr>
    </w:p>
    <w:p w:rsidR="00CD7572" w:rsidRPr="00CD7572" w:rsidRDefault="0062660D" w:rsidP="00CD7572">
      <w:pPr>
        <w:spacing w:after="240"/>
        <w:ind w:left="567"/>
      </w:pPr>
      <w:r w:rsidRPr="00CD7572">
        <w:rPr>
          <w:noProof/>
          <w:lang w:eastAsia="en-GB"/>
        </w:rPr>
        <w:drawing>
          <wp:inline distT="0" distB="0" distL="0" distR="0" wp14:anchorId="4369BB8B" wp14:editId="4A4CA727">
            <wp:extent cx="6151245"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tretch>
                      <a:fillRect/>
                    </a:stretch>
                  </pic:blipFill>
                  <pic:spPr bwMode="auto">
                    <a:xfrm>
                      <a:off x="0" y="0"/>
                      <a:ext cx="6151245" cy="2743200"/>
                    </a:xfrm>
                    <a:prstGeom prst="rect">
                      <a:avLst/>
                    </a:prstGeom>
                    <a:noFill/>
                  </pic:spPr>
                </pic:pic>
              </a:graphicData>
            </a:graphic>
          </wp:inline>
        </w:drawing>
      </w:r>
    </w:p>
    <w:p w:rsidR="00CD7572" w:rsidRPr="00CD7572" w:rsidRDefault="0062660D" w:rsidP="00CD7572">
      <w:pPr>
        <w:spacing w:after="240"/>
        <w:ind w:left="567"/>
        <w:jc w:val="left"/>
      </w:pPr>
      <w:r w:rsidRPr="00CD7572">
        <w:t>The valuation also showed that a common rate of contribution of 13.1% of pensionable pay per annum was required from employers.  The common rate is calculated as being sufficient in the long term, together with contributions paid by members, to mee</w:t>
      </w:r>
      <w:r w:rsidRPr="00CD7572">
        <w:t xml:space="preserve">t all liabilities arising in respect of service after the valuation date. It allows for the new LGPS benefit structure effective from 1 April 2014. </w:t>
      </w:r>
    </w:p>
    <w:p w:rsidR="00CD7572" w:rsidRPr="00CD7572" w:rsidRDefault="0062660D" w:rsidP="00CD7572">
      <w:pPr>
        <w:ind w:left="567"/>
        <w:jc w:val="left"/>
      </w:pPr>
      <w:r w:rsidRPr="00CD7572">
        <w:t>After the valuation date, there were significant changes in financial markets. In particular there was an i</w:t>
      </w:r>
      <w:r w:rsidRPr="00CD7572">
        <w:t>ncrease in gilt yields, which underpin the liability assessment. This improved the funding position materially to 82% with a resulting deficit of £1,088 million. This improvement was taken into account when setting the deficit contribution requirements for</w:t>
      </w:r>
      <w:r w:rsidRPr="00CD7572">
        <w:t xml:space="preserve"> employers where required to stabilise contribution rates. On average across the Fund, the updated deficit would be eliminated by a contribution addition of £65m per annum increasing at 4.1% per annum (equivalent to 7.6% of projected Pensionable Pay at the</w:t>
      </w:r>
      <w:r w:rsidRPr="00CD7572">
        <w:t xml:space="preserve"> valuation date) for 19 years if all assumptions are borne out in practice.</w:t>
      </w:r>
    </w:p>
    <w:p w:rsidR="00CD7572" w:rsidRPr="00CD7572" w:rsidRDefault="0062660D" w:rsidP="00CD7572">
      <w:pPr>
        <w:ind w:left="567"/>
        <w:jc w:val="left"/>
        <w:rPr>
          <w:noProof/>
        </w:rPr>
      </w:pPr>
      <w:r w:rsidRPr="00CD7572">
        <w:rPr>
          <w:noProof/>
        </w:rPr>
        <w:t xml:space="preserve">Further details regarding the results of the valuation are contained in the formal report on the actuarial valuation dated March 2014. </w:t>
      </w:r>
    </w:p>
    <w:p w:rsidR="00CD7572" w:rsidRPr="00CD7572" w:rsidRDefault="0062660D" w:rsidP="00CD7572">
      <w:pPr>
        <w:spacing w:after="240"/>
        <w:ind w:left="567"/>
        <w:jc w:val="left"/>
      </w:pPr>
      <w:r w:rsidRPr="00CD7572">
        <w:t>In practice, each individual employer’s posi</w:t>
      </w:r>
      <w:r w:rsidRPr="00CD7572">
        <w:t xml:space="preserve">tion is assessed separately and the contributions required are set out in the report. In addition to the certified contribution rates, payments to cover additional liabilities arising from early retirements (other than ill-health retirements) will be made </w:t>
      </w:r>
      <w:r w:rsidRPr="00CD7572">
        <w:t>to the Fund by the employers.</w:t>
      </w:r>
    </w:p>
    <w:p w:rsidR="00CD7572" w:rsidRPr="00CD7572" w:rsidRDefault="0062660D" w:rsidP="00CD7572">
      <w:pPr>
        <w:spacing w:after="240"/>
        <w:ind w:left="567"/>
        <w:jc w:val="left"/>
      </w:pPr>
      <w:r w:rsidRPr="00CD7572">
        <w:t>The funding plan adopted in assessing the contributions for each individual employer is in accordance with the Funding Strategy Statement (FSS). Any different approaches adopted, e.g. with regard to the implementation of contr</w:t>
      </w:r>
      <w:r w:rsidRPr="00CD7572">
        <w:t xml:space="preserve">ibution increases and deficit recovery periods, are as determined through the FSS consultation process. </w:t>
      </w:r>
    </w:p>
    <w:p w:rsidR="00CD7572" w:rsidRPr="00CD7572" w:rsidRDefault="0062660D" w:rsidP="00CD7572">
      <w:pPr>
        <w:ind w:left="567"/>
        <w:jc w:val="left"/>
      </w:pPr>
      <w:r w:rsidRPr="00CD7572">
        <w:t>The valuation was carried out using the projected unit actuarial method and the main actuarial assumptions used for assessing the Funding Target and th</w:t>
      </w:r>
      <w:r w:rsidRPr="00CD7572">
        <w:t>e common contribution rate were as follows:</w:t>
      </w:r>
    </w:p>
    <w:p w:rsidR="00CD7572" w:rsidRPr="00CD7572" w:rsidRDefault="0062660D" w:rsidP="00CD7572">
      <w:pPr>
        <w:ind w:left="567"/>
      </w:pPr>
    </w:p>
    <w:tbl>
      <w:tblPr>
        <w:tblW w:w="0" w:type="auto"/>
        <w:tblInd w:w="725" w:type="dxa"/>
        <w:tblBorders>
          <w:top w:val="single" w:sz="4" w:space="0" w:color="auto"/>
          <w:bottom w:val="single" w:sz="4" w:space="0" w:color="auto"/>
          <w:insideH w:val="single" w:sz="4" w:space="0" w:color="auto"/>
        </w:tblBorders>
        <w:tblLayout w:type="fixed"/>
        <w:tblCellMar>
          <w:left w:w="72" w:type="dxa"/>
          <w:right w:w="72" w:type="dxa"/>
        </w:tblCellMar>
        <w:tblLook w:val="0000" w:firstRow="0" w:lastRow="0" w:firstColumn="0" w:lastColumn="0" w:noHBand="0" w:noVBand="0"/>
      </w:tblPr>
      <w:tblGrid>
        <w:gridCol w:w="4217"/>
        <w:gridCol w:w="2245"/>
        <w:gridCol w:w="2565"/>
      </w:tblGrid>
      <w:tr w:rsidR="006A2C17" w:rsidTr="00E245D6">
        <w:trPr>
          <w:cantSplit/>
          <w:tblHeader/>
        </w:trPr>
        <w:tc>
          <w:tcPr>
            <w:tcW w:w="4217" w:type="dxa"/>
            <w:tcBorders>
              <w:top w:val="nil"/>
              <w:bottom w:val="nil"/>
            </w:tcBorders>
            <w:shd w:val="clear" w:color="auto" w:fill="002C77"/>
            <w:vAlign w:val="bottom"/>
          </w:tcPr>
          <w:p w:rsidR="00CD7572" w:rsidRPr="00CD7572" w:rsidRDefault="0062660D" w:rsidP="00CD7572">
            <w:pPr>
              <w:spacing w:before="60" w:after="60"/>
              <w:rPr>
                <w:rFonts w:ascii="Arial Black" w:hAnsi="Arial Black"/>
                <w:color w:val="FFFFFF"/>
                <w:sz w:val="18"/>
              </w:rPr>
            </w:pPr>
          </w:p>
        </w:tc>
        <w:tc>
          <w:tcPr>
            <w:tcW w:w="2245" w:type="dxa"/>
            <w:tcBorders>
              <w:top w:val="nil"/>
              <w:bottom w:val="nil"/>
            </w:tcBorders>
            <w:shd w:val="clear" w:color="auto" w:fill="002C77"/>
            <w:vAlign w:val="bottom"/>
          </w:tcPr>
          <w:p w:rsidR="00CD7572" w:rsidRPr="00CD7572" w:rsidRDefault="0062660D" w:rsidP="00CD7572">
            <w:pPr>
              <w:spacing w:before="60" w:after="60"/>
              <w:jc w:val="left"/>
              <w:rPr>
                <w:rFonts w:ascii="Arial Black" w:hAnsi="Arial Black"/>
                <w:color w:val="FFFFFF"/>
                <w:sz w:val="18"/>
              </w:rPr>
            </w:pPr>
            <w:r w:rsidRPr="00CD7572">
              <w:rPr>
                <w:rFonts w:ascii="Arial Black" w:hAnsi="Arial Black"/>
                <w:color w:val="FFFFFF"/>
                <w:sz w:val="18"/>
              </w:rPr>
              <w:t>For past service liabilities (Funding Target)</w:t>
            </w:r>
          </w:p>
        </w:tc>
        <w:tc>
          <w:tcPr>
            <w:tcW w:w="2565" w:type="dxa"/>
            <w:tcBorders>
              <w:top w:val="nil"/>
              <w:bottom w:val="nil"/>
            </w:tcBorders>
            <w:shd w:val="clear" w:color="auto" w:fill="002C77"/>
            <w:vAlign w:val="bottom"/>
          </w:tcPr>
          <w:p w:rsidR="00CD7572" w:rsidRPr="00CD7572" w:rsidRDefault="0062660D" w:rsidP="00CD7572">
            <w:pPr>
              <w:spacing w:before="60" w:after="60"/>
              <w:jc w:val="left"/>
              <w:rPr>
                <w:rFonts w:ascii="Arial Black" w:hAnsi="Arial Black"/>
                <w:color w:val="FFFFFF"/>
                <w:sz w:val="18"/>
              </w:rPr>
            </w:pPr>
            <w:r w:rsidRPr="00CD7572">
              <w:rPr>
                <w:rFonts w:ascii="Arial Black" w:hAnsi="Arial Black"/>
                <w:color w:val="FFFFFF"/>
                <w:sz w:val="18"/>
              </w:rPr>
              <w:t>For future service liabilities (Common Contribution Rate)</w:t>
            </w:r>
          </w:p>
        </w:tc>
      </w:tr>
      <w:tr w:rsidR="006A2C17" w:rsidTr="00E245D6">
        <w:trPr>
          <w:cantSplit/>
        </w:trPr>
        <w:tc>
          <w:tcPr>
            <w:tcW w:w="4217" w:type="dxa"/>
            <w:tcBorders>
              <w:top w:val="nil"/>
            </w:tcBorders>
            <w:shd w:val="clear" w:color="auto" w:fill="auto"/>
          </w:tcPr>
          <w:p w:rsidR="00CD7572" w:rsidRPr="00CD7572" w:rsidRDefault="0062660D" w:rsidP="00CD7572">
            <w:pPr>
              <w:spacing w:before="40" w:after="40"/>
              <w:jc w:val="left"/>
              <w:rPr>
                <w:rFonts w:cs="Arial"/>
                <w:sz w:val="20"/>
              </w:rPr>
            </w:pPr>
            <w:r w:rsidRPr="00CD7572">
              <w:rPr>
                <w:rFonts w:cs="Arial"/>
                <w:sz w:val="20"/>
              </w:rPr>
              <w:t>Rate of return on investments (discount rate)</w:t>
            </w:r>
          </w:p>
        </w:tc>
        <w:tc>
          <w:tcPr>
            <w:tcW w:w="2245" w:type="dxa"/>
            <w:tcBorders>
              <w:top w:val="nil"/>
            </w:tcBorders>
            <w:shd w:val="clear" w:color="auto" w:fill="auto"/>
          </w:tcPr>
          <w:p w:rsidR="00CD7572" w:rsidRPr="00CD7572" w:rsidRDefault="0062660D" w:rsidP="00CD7572">
            <w:pPr>
              <w:jc w:val="left"/>
              <w:rPr>
                <w:rFonts w:cs="Arial"/>
                <w:sz w:val="20"/>
              </w:rPr>
            </w:pPr>
            <w:r w:rsidRPr="00CD7572">
              <w:rPr>
                <w:rFonts w:cs="Arial"/>
                <w:sz w:val="20"/>
              </w:rPr>
              <w:t>4.8% per annum</w:t>
            </w:r>
          </w:p>
        </w:tc>
        <w:tc>
          <w:tcPr>
            <w:tcW w:w="2565" w:type="dxa"/>
            <w:tcBorders>
              <w:top w:val="nil"/>
            </w:tcBorders>
            <w:shd w:val="clear" w:color="auto" w:fill="auto"/>
          </w:tcPr>
          <w:p w:rsidR="00CD7572" w:rsidRPr="00CD7572" w:rsidRDefault="0062660D" w:rsidP="00CD7572">
            <w:pPr>
              <w:jc w:val="left"/>
              <w:rPr>
                <w:rFonts w:cs="Arial"/>
                <w:sz w:val="20"/>
              </w:rPr>
            </w:pPr>
            <w:r w:rsidRPr="00CD7572">
              <w:rPr>
                <w:rFonts w:cs="Arial"/>
                <w:sz w:val="20"/>
              </w:rPr>
              <w:t>5.6% per annum</w:t>
            </w:r>
          </w:p>
        </w:tc>
      </w:tr>
      <w:tr w:rsidR="006A2C17" w:rsidTr="00E245D6">
        <w:trPr>
          <w:cantSplit/>
        </w:trPr>
        <w:tc>
          <w:tcPr>
            <w:tcW w:w="4217" w:type="dxa"/>
            <w:shd w:val="clear" w:color="auto" w:fill="auto"/>
          </w:tcPr>
          <w:p w:rsidR="00CD7572" w:rsidRPr="00CD7572" w:rsidRDefault="0062660D" w:rsidP="00CD7572">
            <w:pPr>
              <w:spacing w:before="40" w:after="40"/>
              <w:jc w:val="left"/>
              <w:rPr>
                <w:rFonts w:cs="Arial"/>
                <w:sz w:val="20"/>
              </w:rPr>
            </w:pPr>
            <w:r w:rsidRPr="00CD7572">
              <w:rPr>
                <w:rFonts w:cs="Arial"/>
                <w:sz w:val="20"/>
              </w:rPr>
              <w:t xml:space="preserve">Rate of pay increases (long </w:t>
            </w:r>
            <w:r w:rsidRPr="00CD7572">
              <w:rPr>
                <w:rFonts w:cs="Arial"/>
                <w:sz w:val="20"/>
              </w:rPr>
              <w:t>term)*</w:t>
            </w:r>
          </w:p>
        </w:tc>
        <w:tc>
          <w:tcPr>
            <w:tcW w:w="2245" w:type="dxa"/>
            <w:shd w:val="clear" w:color="auto" w:fill="auto"/>
          </w:tcPr>
          <w:p w:rsidR="00CD7572" w:rsidRPr="00CD7572" w:rsidRDefault="0062660D" w:rsidP="00CD7572">
            <w:pPr>
              <w:spacing w:before="40" w:after="40"/>
              <w:jc w:val="left"/>
              <w:rPr>
                <w:rFonts w:cs="Arial"/>
                <w:sz w:val="20"/>
              </w:rPr>
            </w:pPr>
            <w:r w:rsidRPr="00CD7572">
              <w:rPr>
                <w:rFonts w:cs="Arial"/>
                <w:sz w:val="20"/>
              </w:rPr>
              <w:t>4.1% per annum</w:t>
            </w:r>
          </w:p>
        </w:tc>
        <w:tc>
          <w:tcPr>
            <w:tcW w:w="2565" w:type="dxa"/>
            <w:shd w:val="clear" w:color="auto" w:fill="auto"/>
          </w:tcPr>
          <w:p w:rsidR="00CD7572" w:rsidRPr="00CD7572" w:rsidRDefault="0062660D" w:rsidP="00CD7572">
            <w:pPr>
              <w:spacing w:before="40" w:after="40"/>
              <w:jc w:val="left"/>
              <w:rPr>
                <w:rFonts w:cs="Arial"/>
                <w:sz w:val="20"/>
              </w:rPr>
            </w:pPr>
            <w:r w:rsidRPr="00CD7572">
              <w:rPr>
                <w:rFonts w:cs="Arial"/>
                <w:sz w:val="20"/>
              </w:rPr>
              <w:t>4.1% per annum</w:t>
            </w:r>
          </w:p>
        </w:tc>
      </w:tr>
      <w:tr w:rsidR="006A2C17" w:rsidTr="00E245D6">
        <w:trPr>
          <w:cantSplit/>
        </w:trPr>
        <w:tc>
          <w:tcPr>
            <w:tcW w:w="4217" w:type="dxa"/>
            <w:shd w:val="clear" w:color="auto" w:fill="auto"/>
          </w:tcPr>
          <w:p w:rsidR="00CD7572" w:rsidRPr="00CD7572" w:rsidRDefault="0062660D" w:rsidP="00CD7572">
            <w:pPr>
              <w:spacing w:after="0"/>
              <w:jc w:val="left"/>
              <w:rPr>
                <w:rFonts w:cs="Arial"/>
                <w:sz w:val="20"/>
              </w:rPr>
            </w:pPr>
            <w:r w:rsidRPr="00CD7572">
              <w:rPr>
                <w:rFonts w:cs="Arial"/>
                <w:sz w:val="20"/>
              </w:rPr>
              <w:t xml:space="preserve">Rate of increases in pensions </w:t>
            </w:r>
          </w:p>
          <w:p w:rsidR="00CD7572" w:rsidRPr="00CD7572" w:rsidRDefault="0062660D" w:rsidP="00CD7572">
            <w:pPr>
              <w:spacing w:after="0"/>
              <w:jc w:val="left"/>
              <w:rPr>
                <w:rFonts w:cs="Arial"/>
                <w:sz w:val="20"/>
              </w:rPr>
            </w:pPr>
            <w:r w:rsidRPr="00CD7572">
              <w:rPr>
                <w:rFonts w:cs="Arial"/>
                <w:sz w:val="20"/>
              </w:rPr>
              <w:t xml:space="preserve">in payment (in excess of </w:t>
            </w:r>
          </w:p>
          <w:p w:rsidR="00CD7572" w:rsidRPr="00CD7572" w:rsidRDefault="0062660D" w:rsidP="00CD7572">
            <w:pPr>
              <w:spacing w:after="0"/>
              <w:jc w:val="left"/>
              <w:rPr>
                <w:rFonts w:cs="Arial"/>
                <w:sz w:val="20"/>
              </w:rPr>
            </w:pPr>
            <w:r w:rsidRPr="00CD7572">
              <w:rPr>
                <w:rFonts w:cs="Arial"/>
                <w:sz w:val="20"/>
              </w:rPr>
              <w:t>Guaranteed Minimum Pension)</w:t>
            </w:r>
          </w:p>
        </w:tc>
        <w:tc>
          <w:tcPr>
            <w:tcW w:w="2245" w:type="dxa"/>
            <w:shd w:val="clear" w:color="auto" w:fill="auto"/>
            <w:vAlign w:val="center"/>
          </w:tcPr>
          <w:p w:rsidR="00CD7572" w:rsidRPr="00CD7572" w:rsidRDefault="0062660D" w:rsidP="00CD7572">
            <w:pPr>
              <w:jc w:val="left"/>
              <w:rPr>
                <w:rFonts w:cs="Arial"/>
                <w:sz w:val="20"/>
              </w:rPr>
            </w:pPr>
            <w:r w:rsidRPr="00CD7572">
              <w:rPr>
                <w:rFonts w:cs="Arial"/>
                <w:sz w:val="20"/>
              </w:rPr>
              <w:t>2.6% per annum</w:t>
            </w:r>
          </w:p>
        </w:tc>
        <w:tc>
          <w:tcPr>
            <w:tcW w:w="2565" w:type="dxa"/>
            <w:shd w:val="clear" w:color="auto" w:fill="auto"/>
            <w:vAlign w:val="center"/>
          </w:tcPr>
          <w:p w:rsidR="00CD7572" w:rsidRPr="00CD7572" w:rsidRDefault="0062660D" w:rsidP="00CD7572">
            <w:pPr>
              <w:jc w:val="left"/>
              <w:rPr>
                <w:rFonts w:cs="Arial"/>
                <w:sz w:val="20"/>
              </w:rPr>
            </w:pPr>
            <w:r w:rsidRPr="00CD7572">
              <w:rPr>
                <w:rFonts w:cs="Arial"/>
                <w:sz w:val="20"/>
              </w:rPr>
              <w:t>2.6% per annum</w:t>
            </w:r>
          </w:p>
        </w:tc>
      </w:tr>
    </w:tbl>
    <w:p w:rsidR="00CD7572" w:rsidRPr="00CD7572" w:rsidRDefault="0062660D" w:rsidP="00CD7572">
      <w:pPr>
        <w:spacing w:after="240"/>
        <w:ind w:firstLine="709"/>
        <w:rPr>
          <w:sz w:val="16"/>
          <w:szCs w:val="16"/>
        </w:rPr>
      </w:pPr>
      <w:r w:rsidRPr="00CD7572">
        <w:rPr>
          <w:sz w:val="16"/>
          <w:szCs w:val="16"/>
        </w:rPr>
        <w:t xml:space="preserve">* </w:t>
      </w:r>
      <w:proofErr w:type="gramStart"/>
      <w:r w:rsidRPr="00CD7572">
        <w:rPr>
          <w:sz w:val="16"/>
          <w:szCs w:val="16"/>
        </w:rPr>
        <w:t>allowance</w:t>
      </w:r>
      <w:proofErr w:type="gramEnd"/>
      <w:r w:rsidRPr="00CD7572">
        <w:rPr>
          <w:sz w:val="16"/>
          <w:szCs w:val="16"/>
        </w:rPr>
        <w:t xml:space="preserve"> was also made for short-term public sector pay restraint over a 3 year period.</w:t>
      </w:r>
    </w:p>
    <w:p w:rsidR="00CD7572" w:rsidRPr="00CD7572" w:rsidRDefault="0062660D" w:rsidP="00CD7572">
      <w:pPr>
        <w:spacing w:after="240"/>
        <w:ind w:left="567"/>
        <w:jc w:val="left"/>
      </w:pPr>
      <w:r w:rsidRPr="00CD7572">
        <w:t xml:space="preserve">The assets </w:t>
      </w:r>
      <w:r w:rsidRPr="00CD7572">
        <w:t>were assessed at market value.</w:t>
      </w:r>
    </w:p>
    <w:p w:rsidR="00CD7572" w:rsidRPr="00CD7572" w:rsidRDefault="0062660D" w:rsidP="00CD7572">
      <w:pPr>
        <w:ind w:left="567"/>
        <w:jc w:val="left"/>
      </w:pPr>
      <w:r w:rsidRPr="00CD7572">
        <w:t>The next triennial actuarial valuation of the Fund is due as at 31 March 2016.  Based on the results of that valuation, the contribution rates payable by the individual employers will be revised with effect from 1 April 2017.</w:t>
      </w:r>
    </w:p>
    <w:p w:rsidR="00CD7572" w:rsidRPr="00CD7572" w:rsidRDefault="0062660D" w:rsidP="00CD7572">
      <w:pPr>
        <w:ind w:left="567"/>
      </w:pPr>
    </w:p>
    <w:p w:rsidR="00CD7572" w:rsidRPr="00CD7572" w:rsidRDefault="0062660D" w:rsidP="00CD7572">
      <w:pPr>
        <w:ind w:left="567"/>
      </w:pPr>
    </w:p>
    <w:p w:rsidR="00CD7572" w:rsidRPr="00CD7572" w:rsidRDefault="0062660D" w:rsidP="00CD7572">
      <w:pPr>
        <w:numPr>
          <w:ilvl w:val="0"/>
          <w:numId w:val="9"/>
        </w:numPr>
        <w:tabs>
          <w:tab w:val="num" w:pos="862"/>
        </w:tabs>
        <w:autoSpaceDE/>
        <w:autoSpaceDN/>
        <w:adjustRightInd/>
        <w:spacing w:after="0"/>
        <w:ind w:left="862"/>
        <w:jc w:val="left"/>
        <w:rPr>
          <w:b/>
          <w:sz w:val="32"/>
          <w:szCs w:val="32"/>
        </w:rPr>
      </w:pPr>
      <w:r w:rsidRPr="00CD7572">
        <w:rPr>
          <w:b/>
          <w:sz w:val="32"/>
          <w:szCs w:val="32"/>
        </w:rPr>
        <w:t xml:space="preserve">Actuarial present value of promised retirement benefits </w:t>
      </w:r>
    </w:p>
    <w:p w:rsidR="00CD7572" w:rsidRPr="00CD7572" w:rsidRDefault="0062660D" w:rsidP="00CD7572">
      <w:pPr>
        <w:ind w:left="567"/>
      </w:pPr>
    </w:p>
    <w:p w:rsidR="00CD7572" w:rsidRPr="00CD7572" w:rsidRDefault="0062660D" w:rsidP="00CD7572">
      <w:pPr>
        <w:ind w:left="567"/>
        <w:jc w:val="left"/>
      </w:pPr>
      <w:r w:rsidRPr="00CD7572">
        <w:t xml:space="preserve">IAS 26 requires the present value of the Fund’s promised retirement benefits to be disclosed, and for this purpose the actuarial assumptions and methodology used should be based on IAS 19 rather </w:t>
      </w:r>
      <w:r w:rsidRPr="00CD7572">
        <w:t>than the assumptions and methodology used for funding purposes.</w:t>
      </w:r>
    </w:p>
    <w:p w:rsidR="00CD7572" w:rsidRPr="00CD7572" w:rsidRDefault="0062660D" w:rsidP="00CD7572">
      <w:pPr>
        <w:ind w:left="567"/>
        <w:jc w:val="left"/>
      </w:pPr>
      <w:r w:rsidRPr="00CD7572">
        <w:t>To assess the value of the benefits on this basis, we have used the following financial assumptions as at 31 March 2016 (the 31 March 2015 assumptions are included for comparison):</w:t>
      </w:r>
    </w:p>
    <w:p w:rsidR="00CD7572" w:rsidRPr="00CD7572" w:rsidRDefault="0062660D" w:rsidP="00CD7572">
      <w:pPr>
        <w:ind w:left="567"/>
        <w:jc w:val="left"/>
        <w:rPr>
          <w:highlight w:val="yellow"/>
        </w:rPr>
      </w:pPr>
    </w:p>
    <w:tbl>
      <w:tblPr>
        <w:tblW w:w="0" w:type="auto"/>
        <w:tblInd w:w="639" w:type="dxa"/>
        <w:tblBorders>
          <w:top w:val="single" w:sz="4" w:space="0" w:color="auto"/>
          <w:bottom w:val="single" w:sz="4" w:space="0" w:color="auto"/>
          <w:insideH w:val="single" w:sz="4" w:space="0" w:color="auto"/>
        </w:tblBorders>
        <w:tblLayout w:type="fixed"/>
        <w:tblCellMar>
          <w:left w:w="72" w:type="dxa"/>
          <w:right w:w="72" w:type="dxa"/>
        </w:tblCellMar>
        <w:tblLook w:val="0000" w:firstRow="0" w:lastRow="0" w:firstColumn="0" w:lastColumn="0" w:noHBand="0" w:noVBand="0"/>
      </w:tblPr>
      <w:tblGrid>
        <w:gridCol w:w="3708"/>
        <w:gridCol w:w="2223"/>
        <w:gridCol w:w="2565"/>
      </w:tblGrid>
      <w:tr w:rsidR="006A2C17" w:rsidTr="00E245D6">
        <w:trPr>
          <w:cantSplit/>
          <w:tblHeader/>
        </w:trPr>
        <w:tc>
          <w:tcPr>
            <w:tcW w:w="3708" w:type="dxa"/>
            <w:tcBorders>
              <w:top w:val="nil"/>
              <w:bottom w:val="nil"/>
            </w:tcBorders>
            <w:shd w:val="clear" w:color="auto" w:fill="002C77"/>
            <w:vAlign w:val="bottom"/>
          </w:tcPr>
          <w:p w:rsidR="00CD7572" w:rsidRPr="00CD7572" w:rsidRDefault="0062660D" w:rsidP="00CD7572">
            <w:pPr>
              <w:spacing w:before="60" w:after="60"/>
              <w:jc w:val="left"/>
              <w:rPr>
                <w:rFonts w:ascii="Arial Black" w:hAnsi="Arial Black"/>
                <w:color w:val="FFFFFF"/>
                <w:sz w:val="18"/>
                <w:highlight w:val="yellow"/>
              </w:rPr>
            </w:pPr>
          </w:p>
        </w:tc>
        <w:tc>
          <w:tcPr>
            <w:tcW w:w="2223" w:type="dxa"/>
            <w:tcBorders>
              <w:top w:val="nil"/>
              <w:bottom w:val="nil"/>
            </w:tcBorders>
            <w:shd w:val="clear" w:color="auto" w:fill="002C77"/>
            <w:vAlign w:val="bottom"/>
          </w:tcPr>
          <w:p w:rsidR="00CD7572" w:rsidRPr="00CD7572" w:rsidRDefault="0062660D" w:rsidP="00CD7572">
            <w:pPr>
              <w:spacing w:before="60" w:after="60"/>
              <w:jc w:val="left"/>
              <w:rPr>
                <w:rFonts w:ascii="Arial Black" w:hAnsi="Arial Black"/>
                <w:color w:val="FFFFFF"/>
                <w:sz w:val="18"/>
              </w:rPr>
            </w:pPr>
            <w:r w:rsidRPr="00CD7572">
              <w:rPr>
                <w:rFonts w:ascii="Arial Black" w:hAnsi="Arial Black"/>
                <w:color w:val="FFFFFF"/>
                <w:sz w:val="18"/>
              </w:rPr>
              <w:t xml:space="preserve">31 March </w:t>
            </w:r>
            <w:r w:rsidRPr="00CD7572">
              <w:rPr>
                <w:rFonts w:ascii="Arial Black" w:hAnsi="Arial Black"/>
                <w:color w:val="FFFFFF"/>
                <w:sz w:val="18"/>
              </w:rPr>
              <w:t>2015</w:t>
            </w:r>
          </w:p>
        </w:tc>
        <w:tc>
          <w:tcPr>
            <w:tcW w:w="2565" w:type="dxa"/>
            <w:tcBorders>
              <w:top w:val="nil"/>
              <w:bottom w:val="nil"/>
            </w:tcBorders>
            <w:shd w:val="clear" w:color="auto" w:fill="002C77"/>
            <w:vAlign w:val="bottom"/>
          </w:tcPr>
          <w:p w:rsidR="00CD7572" w:rsidRPr="00CD7572" w:rsidRDefault="0062660D" w:rsidP="00CD7572">
            <w:pPr>
              <w:spacing w:before="60" w:after="60"/>
              <w:jc w:val="left"/>
              <w:rPr>
                <w:rFonts w:ascii="Arial Black" w:hAnsi="Arial Black"/>
                <w:color w:val="FFFFFF"/>
                <w:sz w:val="18"/>
              </w:rPr>
            </w:pPr>
            <w:r w:rsidRPr="00CD7572">
              <w:rPr>
                <w:rFonts w:ascii="Arial Black" w:hAnsi="Arial Black"/>
                <w:color w:val="FFFFFF"/>
                <w:sz w:val="18"/>
              </w:rPr>
              <w:t>31 March 2016</w:t>
            </w:r>
          </w:p>
        </w:tc>
      </w:tr>
      <w:tr w:rsidR="006A2C17" w:rsidTr="00E245D6">
        <w:trPr>
          <w:cantSplit/>
        </w:trPr>
        <w:tc>
          <w:tcPr>
            <w:tcW w:w="3708" w:type="dxa"/>
            <w:tcBorders>
              <w:top w:val="nil"/>
            </w:tcBorders>
            <w:shd w:val="clear" w:color="auto" w:fill="auto"/>
          </w:tcPr>
          <w:p w:rsidR="00CD7572" w:rsidRPr="00CD7572" w:rsidRDefault="0062660D" w:rsidP="00CD7572">
            <w:pPr>
              <w:spacing w:before="40" w:after="40"/>
              <w:jc w:val="left"/>
              <w:rPr>
                <w:rFonts w:cs="Arial"/>
                <w:sz w:val="20"/>
              </w:rPr>
            </w:pPr>
            <w:r w:rsidRPr="00CD7572">
              <w:rPr>
                <w:rFonts w:cs="Arial"/>
                <w:sz w:val="20"/>
              </w:rPr>
              <w:t>Rate of return on investments (discount rate)</w:t>
            </w:r>
          </w:p>
        </w:tc>
        <w:tc>
          <w:tcPr>
            <w:tcW w:w="2223" w:type="dxa"/>
            <w:tcBorders>
              <w:top w:val="nil"/>
            </w:tcBorders>
            <w:shd w:val="clear" w:color="auto" w:fill="auto"/>
          </w:tcPr>
          <w:p w:rsidR="00CD7572" w:rsidRPr="00CD7572" w:rsidRDefault="0062660D" w:rsidP="00CD7572">
            <w:pPr>
              <w:jc w:val="left"/>
              <w:rPr>
                <w:rFonts w:cs="Arial"/>
                <w:sz w:val="20"/>
              </w:rPr>
            </w:pPr>
            <w:r w:rsidRPr="00CD7572">
              <w:rPr>
                <w:rFonts w:cs="Arial"/>
                <w:sz w:val="20"/>
              </w:rPr>
              <w:t>3.3% per annum</w:t>
            </w:r>
          </w:p>
        </w:tc>
        <w:tc>
          <w:tcPr>
            <w:tcW w:w="2565" w:type="dxa"/>
            <w:tcBorders>
              <w:top w:val="nil"/>
            </w:tcBorders>
            <w:shd w:val="clear" w:color="auto" w:fill="auto"/>
          </w:tcPr>
          <w:p w:rsidR="00CD7572" w:rsidRPr="00CD7572" w:rsidRDefault="0062660D" w:rsidP="00CD7572">
            <w:pPr>
              <w:jc w:val="left"/>
              <w:rPr>
                <w:rFonts w:cs="Arial"/>
                <w:sz w:val="20"/>
              </w:rPr>
            </w:pPr>
            <w:r w:rsidRPr="00CD7572">
              <w:rPr>
                <w:rFonts w:cs="Arial"/>
                <w:sz w:val="20"/>
              </w:rPr>
              <w:t>3.6% per annum</w:t>
            </w:r>
          </w:p>
        </w:tc>
      </w:tr>
      <w:tr w:rsidR="006A2C17" w:rsidTr="00E245D6">
        <w:trPr>
          <w:cantSplit/>
        </w:trPr>
        <w:tc>
          <w:tcPr>
            <w:tcW w:w="3708" w:type="dxa"/>
            <w:shd w:val="clear" w:color="auto" w:fill="auto"/>
          </w:tcPr>
          <w:p w:rsidR="00CD7572" w:rsidRPr="00CD7572" w:rsidRDefault="0062660D" w:rsidP="00CD7572">
            <w:pPr>
              <w:spacing w:before="40" w:after="40"/>
              <w:jc w:val="left"/>
              <w:rPr>
                <w:rFonts w:cs="Arial"/>
                <w:sz w:val="20"/>
              </w:rPr>
            </w:pPr>
            <w:r w:rsidRPr="00CD7572">
              <w:rPr>
                <w:rFonts w:cs="Arial"/>
                <w:sz w:val="20"/>
              </w:rPr>
              <w:t>Rate of pay increases *</w:t>
            </w:r>
          </w:p>
        </w:tc>
        <w:tc>
          <w:tcPr>
            <w:tcW w:w="2223" w:type="dxa"/>
            <w:shd w:val="clear" w:color="auto" w:fill="auto"/>
          </w:tcPr>
          <w:p w:rsidR="00CD7572" w:rsidRPr="00CD7572" w:rsidRDefault="0062660D" w:rsidP="00CD7572">
            <w:pPr>
              <w:spacing w:before="40" w:after="40"/>
              <w:jc w:val="left"/>
              <w:rPr>
                <w:rFonts w:cs="Arial"/>
                <w:sz w:val="20"/>
              </w:rPr>
            </w:pPr>
            <w:r w:rsidRPr="00CD7572">
              <w:rPr>
                <w:rFonts w:cs="Arial"/>
                <w:sz w:val="20"/>
              </w:rPr>
              <w:t>3.5% per annum</w:t>
            </w:r>
          </w:p>
        </w:tc>
        <w:tc>
          <w:tcPr>
            <w:tcW w:w="2565" w:type="dxa"/>
            <w:shd w:val="clear" w:color="auto" w:fill="auto"/>
          </w:tcPr>
          <w:p w:rsidR="00CD7572" w:rsidRPr="00CD7572" w:rsidRDefault="0062660D" w:rsidP="00CD7572">
            <w:pPr>
              <w:spacing w:before="40" w:after="40"/>
              <w:jc w:val="left"/>
              <w:rPr>
                <w:rFonts w:cs="Arial"/>
                <w:sz w:val="20"/>
              </w:rPr>
            </w:pPr>
            <w:r w:rsidRPr="00CD7572">
              <w:rPr>
                <w:rFonts w:cs="Arial"/>
                <w:sz w:val="20"/>
              </w:rPr>
              <w:t>3.5% per annum*</w:t>
            </w:r>
          </w:p>
        </w:tc>
      </w:tr>
      <w:tr w:rsidR="006A2C17" w:rsidTr="00E245D6">
        <w:trPr>
          <w:cantSplit/>
        </w:trPr>
        <w:tc>
          <w:tcPr>
            <w:tcW w:w="3708" w:type="dxa"/>
            <w:shd w:val="clear" w:color="auto" w:fill="auto"/>
          </w:tcPr>
          <w:p w:rsidR="00CD7572" w:rsidRPr="00CD7572" w:rsidRDefault="0062660D" w:rsidP="00CD7572">
            <w:pPr>
              <w:spacing w:after="0"/>
              <w:jc w:val="left"/>
              <w:rPr>
                <w:rFonts w:cs="Arial"/>
                <w:sz w:val="20"/>
              </w:rPr>
            </w:pPr>
            <w:r w:rsidRPr="00CD7572">
              <w:rPr>
                <w:rFonts w:cs="Arial"/>
                <w:sz w:val="20"/>
              </w:rPr>
              <w:t xml:space="preserve">Rate of increases in pensions </w:t>
            </w:r>
          </w:p>
          <w:p w:rsidR="00CD7572" w:rsidRPr="00CD7572" w:rsidRDefault="0062660D" w:rsidP="00CD7572">
            <w:pPr>
              <w:spacing w:after="0"/>
              <w:jc w:val="left"/>
              <w:rPr>
                <w:rFonts w:cs="Arial"/>
                <w:sz w:val="20"/>
              </w:rPr>
            </w:pPr>
            <w:r w:rsidRPr="00CD7572">
              <w:rPr>
                <w:rFonts w:cs="Arial"/>
                <w:sz w:val="20"/>
              </w:rPr>
              <w:t xml:space="preserve">in payment (in excess of </w:t>
            </w:r>
          </w:p>
          <w:p w:rsidR="00CD7572" w:rsidRPr="00CD7572" w:rsidRDefault="0062660D" w:rsidP="00CD7572">
            <w:pPr>
              <w:spacing w:after="0"/>
              <w:jc w:val="left"/>
              <w:rPr>
                <w:rFonts w:cs="Arial"/>
                <w:sz w:val="20"/>
              </w:rPr>
            </w:pPr>
            <w:r w:rsidRPr="00CD7572">
              <w:rPr>
                <w:rFonts w:cs="Arial"/>
                <w:sz w:val="20"/>
              </w:rPr>
              <w:t>Guaranteed Minimum Pension)</w:t>
            </w:r>
          </w:p>
        </w:tc>
        <w:tc>
          <w:tcPr>
            <w:tcW w:w="2223" w:type="dxa"/>
            <w:shd w:val="clear" w:color="auto" w:fill="auto"/>
            <w:vAlign w:val="center"/>
          </w:tcPr>
          <w:p w:rsidR="00CD7572" w:rsidRPr="00CD7572" w:rsidRDefault="0062660D" w:rsidP="00CD7572">
            <w:pPr>
              <w:spacing w:after="0"/>
              <w:jc w:val="left"/>
              <w:rPr>
                <w:rFonts w:cs="Arial"/>
                <w:sz w:val="20"/>
              </w:rPr>
            </w:pPr>
            <w:r w:rsidRPr="00CD7572">
              <w:rPr>
                <w:rFonts w:cs="Arial"/>
                <w:sz w:val="20"/>
              </w:rPr>
              <w:t>2.0% per annum</w:t>
            </w:r>
          </w:p>
        </w:tc>
        <w:tc>
          <w:tcPr>
            <w:tcW w:w="2565" w:type="dxa"/>
            <w:shd w:val="clear" w:color="auto" w:fill="auto"/>
            <w:vAlign w:val="center"/>
          </w:tcPr>
          <w:p w:rsidR="00CD7572" w:rsidRPr="00CD7572" w:rsidRDefault="0062660D" w:rsidP="00CD7572">
            <w:pPr>
              <w:spacing w:after="0"/>
              <w:jc w:val="left"/>
              <w:rPr>
                <w:rFonts w:cs="Arial"/>
                <w:sz w:val="20"/>
              </w:rPr>
            </w:pPr>
            <w:r w:rsidRPr="00CD7572">
              <w:rPr>
                <w:rFonts w:cs="Arial"/>
                <w:sz w:val="20"/>
              </w:rPr>
              <w:t>2.0% per annum</w:t>
            </w:r>
          </w:p>
        </w:tc>
      </w:tr>
    </w:tbl>
    <w:p w:rsidR="00CD7572" w:rsidRPr="00CD7572" w:rsidRDefault="0062660D" w:rsidP="00CD7572">
      <w:pPr>
        <w:ind w:firstLine="567"/>
        <w:jc w:val="left"/>
        <w:rPr>
          <w:sz w:val="16"/>
          <w:szCs w:val="16"/>
        </w:rPr>
      </w:pPr>
      <w:r w:rsidRPr="00CD7572">
        <w:rPr>
          <w:sz w:val="16"/>
          <w:szCs w:val="16"/>
        </w:rPr>
        <w:t xml:space="preserve"> * includes a corresponding allowance to that made in the actuarial valuation for short-term public sector pay restraint.</w:t>
      </w:r>
    </w:p>
    <w:p w:rsidR="00CD7572" w:rsidRPr="00CD7572" w:rsidRDefault="0062660D" w:rsidP="00CD7572">
      <w:pPr>
        <w:jc w:val="left"/>
        <w:rPr>
          <w:sz w:val="16"/>
          <w:szCs w:val="16"/>
          <w:highlight w:val="yellow"/>
        </w:rPr>
      </w:pPr>
    </w:p>
    <w:p w:rsidR="00CD7572" w:rsidRPr="00CD7572" w:rsidRDefault="0062660D" w:rsidP="00CD7572">
      <w:pPr>
        <w:ind w:left="567"/>
        <w:jc w:val="left"/>
      </w:pPr>
      <w:r w:rsidRPr="00CD7572">
        <w:t xml:space="preserve">The demographic assumptions are the same as those used for funding purposes.  Full details of these assumptions are set out in the </w:t>
      </w:r>
      <w:r w:rsidRPr="00CD7572">
        <w:rPr>
          <w:noProof/>
        </w:rPr>
        <w:t>formal report on the actuarial valuation dated March 2014</w:t>
      </w:r>
      <w:r w:rsidRPr="00CD7572">
        <w:t>.</w:t>
      </w:r>
    </w:p>
    <w:p w:rsidR="00CD7572" w:rsidRPr="00CD7572" w:rsidRDefault="0062660D" w:rsidP="00CD7572">
      <w:pPr>
        <w:ind w:left="567"/>
        <w:jc w:val="left"/>
      </w:pPr>
      <w:r w:rsidRPr="00CD7572">
        <w:t>During the year, corporate bond yields rose, resulting in a higher</w:t>
      </w:r>
      <w:r w:rsidRPr="00CD7572">
        <w:t xml:space="preserve"> discount rate being used for IAS26 purposes at the year-end than at the beginning of the year (3.6% p.a. versus 3.3% p.a.). There was no change in the expected long-term rate of CPI inflation during the year, resulting in the same assumption for pension i</w:t>
      </w:r>
      <w:r w:rsidRPr="00CD7572">
        <w:t xml:space="preserve">ncreases at the year-end as at the beginning of the year (2.0% </w:t>
      </w:r>
      <w:proofErr w:type="spellStart"/>
      <w:r w:rsidRPr="00CD7572">
        <w:t>p.a</w:t>
      </w:r>
      <w:proofErr w:type="spellEnd"/>
      <w:r w:rsidRPr="00CD7572">
        <w:t>).</w:t>
      </w:r>
    </w:p>
    <w:p w:rsidR="00CD7572" w:rsidRPr="00CD7572" w:rsidRDefault="0062660D" w:rsidP="00CD7572">
      <w:pPr>
        <w:ind w:left="567"/>
        <w:jc w:val="left"/>
      </w:pPr>
      <w:r w:rsidRPr="00CD7572">
        <w:t xml:space="preserve">The value of the Fund’s promised retirement benefits for the purposes of IAS26 as at 31 March 2015 was estimated as £8,370m. The effect of the changes in actuarial assumptions between 31 </w:t>
      </w:r>
      <w:r w:rsidRPr="00CD7572">
        <w:t>March 2015 and 31 March 2016 as described above is to decrease the liabilities by approximately £570m.  Adding interest over the year increases the liabilities by approximately £276m, and allowing for net benefits accrued/paid over the period increases the</w:t>
      </w:r>
      <w:r w:rsidRPr="00CD7572">
        <w:t xml:space="preserve"> liabilities by approximately £30m (including any increase in liabilities arising as a result of early retirements/augmentations). </w:t>
      </w:r>
    </w:p>
    <w:p w:rsidR="00CD7572" w:rsidRPr="00CD7572" w:rsidRDefault="0062660D" w:rsidP="00CD7572">
      <w:pPr>
        <w:ind w:left="567"/>
        <w:jc w:val="left"/>
      </w:pPr>
      <w:r w:rsidRPr="00CD7572">
        <w:t xml:space="preserve">The net effect of all the above is that the estimated total value of the Fund’s promised retirement benefits as at 31 March </w:t>
      </w:r>
      <w:r w:rsidRPr="00CD7572">
        <w:t>2016 is £8,106m.</w:t>
      </w:r>
    </w:p>
    <w:p w:rsidR="00CD7572" w:rsidRPr="00CD7572" w:rsidRDefault="0062660D" w:rsidP="00CD7572">
      <w:pPr>
        <w:ind w:left="567"/>
        <w:jc w:val="left"/>
      </w:pPr>
    </w:p>
    <w:p w:rsidR="00CD7572" w:rsidRPr="00CD7572" w:rsidRDefault="0062660D" w:rsidP="00CD7572">
      <w:pPr>
        <w:spacing w:after="0"/>
        <w:ind w:left="567"/>
        <w:jc w:val="left"/>
      </w:pPr>
      <w:r w:rsidRPr="00CD7572">
        <w:t>John Livesey</w:t>
      </w:r>
    </w:p>
    <w:p w:rsidR="00CD7572" w:rsidRPr="00CD7572" w:rsidRDefault="0062660D" w:rsidP="00CD7572">
      <w:pPr>
        <w:spacing w:after="0"/>
        <w:ind w:left="567"/>
        <w:jc w:val="left"/>
      </w:pPr>
      <w:r w:rsidRPr="00CD7572">
        <w:t>Fellow of the Institute and Faculty of Actuaries</w:t>
      </w:r>
    </w:p>
    <w:p w:rsidR="00CD7572" w:rsidRPr="00CD7572" w:rsidRDefault="0062660D" w:rsidP="00CD7572">
      <w:pPr>
        <w:spacing w:after="0"/>
        <w:ind w:left="567"/>
        <w:jc w:val="left"/>
      </w:pPr>
      <w:r w:rsidRPr="00CD7572">
        <w:t>Mercer Limited</w:t>
      </w:r>
    </w:p>
    <w:p w:rsidR="00CD7572" w:rsidRPr="00CD7572" w:rsidRDefault="0062660D" w:rsidP="00CD7572">
      <w:pPr>
        <w:spacing w:after="0"/>
        <w:ind w:left="567"/>
        <w:jc w:val="left"/>
      </w:pPr>
      <w:r w:rsidRPr="00CD7572">
        <w:t>May 2016</w:t>
      </w:r>
    </w:p>
    <w:p w:rsidR="00CD7572" w:rsidRPr="00CD7572" w:rsidRDefault="0062660D" w:rsidP="00CD7572">
      <w:pPr>
        <w:spacing w:after="0"/>
        <w:ind w:left="567"/>
        <w:jc w:val="left"/>
      </w:pPr>
    </w:p>
    <w:p w:rsidR="00CD7572" w:rsidRPr="00CD7572" w:rsidRDefault="0062660D" w:rsidP="00CD7572">
      <w:pPr>
        <w:spacing w:after="0"/>
        <w:ind w:left="567"/>
        <w:jc w:val="left"/>
      </w:pPr>
    </w:p>
    <w:p w:rsidR="00CD7572" w:rsidRPr="00CD7572" w:rsidRDefault="0062660D" w:rsidP="00CD7572">
      <w:pPr>
        <w:spacing w:after="0"/>
        <w:ind w:left="567"/>
        <w:jc w:val="left"/>
      </w:pPr>
    </w:p>
    <w:p w:rsidR="00CD7572" w:rsidRPr="00CD7572" w:rsidRDefault="0062660D" w:rsidP="00CD7572">
      <w:pPr>
        <w:numPr>
          <w:ilvl w:val="0"/>
          <w:numId w:val="9"/>
        </w:numPr>
        <w:tabs>
          <w:tab w:val="num" w:pos="862"/>
        </w:tabs>
        <w:autoSpaceDE/>
        <w:autoSpaceDN/>
        <w:adjustRightInd/>
        <w:spacing w:after="0"/>
        <w:ind w:left="862"/>
        <w:jc w:val="left"/>
        <w:rPr>
          <w:b/>
          <w:sz w:val="32"/>
          <w:szCs w:val="32"/>
        </w:rPr>
      </w:pPr>
      <w:r w:rsidRPr="00CD7572">
        <w:rPr>
          <w:b/>
          <w:sz w:val="32"/>
          <w:szCs w:val="32"/>
        </w:rPr>
        <w:t>Events after the net assets statement date</w:t>
      </w:r>
    </w:p>
    <w:p w:rsidR="00CD7572" w:rsidRPr="00CD7572" w:rsidRDefault="0062660D" w:rsidP="00CD7572">
      <w:pPr>
        <w:tabs>
          <w:tab w:val="num" w:pos="862"/>
        </w:tabs>
        <w:autoSpaceDE/>
        <w:autoSpaceDN/>
        <w:adjustRightInd/>
        <w:spacing w:after="0"/>
        <w:jc w:val="left"/>
        <w:rPr>
          <w:b/>
          <w:sz w:val="32"/>
          <w:szCs w:val="32"/>
        </w:rPr>
      </w:pPr>
    </w:p>
    <w:p w:rsidR="00CD7572" w:rsidRPr="00CD7572" w:rsidRDefault="0062660D" w:rsidP="00CD7572">
      <w:pPr>
        <w:ind w:left="567"/>
        <w:jc w:val="left"/>
      </w:pPr>
      <w:r w:rsidRPr="00CD7572">
        <w:t xml:space="preserve">On 8th April 2016 Lancashire County Council entered into a Joint Venture with the London Pensions Fund Authority for the pooling of the executive functions of the two organisations together with the investment assets of the two funds. </w:t>
      </w:r>
    </w:p>
    <w:p w:rsidR="00CD7572" w:rsidRPr="00CD7572" w:rsidRDefault="0062660D" w:rsidP="00CD7572">
      <w:pPr>
        <w:ind w:left="567"/>
        <w:jc w:val="left"/>
      </w:pPr>
      <w:r w:rsidRPr="00CD7572">
        <w:t>The staff involved i</w:t>
      </w:r>
      <w:r w:rsidRPr="00CD7572">
        <w:t xml:space="preserve">n the operation of the two funds transferred to the new organisation, the Local Pensions Partnership (LPP) on 8th April 2016 and the investment operations within the company received regulatory approval from the Financial Conduct Authority on 11th April. </w:t>
      </w:r>
    </w:p>
    <w:p w:rsidR="00CD7572" w:rsidRPr="00CD7572" w:rsidRDefault="0062660D" w:rsidP="00CD7572">
      <w:pPr>
        <w:ind w:left="567"/>
        <w:jc w:val="left"/>
      </w:pPr>
      <w:r w:rsidRPr="00CD7572">
        <w:t>LPP will operate the two pension funds under legal agreements with the administering authorities in line with the strategies and policies agreed by the relevant governing bodies, in the case of the Lancashire County Pension Fund the Pension Fund Committee.</w:t>
      </w:r>
    </w:p>
    <w:p w:rsidR="00CD7572" w:rsidRPr="00CD7572" w:rsidRDefault="0062660D" w:rsidP="00CD7572">
      <w:pPr>
        <w:tabs>
          <w:tab w:val="num" w:pos="862"/>
        </w:tabs>
        <w:autoSpaceDE/>
        <w:autoSpaceDN/>
        <w:adjustRightInd/>
        <w:spacing w:after="0"/>
        <w:ind w:left="862"/>
        <w:jc w:val="left"/>
        <w:rPr>
          <w:b/>
          <w:sz w:val="32"/>
          <w:szCs w:val="32"/>
          <w:highlight w:val="yellow"/>
        </w:rPr>
      </w:pPr>
    </w:p>
    <w:p w:rsidR="00CD7572" w:rsidRPr="00CD7572" w:rsidRDefault="0062660D" w:rsidP="00CD7572">
      <w:pPr>
        <w:rPr>
          <w:highlight w:val="yellow"/>
        </w:rPr>
      </w:pPr>
    </w:p>
    <w:p w:rsidR="00CD7572" w:rsidRPr="00CD7572" w:rsidRDefault="0062660D" w:rsidP="00CD7572">
      <w:pPr>
        <w:tabs>
          <w:tab w:val="left" w:pos="1080"/>
        </w:tabs>
        <w:spacing w:after="80"/>
        <w:ind w:left="709"/>
        <w:rPr>
          <w:rFonts w:cs="Arial"/>
        </w:rPr>
      </w:pPr>
    </w:p>
    <w:p w:rsidR="000C00CF" w:rsidRDefault="0062660D" w:rsidP="00E002E6">
      <w:pPr>
        <w:autoSpaceDE/>
        <w:autoSpaceDN/>
        <w:adjustRightInd/>
        <w:spacing w:after="0"/>
        <w:jc w:val="left"/>
        <w:rPr>
          <w:rFonts w:eastAsia="Times New Roman" w:cs="Times New Roman"/>
          <w:color w:val="auto"/>
          <w:szCs w:val="20"/>
          <w:lang w:eastAsia="en-GB"/>
        </w:rPr>
      </w:pPr>
    </w:p>
    <w:p w:rsidR="000C00CF" w:rsidRDefault="0062660D" w:rsidP="00E002E6">
      <w:pPr>
        <w:autoSpaceDE/>
        <w:autoSpaceDN/>
        <w:adjustRightInd/>
        <w:spacing w:after="0"/>
        <w:jc w:val="left"/>
        <w:rPr>
          <w:rFonts w:eastAsia="Times New Roman" w:cs="Times New Roman"/>
          <w:color w:val="auto"/>
          <w:szCs w:val="20"/>
          <w:lang w:eastAsia="en-GB"/>
        </w:rPr>
      </w:pPr>
    </w:p>
    <w:p w:rsidR="000C00CF" w:rsidRDefault="0062660D" w:rsidP="00E002E6">
      <w:pPr>
        <w:autoSpaceDE/>
        <w:autoSpaceDN/>
        <w:adjustRightInd/>
        <w:spacing w:after="0"/>
        <w:jc w:val="left"/>
        <w:rPr>
          <w:rFonts w:eastAsia="Times New Roman" w:cs="Times New Roman"/>
          <w:color w:val="auto"/>
          <w:szCs w:val="20"/>
          <w:lang w:eastAsia="en-GB"/>
        </w:rPr>
      </w:pPr>
    </w:p>
    <w:p w:rsidR="000C00CF" w:rsidRDefault="0062660D" w:rsidP="00E002E6">
      <w:pPr>
        <w:autoSpaceDE/>
        <w:autoSpaceDN/>
        <w:adjustRightInd/>
        <w:spacing w:after="0"/>
        <w:jc w:val="left"/>
        <w:rPr>
          <w:rFonts w:eastAsia="Times New Roman" w:cs="Times New Roman"/>
          <w:color w:val="auto"/>
          <w:szCs w:val="20"/>
          <w:lang w:eastAsia="en-GB"/>
        </w:rPr>
      </w:pPr>
    </w:p>
    <w:p w:rsidR="000C00CF" w:rsidRDefault="0062660D" w:rsidP="00E002E6">
      <w:pPr>
        <w:autoSpaceDE/>
        <w:autoSpaceDN/>
        <w:adjustRightInd/>
        <w:spacing w:after="0"/>
        <w:jc w:val="left"/>
        <w:rPr>
          <w:rFonts w:eastAsia="Times New Roman" w:cs="Times New Roman"/>
          <w:color w:val="auto"/>
          <w:szCs w:val="20"/>
          <w:lang w:eastAsia="en-GB"/>
        </w:rPr>
      </w:pPr>
    </w:p>
    <w:p w:rsidR="000C00CF" w:rsidRDefault="0062660D" w:rsidP="00E002E6">
      <w:pPr>
        <w:autoSpaceDE/>
        <w:autoSpaceDN/>
        <w:adjustRightInd/>
        <w:spacing w:after="0"/>
        <w:jc w:val="left"/>
        <w:rPr>
          <w:rFonts w:eastAsia="Times New Roman" w:cs="Times New Roman"/>
          <w:color w:val="auto"/>
          <w:szCs w:val="20"/>
          <w:lang w:eastAsia="en-GB"/>
        </w:rPr>
      </w:pPr>
    </w:p>
    <w:p w:rsidR="000C00CF" w:rsidRDefault="0062660D" w:rsidP="00E002E6">
      <w:pPr>
        <w:autoSpaceDE/>
        <w:autoSpaceDN/>
        <w:adjustRightInd/>
        <w:spacing w:after="0"/>
        <w:jc w:val="left"/>
        <w:rPr>
          <w:rFonts w:eastAsia="Times New Roman" w:cs="Times New Roman"/>
          <w:color w:val="auto"/>
          <w:szCs w:val="20"/>
          <w:lang w:eastAsia="en-GB"/>
        </w:rPr>
      </w:pPr>
    </w:p>
    <w:p w:rsidR="000C00CF" w:rsidRDefault="0062660D" w:rsidP="00E002E6">
      <w:pPr>
        <w:autoSpaceDE/>
        <w:autoSpaceDN/>
        <w:adjustRightInd/>
        <w:spacing w:after="0"/>
        <w:jc w:val="left"/>
        <w:rPr>
          <w:rFonts w:eastAsia="Times New Roman" w:cs="Times New Roman"/>
          <w:color w:val="auto"/>
          <w:szCs w:val="20"/>
          <w:lang w:eastAsia="en-GB"/>
        </w:rPr>
      </w:pPr>
    </w:p>
    <w:p w:rsidR="00B80673" w:rsidRPr="00E002E6" w:rsidRDefault="0062660D" w:rsidP="00E002E6">
      <w:pPr>
        <w:autoSpaceDE/>
        <w:autoSpaceDN/>
        <w:adjustRightInd/>
        <w:spacing w:after="0"/>
        <w:jc w:val="left"/>
        <w:rPr>
          <w:rFonts w:eastAsia="Times New Roman" w:cs="Times New Roman"/>
          <w:color w:val="auto"/>
          <w:sz w:val="22"/>
          <w:szCs w:val="22"/>
          <w:lang w:eastAsia="en-GB"/>
        </w:rPr>
      </w:pPr>
    </w:p>
    <w:p w:rsidR="00B96641" w:rsidRPr="000163A4" w:rsidRDefault="0062660D" w:rsidP="000163A4">
      <w:pPr>
        <w:spacing w:after="0"/>
        <w:jc w:val="left"/>
        <w:rPr>
          <w:rFonts w:ascii="ArialMT" w:eastAsia="Times New Roman" w:hAnsi="ArialMT" w:cs="ArialMT"/>
          <w:color w:val="auto"/>
          <w:lang w:eastAsia="en-GB"/>
        </w:rPr>
      </w:pPr>
    </w:p>
    <w:p w:rsidR="000163A4" w:rsidRPr="000163A4" w:rsidRDefault="0062660D" w:rsidP="000163A4">
      <w:pPr>
        <w:spacing w:after="0"/>
        <w:jc w:val="left"/>
        <w:rPr>
          <w:rFonts w:ascii="ArialMT" w:eastAsia="Times New Roman" w:hAnsi="ArialMT" w:cs="ArialMT"/>
          <w:color w:val="auto"/>
          <w:lang w:eastAsia="en-GB"/>
        </w:rPr>
      </w:pPr>
    </w:p>
    <w:p w:rsidR="00E002E6" w:rsidRDefault="0062660D" w:rsidP="00E002E6">
      <w:pPr>
        <w:autoSpaceDE/>
        <w:autoSpaceDN/>
        <w:adjustRightInd/>
        <w:spacing w:after="0"/>
        <w:ind w:left="360"/>
        <w:jc w:val="left"/>
        <w:rPr>
          <w:rFonts w:eastAsia="Times New Roman" w:cs="Times New Roman"/>
          <w:b/>
          <w:color w:val="auto"/>
          <w:sz w:val="28"/>
          <w:szCs w:val="28"/>
          <w:lang w:eastAsia="en-GB"/>
        </w:rPr>
      </w:pPr>
    </w:p>
    <w:p w:rsidR="00DB04AF" w:rsidRDefault="0062660D" w:rsidP="00E002E6">
      <w:pPr>
        <w:autoSpaceDE/>
        <w:autoSpaceDN/>
        <w:adjustRightInd/>
        <w:spacing w:after="0"/>
        <w:ind w:left="360"/>
        <w:jc w:val="left"/>
        <w:rPr>
          <w:rFonts w:eastAsia="Times New Roman" w:cs="Times New Roman"/>
          <w:b/>
          <w:color w:val="auto"/>
          <w:sz w:val="28"/>
          <w:szCs w:val="28"/>
          <w:lang w:eastAsia="en-GB"/>
        </w:rPr>
      </w:pPr>
    </w:p>
    <w:tbl>
      <w:tblPr>
        <w:tblW w:w="907" w:type="dxa"/>
        <w:tblInd w:w="392" w:type="dxa"/>
        <w:tblLook w:val="04A0" w:firstRow="1" w:lastRow="0" w:firstColumn="1" w:lastColumn="0" w:noHBand="0" w:noVBand="1"/>
      </w:tblPr>
      <w:tblGrid>
        <w:gridCol w:w="907"/>
      </w:tblGrid>
      <w:tr w:rsidR="006A2C17" w:rsidTr="00AE50C5">
        <w:trPr>
          <w:trHeight w:val="454"/>
        </w:trPr>
        <w:tc>
          <w:tcPr>
            <w:tcW w:w="907" w:type="dxa"/>
            <w:tcBorders>
              <w:top w:val="nil"/>
              <w:left w:val="nil"/>
              <w:bottom w:val="nil"/>
              <w:right w:val="nil"/>
            </w:tcBorders>
            <w:shd w:val="clear" w:color="auto" w:fill="auto"/>
            <w:noWrap/>
            <w:vAlign w:val="center"/>
          </w:tcPr>
          <w:p w:rsidR="00AE50C5" w:rsidRDefault="0062660D" w:rsidP="00DB04AF">
            <w:pPr>
              <w:autoSpaceDE/>
              <w:autoSpaceDN/>
              <w:adjustRightInd/>
              <w:spacing w:after="0"/>
              <w:jc w:val="center"/>
              <w:rPr>
                <w:rFonts w:eastAsia="Times New Roman" w:cs="Arial"/>
                <w:color w:val="auto"/>
                <w:lang w:eastAsia="en-GB"/>
              </w:rPr>
            </w:pPr>
          </w:p>
          <w:p w:rsidR="00AE50C5" w:rsidRDefault="0062660D" w:rsidP="00DB04AF">
            <w:pPr>
              <w:autoSpaceDE/>
              <w:autoSpaceDN/>
              <w:adjustRightInd/>
              <w:spacing w:after="0"/>
              <w:jc w:val="center"/>
              <w:rPr>
                <w:rFonts w:eastAsia="Times New Roman" w:cs="Arial"/>
                <w:color w:val="auto"/>
                <w:lang w:eastAsia="en-GB"/>
              </w:rPr>
            </w:pPr>
          </w:p>
          <w:p w:rsidR="00AE50C5" w:rsidRDefault="0062660D" w:rsidP="00DB04AF">
            <w:pPr>
              <w:autoSpaceDE/>
              <w:autoSpaceDN/>
              <w:adjustRightInd/>
              <w:spacing w:after="0"/>
              <w:jc w:val="center"/>
              <w:rPr>
                <w:rFonts w:eastAsia="Times New Roman" w:cs="Arial"/>
                <w:color w:val="auto"/>
                <w:lang w:eastAsia="en-GB"/>
              </w:rPr>
            </w:pPr>
          </w:p>
          <w:p w:rsidR="00AE50C5" w:rsidRDefault="0062660D" w:rsidP="00DB04AF">
            <w:pPr>
              <w:autoSpaceDE/>
              <w:autoSpaceDN/>
              <w:adjustRightInd/>
              <w:spacing w:after="0"/>
              <w:jc w:val="center"/>
              <w:rPr>
                <w:rFonts w:eastAsia="Times New Roman" w:cs="Arial"/>
                <w:color w:val="auto"/>
                <w:lang w:eastAsia="en-GB"/>
              </w:rPr>
            </w:pPr>
          </w:p>
          <w:p w:rsidR="00AE50C5" w:rsidRDefault="0062660D" w:rsidP="00DB04AF">
            <w:pPr>
              <w:autoSpaceDE/>
              <w:autoSpaceDN/>
              <w:adjustRightInd/>
              <w:spacing w:after="0"/>
              <w:jc w:val="center"/>
              <w:rPr>
                <w:rFonts w:eastAsia="Times New Roman" w:cs="Arial"/>
                <w:color w:val="auto"/>
                <w:lang w:eastAsia="en-GB"/>
              </w:rPr>
            </w:pPr>
          </w:p>
          <w:p w:rsidR="00AE50C5" w:rsidRDefault="0062660D" w:rsidP="00DB04AF">
            <w:pPr>
              <w:autoSpaceDE/>
              <w:autoSpaceDN/>
              <w:adjustRightInd/>
              <w:spacing w:after="0"/>
              <w:jc w:val="center"/>
              <w:rPr>
                <w:rFonts w:eastAsia="Times New Roman" w:cs="Arial"/>
                <w:color w:val="auto"/>
                <w:lang w:eastAsia="en-GB"/>
              </w:rPr>
            </w:pPr>
          </w:p>
          <w:p w:rsidR="00AE50C5" w:rsidRDefault="0062660D" w:rsidP="00DB04AF">
            <w:pPr>
              <w:autoSpaceDE/>
              <w:autoSpaceDN/>
              <w:adjustRightInd/>
              <w:spacing w:after="0"/>
              <w:jc w:val="center"/>
              <w:rPr>
                <w:rFonts w:eastAsia="Times New Roman" w:cs="Arial"/>
                <w:color w:val="auto"/>
                <w:lang w:eastAsia="en-GB"/>
              </w:rPr>
            </w:pPr>
          </w:p>
          <w:p w:rsidR="00AE50C5" w:rsidRDefault="0062660D" w:rsidP="00DB04AF">
            <w:pPr>
              <w:autoSpaceDE/>
              <w:autoSpaceDN/>
              <w:adjustRightInd/>
              <w:spacing w:after="0"/>
              <w:jc w:val="center"/>
              <w:rPr>
                <w:rFonts w:eastAsia="Times New Roman" w:cs="Arial"/>
                <w:color w:val="auto"/>
                <w:lang w:eastAsia="en-GB"/>
              </w:rPr>
            </w:pPr>
          </w:p>
          <w:p w:rsidR="00AE50C5" w:rsidRDefault="0062660D" w:rsidP="00DB04AF">
            <w:pPr>
              <w:autoSpaceDE/>
              <w:autoSpaceDN/>
              <w:adjustRightInd/>
              <w:spacing w:after="0"/>
              <w:jc w:val="center"/>
              <w:rPr>
                <w:rFonts w:eastAsia="Times New Roman" w:cs="Arial"/>
                <w:color w:val="auto"/>
                <w:lang w:eastAsia="en-GB"/>
              </w:rPr>
            </w:pPr>
          </w:p>
          <w:p w:rsidR="00AE50C5" w:rsidRDefault="0062660D" w:rsidP="00DB04AF">
            <w:pPr>
              <w:autoSpaceDE/>
              <w:autoSpaceDN/>
              <w:adjustRightInd/>
              <w:spacing w:after="0"/>
              <w:jc w:val="center"/>
              <w:rPr>
                <w:rFonts w:eastAsia="Times New Roman" w:cs="Arial"/>
                <w:color w:val="auto"/>
                <w:lang w:eastAsia="en-GB"/>
              </w:rPr>
            </w:pPr>
          </w:p>
          <w:p w:rsidR="00AE50C5" w:rsidRDefault="0062660D" w:rsidP="00DB04AF">
            <w:pPr>
              <w:autoSpaceDE/>
              <w:autoSpaceDN/>
              <w:adjustRightInd/>
              <w:spacing w:after="0"/>
              <w:jc w:val="center"/>
              <w:rPr>
                <w:rFonts w:eastAsia="Times New Roman" w:cs="Arial"/>
                <w:color w:val="auto"/>
                <w:lang w:eastAsia="en-GB"/>
              </w:rPr>
            </w:pPr>
          </w:p>
          <w:p w:rsidR="00AE50C5" w:rsidRDefault="0062660D" w:rsidP="00DB04AF">
            <w:pPr>
              <w:autoSpaceDE/>
              <w:autoSpaceDN/>
              <w:adjustRightInd/>
              <w:spacing w:after="0"/>
              <w:jc w:val="center"/>
              <w:rPr>
                <w:rFonts w:eastAsia="Times New Roman" w:cs="Arial"/>
                <w:color w:val="auto"/>
                <w:lang w:eastAsia="en-GB"/>
              </w:rPr>
            </w:pPr>
          </w:p>
          <w:p w:rsidR="00AE50C5" w:rsidRPr="00F477E0" w:rsidRDefault="0062660D" w:rsidP="00DB04AF">
            <w:pPr>
              <w:autoSpaceDE/>
              <w:autoSpaceDN/>
              <w:adjustRightInd/>
              <w:spacing w:after="0"/>
              <w:jc w:val="center"/>
              <w:rPr>
                <w:rFonts w:eastAsia="Times New Roman" w:cs="Arial"/>
                <w:color w:val="auto"/>
                <w:lang w:eastAsia="en-GB"/>
              </w:rPr>
            </w:pPr>
          </w:p>
        </w:tc>
      </w:tr>
      <w:tr w:rsidR="006A2C17" w:rsidTr="00AE50C5">
        <w:trPr>
          <w:trHeight w:val="454"/>
        </w:trPr>
        <w:tc>
          <w:tcPr>
            <w:tcW w:w="907" w:type="dxa"/>
            <w:tcBorders>
              <w:top w:val="nil"/>
              <w:left w:val="nil"/>
              <w:bottom w:val="nil"/>
              <w:right w:val="nil"/>
            </w:tcBorders>
            <w:shd w:val="clear" w:color="auto" w:fill="auto"/>
            <w:noWrap/>
            <w:vAlign w:val="center"/>
          </w:tcPr>
          <w:p w:rsidR="00AE50C5" w:rsidRPr="00F477E0" w:rsidRDefault="0062660D" w:rsidP="00DB04AF">
            <w:pPr>
              <w:autoSpaceDE/>
              <w:autoSpaceDN/>
              <w:adjustRightInd/>
              <w:spacing w:after="0"/>
              <w:jc w:val="center"/>
              <w:rPr>
                <w:rFonts w:eastAsia="Times New Roman" w:cs="Arial"/>
                <w:color w:val="auto"/>
                <w:lang w:eastAsia="en-GB"/>
              </w:rPr>
            </w:pPr>
          </w:p>
        </w:tc>
      </w:tr>
    </w:tbl>
    <w:p w:rsidR="007D5F84" w:rsidRDefault="0062660D" w:rsidP="007D5F84">
      <w:pPr>
        <w:pStyle w:val="ListParagraph"/>
        <w:numPr>
          <w:ilvl w:val="0"/>
          <w:numId w:val="15"/>
        </w:numPr>
        <w:spacing w:after="0"/>
        <w:rPr>
          <w:b/>
          <w:sz w:val="40"/>
          <w:szCs w:val="40"/>
        </w:rPr>
      </w:pPr>
      <w:r>
        <w:rPr>
          <w:b/>
          <w:sz w:val="40"/>
          <w:szCs w:val="40"/>
        </w:rPr>
        <w:t xml:space="preserve">Lancashire Local Pension Board </w:t>
      </w:r>
    </w:p>
    <w:p w:rsidR="00DB04AF" w:rsidRDefault="0062660D" w:rsidP="007D5F84">
      <w:pPr>
        <w:spacing w:after="0"/>
        <w:ind w:firstLine="720"/>
        <w:rPr>
          <w:b/>
          <w:sz w:val="40"/>
          <w:szCs w:val="40"/>
        </w:rPr>
      </w:pPr>
      <w:r w:rsidRPr="007D5F84">
        <w:rPr>
          <w:b/>
          <w:sz w:val="40"/>
          <w:szCs w:val="40"/>
        </w:rPr>
        <w:t>Annual Report</w:t>
      </w:r>
      <w:r>
        <w:rPr>
          <w:b/>
          <w:sz w:val="40"/>
          <w:szCs w:val="40"/>
        </w:rPr>
        <w:t xml:space="preserve"> -</w:t>
      </w:r>
      <w:r w:rsidRPr="007D5F84">
        <w:rPr>
          <w:b/>
          <w:sz w:val="40"/>
          <w:szCs w:val="40"/>
        </w:rPr>
        <w:t xml:space="preserve"> </w:t>
      </w:r>
      <w:r w:rsidRPr="007D5F84">
        <w:rPr>
          <w:b/>
          <w:sz w:val="40"/>
          <w:szCs w:val="40"/>
        </w:rPr>
        <w:t>2015/16</w:t>
      </w:r>
    </w:p>
    <w:p w:rsidR="007D5F84" w:rsidRDefault="0062660D" w:rsidP="007D5F84">
      <w:pPr>
        <w:spacing w:after="0"/>
        <w:ind w:firstLine="720"/>
        <w:rPr>
          <w:b/>
          <w:sz w:val="40"/>
          <w:szCs w:val="40"/>
        </w:rPr>
      </w:pPr>
    </w:p>
    <w:p w:rsidR="00BE272A" w:rsidRPr="003A72BD" w:rsidRDefault="0062660D" w:rsidP="00BE272A">
      <w:pPr>
        <w:spacing w:after="0"/>
        <w:ind w:left="360"/>
        <w:rPr>
          <w:rFonts w:cs="Arial"/>
        </w:rPr>
      </w:pPr>
      <w:r w:rsidRPr="003A72BD">
        <w:rPr>
          <w:rFonts w:cs="Arial"/>
        </w:rPr>
        <w:t xml:space="preserve">The Lancashire County Pension Fund’s Local Pension Board was set up as a result of the 2013 Pensions Act, which obliged all public sector pension schemes to set up </w:t>
      </w:r>
      <w:r w:rsidRPr="003A72BD">
        <w:rPr>
          <w:rFonts w:cs="Arial"/>
        </w:rPr>
        <w:t>representative local pension boards by 1 April 2015</w:t>
      </w:r>
      <w:r>
        <w:rPr>
          <w:rFonts w:cs="Arial"/>
        </w:rPr>
        <w:t xml:space="preserve">. </w:t>
      </w:r>
      <w:r w:rsidRPr="003A72BD">
        <w:rPr>
          <w:rFonts w:cs="Arial"/>
        </w:rPr>
        <w:t>The formal remit of all local pension boards</w:t>
      </w:r>
      <w:r>
        <w:rPr>
          <w:rFonts w:cs="Arial"/>
        </w:rPr>
        <w:t>,</w:t>
      </w:r>
      <w:r w:rsidRPr="003A72BD">
        <w:rPr>
          <w:rFonts w:cs="Arial"/>
        </w:rPr>
        <w:t xml:space="preserve"> including this one</w:t>
      </w:r>
      <w:r>
        <w:rPr>
          <w:rFonts w:cs="Arial"/>
        </w:rPr>
        <w:t>,</w:t>
      </w:r>
      <w:r w:rsidRPr="003A72BD">
        <w:rPr>
          <w:rFonts w:cs="Arial"/>
        </w:rPr>
        <w:t xml:space="preserve"> is first to secure compliance with all regulations and legislation, and secondly to ensure the effective and efficient governance and adm</w:t>
      </w:r>
      <w:r w:rsidRPr="003A72BD">
        <w:rPr>
          <w:rFonts w:cs="Arial"/>
        </w:rPr>
        <w:t>inistration of the scheme.</w:t>
      </w:r>
      <w:r>
        <w:rPr>
          <w:rFonts w:cs="Arial"/>
        </w:rPr>
        <w:t xml:space="preserve"> </w:t>
      </w:r>
      <w:r w:rsidRPr="003A72BD">
        <w:rPr>
          <w:rFonts w:cs="Arial"/>
        </w:rPr>
        <w:t xml:space="preserve">A further factor behind the establishment of local pension boards was the perceived need for Members and Employers to have some voice within the management of public sector pension schemes.   </w:t>
      </w:r>
    </w:p>
    <w:p w:rsidR="00BE272A" w:rsidRDefault="0062660D" w:rsidP="00BE272A">
      <w:pPr>
        <w:spacing w:after="0"/>
        <w:ind w:left="360"/>
        <w:rPr>
          <w:rFonts w:cs="Arial"/>
        </w:rPr>
      </w:pPr>
    </w:p>
    <w:p w:rsidR="00BE272A" w:rsidRDefault="0062660D" w:rsidP="00BE272A">
      <w:pPr>
        <w:spacing w:after="0"/>
        <w:ind w:left="360"/>
        <w:rPr>
          <w:rFonts w:cs="Arial"/>
        </w:rPr>
      </w:pPr>
      <w:r w:rsidRPr="003A72BD">
        <w:rPr>
          <w:rFonts w:cs="Arial"/>
        </w:rPr>
        <w:t>I was appointed as Independent Chai</w:t>
      </w:r>
      <w:r w:rsidRPr="003A72BD">
        <w:rPr>
          <w:rFonts w:cs="Arial"/>
        </w:rPr>
        <w:t xml:space="preserve">r following a public procurement exercise conducted jointly with the </w:t>
      </w:r>
      <w:r>
        <w:rPr>
          <w:rFonts w:cs="Arial"/>
        </w:rPr>
        <w:t>London Pensions Fund Authority (</w:t>
      </w:r>
      <w:r w:rsidRPr="003A72BD">
        <w:rPr>
          <w:rFonts w:cs="Arial"/>
        </w:rPr>
        <w:t>LPFA</w:t>
      </w:r>
      <w:r>
        <w:rPr>
          <w:rFonts w:cs="Arial"/>
        </w:rPr>
        <w:t xml:space="preserve">). </w:t>
      </w:r>
      <w:r w:rsidRPr="003A72BD">
        <w:rPr>
          <w:rFonts w:cs="Arial"/>
        </w:rPr>
        <w:t>Four Board members representing Employers were appointed and four representing</w:t>
      </w:r>
      <w:r>
        <w:rPr>
          <w:rFonts w:cs="Arial"/>
        </w:rPr>
        <w:t xml:space="preserve"> Scheme</w:t>
      </w:r>
      <w:r w:rsidRPr="003A72BD">
        <w:rPr>
          <w:rFonts w:cs="Arial"/>
        </w:rPr>
        <w:t xml:space="preserve"> Members, two Active, one Deferred, and one Pensioner, were then chosen through a public election process </w:t>
      </w:r>
      <w:r>
        <w:rPr>
          <w:rFonts w:cs="Arial"/>
        </w:rPr>
        <w:t xml:space="preserve">from a total </w:t>
      </w:r>
      <w:r w:rsidRPr="003A72BD">
        <w:rPr>
          <w:rFonts w:cs="Arial"/>
        </w:rPr>
        <w:t>of 15 candidates with a turnout of over 10,000, or 9% of the membership.</w:t>
      </w:r>
      <w:r>
        <w:rPr>
          <w:rFonts w:cs="Arial"/>
        </w:rPr>
        <w:t xml:space="preserve"> </w:t>
      </w:r>
      <w:r w:rsidRPr="003A72BD">
        <w:rPr>
          <w:rFonts w:cs="Arial"/>
        </w:rPr>
        <w:t>The Chair holds office for two years with a two year extension b</w:t>
      </w:r>
      <w:r w:rsidRPr="003A72BD">
        <w:rPr>
          <w:rFonts w:cs="Arial"/>
        </w:rPr>
        <w:t xml:space="preserve">y mutual agreement, members for a term of four years, and no member may serve more than two terms. </w:t>
      </w:r>
    </w:p>
    <w:p w:rsidR="00BE272A" w:rsidRPr="003A72BD" w:rsidRDefault="0062660D" w:rsidP="00BE272A">
      <w:pPr>
        <w:spacing w:after="0"/>
        <w:ind w:left="360"/>
        <w:rPr>
          <w:rFonts w:cs="Arial"/>
        </w:rPr>
      </w:pPr>
      <w:r w:rsidRPr="003A72BD">
        <w:rPr>
          <w:rFonts w:cs="Arial"/>
        </w:rPr>
        <w:t xml:space="preserve">  </w:t>
      </w:r>
    </w:p>
    <w:p w:rsidR="00BE272A" w:rsidRDefault="0062660D" w:rsidP="00BE272A">
      <w:pPr>
        <w:ind w:left="360"/>
        <w:rPr>
          <w:rFonts w:cs="Arial"/>
        </w:rPr>
      </w:pPr>
      <w:r w:rsidRPr="003A72BD">
        <w:rPr>
          <w:rFonts w:cs="Arial"/>
        </w:rPr>
        <w:t>Under the Government’s legislation, Local Pension Boards have no executiv</w:t>
      </w:r>
      <w:r>
        <w:rPr>
          <w:rFonts w:cs="Arial"/>
        </w:rPr>
        <w:t xml:space="preserve">e power. </w:t>
      </w:r>
      <w:r w:rsidRPr="003A72BD">
        <w:rPr>
          <w:rFonts w:cs="Arial"/>
        </w:rPr>
        <w:t xml:space="preserve">We can scrutinise compliance with regulations and call Officers or the </w:t>
      </w:r>
      <w:r w:rsidRPr="003A72BD">
        <w:rPr>
          <w:rFonts w:cs="Arial"/>
        </w:rPr>
        <w:t xml:space="preserve">Lancashire Pension Fund Committee to account, but we are not a decision-making body.  We also have a duty to report material breaches to The Pensions Regulator, and as such the Board has adopted </w:t>
      </w:r>
      <w:r>
        <w:rPr>
          <w:rFonts w:cs="Arial"/>
        </w:rPr>
        <w:t xml:space="preserve">a </w:t>
      </w:r>
      <w:r w:rsidRPr="003A72BD">
        <w:rPr>
          <w:rFonts w:cs="Arial"/>
        </w:rPr>
        <w:t>policy and procedure to enable us to do so if necessary.</w:t>
      </w:r>
      <w:r>
        <w:rPr>
          <w:rFonts w:cs="Arial"/>
        </w:rPr>
        <w:t xml:space="preserve"> </w:t>
      </w:r>
      <w:r w:rsidRPr="003A72BD">
        <w:rPr>
          <w:rFonts w:cs="Arial"/>
        </w:rPr>
        <w:t>As</w:t>
      </w:r>
      <w:r w:rsidRPr="003A72BD">
        <w:rPr>
          <w:rFonts w:cs="Arial"/>
        </w:rPr>
        <w:t xml:space="preserve"> we only meet a limited number of times a year, we have chosen to perform as much of the scrutinising function </w:t>
      </w:r>
      <w:r>
        <w:rPr>
          <w:rFonts w:cs="Arial"/>
        </w:rPr>
        <w:t xml:space="preserve">as possible outside meetings.  </w:t>
      </w:r>
      <w:r w:rsidRPr="003A72BD">
        <w:rPr>
          <w:rFonts w:cs="Arial"/>
        </w:rPr>
        <w:t xml:space="preserve">We can then focus our discussions on offering robust challenge to the Pension </w:t>
      </w:r>
      <w:r>
        <w:rPr>
          <w:rFonts w:cs="Arial"/>
        </w:rPr>
        <w:t xml:space="preserve">Fund </w:t>
      </w:r>
      <w:r w:rsidRPr="003A72BD">
        <w:rPr>
          <w:rFonts w:cs="Arial"/>
        </w:rPr>
        <w:t>Committee’s decision-making pro</w:t>
      </w:r>
      <w:r w:rsidRPr="003A72BD">
        <w:rPr>
          <w:rFonts w:cs="Arial"/>
        </w:rPr>
        <w:t>cesses and providing Member and Employers perspectives which might not otherwise be available</w:t>
      </w:r>
      <w:r>
        <w:rPr>
          <w:rFonts w:cs="Arial"/>
        </w:rPr>
        <w:t xml:space="preserve">. </w:t>
      </w:r>
      <w:r w:rsidRPr="003A72BD">
        <w:rPr>
          <w:rFonts w:cs="Arial"/>
        </w:rPr>
        <w:t>The Board has met four times in the year under review, (2015/16) and communicates via email between meetings.</w:t>
      </w:r>
      <w:r>
        <w:rPr>
          <w:rFonts w:cs="Arial"/>
        </w:rPr>
        <w:t xml:space="preserve"> </w:t>
      </w:r>
      <w:r w:rsidRPr="003A72BD">
        <w:rPr>
          <w:rFonts w:cs="Arial"/>
        </w:rPr>
        <w:t xml:space="preserve">Table 1 </w:t>
      </w:r>
      <w:r>
        <w:rPr>
          <w:rFonts w:cs="Arial"/>
        </w:rPr>
        <w:t xml:space="preserve">below </w:t>
      </w:r>
      <w:r w:rsidRPr="003A72BD">
        <w:rPr>
          <w:rFonts w:cs="Arial"/>
        </w:rPr>
        <w:t xml:space="preserve">shows the </w:t>
      </w:r>
      <w:r>
        <w:rPr>
          <w:rFonts w:cs="Arial"/>
        </w:rPr>
        <w:t xml:space="preserve">four </w:t>
      </w:r>
      <w:r w:rsidRPr="003A72BD">
        <w:rPr>
          <w:rFonts w:cs="Arial"/>
        </w:rPr>
        <w:t>meetings held in 2015/</w:t>
      </w:r>
      <w:r w:rsidRPr="003A72BD">
        <w:rPr>
          <w:rFonts w:cs="Arial"/>
        </w:rPr>
        <w:t>16</w:t>
      </w:r>
      <w:r>
        <w:rPr>
          <w:rFonts w:cs="Arial"/>
        </w:rPr>
        <w:t xml:space="preserve"> and the attendance record of each Board Member</w:t>
      </w:r>
      <w:r w:rsidRPr="003A72BD">
        <w:rPr>
          <w:rFonts w:cs="Arial"/>
        </w:rPr>
        <w:t>.</w:t>
      </w:r>
    </w:p>
    <w:p w:rsidR="00BE272A" w:rsidRDefault="0062660D" w:rsidP="00BE272A">
      <w:pPr>
        <w:ind w:left="360"/>
        <w:rPr>
          <w:rFonts w:cs="Arial"/>
        </w:rPr>
      </w:pPr>
    </w:p>
    <w:tbl>
      <w:tblPr>
        <w:tblStyle w:val="TableGrid"/>
        <w:tblW w:w="0" w:type="auto"/>
        <w:tblInd w:w="360" w:type="dxa"/>
        <w:tblLook w:val="04A0" w:firstRow="1" w:lastRow="0" w:firstColumn="1" w:lastColumn="0" w:noHBand="0" w:noVBand="1"/>
      </w:tblPr>
      <w:tblGrid>
        <w:gridCol w:w="1631"/>
        <w:gridCol w:w="1750"/>
        <w:gridCol w:w="1081"/>
        <w:gridCol w:w="1428"/>
        <w:gridCol w:w="1525"/>
        <w:gridCol w:w="1241"/>
      </w:tblGrid>
      <w:tr w:rsidR="006A2C17" w:rsidTr="00541701">
        <w:tc>
          <w:tcPr>
            <w:tcW w:w="1631" w:type="dxa"/>
          </w:tcPr>
          <w:p w:rsidR="00BE272A" w:rsidRPr="00AB0A99" w:rsidRDefault="0062660D" w:rsidP="00541701">
            <w:pPr>
              <w:jc w:val="center"/>
              <w:rPr>
                <w:rFonts w:cs="Arial"/>
                <w:b/>
              </w:rPr>
            </w:pPr>
            <w:r w:rsidRPr="00AB0A99">
              <w:rPr>
                <w:rFonts w:cs="Arial"/>
                <w:b/>
              </w:rPr>
              <w:t>Board Member</w:t>
            </w:r>
          </w:p>
        </w:tc>
        <w:tc>
          <w:tcPr>
            <w:tcW w:w="1750" w:type="dxa"/>
          </w:tcPr>
          <w:p w:rsidR="00BE272A" w:rsidRPr="00AB0A99" w:rsidRDefault="0062660D" w:rsidP="00541701">
            <w:pPr>
              <w:jc w:val="center"/>
              <w:rPr>
                <w:rFonts w:cs="Arial"/>
                <w:b/>
              </w:rPr>
            </w:pPr>
            <w:r w:rsidRPr="00AB0A99">
              <w:rPr>
                <w:rFonts w:cs="Arial"/>
                <w:b/>
              </w:rPr>
              <w:t>Representing</w:t>
            </w:r>
          </w:p>
        </w:tc>
        <w:tc>
          <w:tcPr>
            <w:tcW w:w="1081" w:type="dxa"/>
          </w:tcPr>
          <w:p w:rsidR="00BE272A" w:rsidRDefault="0062660D" w:rsidP="00541701">
            <w:pPr>
              <w:jc w:val="center"/>
              <w:rPr>
                <w:rFonts w:cs="Arial"/>
                <w:b/>
              </w:rPr>
            </w:pPr>
            <w:r w:rsidRPr="00AB0A99">
              <w:rPr>
                <w:rFonts w:cs="Arial"/>
                <w:b/>
              </w:rPr>
              <w:t>8 July</w:t>
            </w:r>
          </w:p>
          <w:p w:rsidR="00BE272A" w:rsidRPr="00AB0A99" w:rsidRDefault="0062660D" w:rsidP="00541701">
            <w:pPr>
              <w:jc w:val="center"/>
              <w:rPr>
                <w:rFonts w:cs="Arial"/>
                <w:b/>
              </w:rPr>
            </w:pPr>
            <w:r w:rsidRPr="00AB0A99">
              <w:rPr>
                <w:rFonts w:cs="Arial"/>
                <w:b/>
              </w:rPr>
              <w:t xml:space="preserve"> 2015</w:t>
            </w:r>
          </w:p>
        </w:tc>
        <w:tc>
          <w:tcPr>
            <w:tcW w:w="1428" w:type="dxa"/>
          </w:tcPr>
          <w:p w:rsidR="00BE272A" w:rsidRPr="00AB0A99" w:rsidRDefault="0062660D" w:rsidP="00541701">
            <w:pPr>
              <w:jc w:val="center"/>
              <w:rPr>
                <w:rFonts w:cs="Arial"/>
                <w:b/>
              </w:rPr>
            </w:pPr>
            <w:r w:rsidRPr="00AB0A99">
              <w:rPr>
                <w:rFonts w:cs="Arial"/>
                <w:b/>
              </w:rPr>
              <w:t>19 October 2015</w:t>
            </w:r>
          </w:p>
        </w:tc>
        <w:tc>
          <w:tcPr>
            <w:tcW w:w="1525" w:type="dxa"/>
          </w:tcPr>
          <w:p w:rsidR="00BE272A" w:rsidRPr="00AB0A99" w:rsidRDefault="0062660D" w:rsidP="00541701">
            <w:pPr>
              <w:jc w:val="center"/>
              <w:rPr>
                <w:rFonts w:cs="Arial"/>
                <w:b/>
              </w:rPr>
            </w:pPr>
            <w:r w:rsidRPr="00AB0A99">
              <w:rPr>
                <w:rFonts w:cs="Arial"/>
                <w:b/>
              </w:rPr>
              <w:t>18 January 2016</w:t>
            </w:r>
          </w:p>
        </w:tc>
        <w:tc>
          <w:tcPr>
            <w:tcW w:w="1241" w:type="dxa"/>
          </w:tcPr>
          <w:p w:rsidR="00BE272A" w:rsidRDefault="0062660D" w:rsidP="00541701">
            <w:pPr>
              <w:jc w:val="center"/>
              <w:rPr>
                <w:rFonts w:cs="Arial"/>
                <w:b/>
              </w:rPr>
            </w:pPr>
            <w:r>
              <w:rPr>
                <w:rFonts w:cs="Arial"/>
                <w:b/>
              </w:rPr>
              <w:t>11 April</w:t>
            </w:r>
          </w:p>
          <w:p w:rsidR="00BE272A" w:rsidRPr="00AB0A99" w:rsidRDefault="0062660D" w:rsidP="00541701">
            <w:pPr>
              <w:jc w:val="center"/>
              <w:rPr>
                <w:rFonts w:cs="Arial"/>
                <w:b/>
              </w:rPr>
            </w:pPr>
            <w:r>
              <w:rPr>
                <w:rFonts w:cs="Arial"/>
                <w:b/>
              </w:rPr>
              <w:t>2016</w:t>
            </w:r>
          </w:p>
        </w:tc>
      </w:tr>
      <w:tr w:rsidR="006A2C17" w:rsidTr="00541701">
        <w:tc>
          <w:tcPr>
            <w:tcW w:w="1631" w:type="dxa"/>
          </w:tcPr>
          <w:p w:rsidR="00BE272A" w:rsidRDefault="0062660D" w:rsidP="00541701">
            <w:pPr>
              <w:rPr>
                <w:rFonts w:cs="Arial"/>
              </w:rPr>
            </w:pPr>
            <w:r>
              <w:rPr>
                <w:rFonts w:cs="Arial"/>
              </w:rPr>
              <w:t>William Bourne</w:t>
            </w:r>
          </w:p>
        </w:tc>
        <w:tc>
          <w:tcPr>
            <w:tcW w:w="1750" w:type="dxa"/>
          </w:tcPr>
          <w:p w:rsidR="00BE272A" w:rsidRDefault="0062660D" w:rsidP="00541701">
            <w:pPr>
              <w:rPr>
                <w:rFonts w:cs="Arial"/>
              </w:rPr>
            </w:pPr>
            <w:r>
              <w:rPr>
                <w:rFonts w:cs="Arial"/>
              </w:rPr>
              <w:t>Independent Chair</w:t>
            </w:r>
          </w:p>
        </w:tc>
        <w:tc>
          <w:tcPr>
            <w:tcW w:w="1081" w:type="dxa"/>
          </w:tcPr>
          <w:p w:rsidR="00BE272A" w:rsidRDefault="0062660D" w:rsidP="00541701">
            <w:pPr>
              <w:jc w:val="center"/>
              <w:rPr>
                <w:rFonts w:cs="Arial"/>
              </w:rPr>
            </w:pPr>
            <w:r>
              <w:rPr>
                <w:rFonts w:cs="Arial"/>
              </w:rPr>
              <w:t>√</w:t>
            </w:r>
          </w:p>
        </w:tc>
        <w:tc>
          <w:tcPr>
            <w:tcW w:w="1428" w:type="dxa"/>
          </w:tcPr>
          <w:p w:rsidR="00BE272A" w:rsidRDefault="0062660D" w:rsidP="00541701">
            <w:pPr>
              <w:jc w:val="center"/>
              <w:rPr>
                <w:rFonts w:cs="Arial"/>
              </w:rPr>
            </w:pPr>
            <w:r>
              <w:rPr>
                <w:rFonts w:cs="Arial"/>
              </w:rPr>
              <w:t>√</w:t>
            </w:r>
          </w:p>
        </w:tc>
        <w:tc>
          <w:tcPr>
            <w:tcW w:w="1525" w:type="dxa"/>
          </w:tcPr>
          <w:p w:rsidR="00BE272A" w:rsidRDefault="0062660D" w:rsidP="00541701">
            <w:pPr>
              <w:jc w:val="center"/>
              <w:rPr>
                <w:rFonts w:cs="Arial"/>
              </w:rPr>
            </w:pPr>
            <w:r>
              <w:rPr>
                <w:rFonts w:cs="Arial"/>
              </w:rPr>
              <w:t>√</w:t>
            </w:r>
          </w:p>
        </w:tc>
        <w:tc>
          <w:tcPr>
            <w:tcW w:w="1241" w:type="dxa"/>
          </w:tcPr>
          <w:p w:rsidR="00BE272A" w:rsidRDefault="0062660D" w:rsidP="00541701">
            <w:pPr>
              <w:jc w:val="center"/>
              <w:rPr>
                <w:rFonts w:cs="Arial"/>
              </w:rPr>
            </w:pPr>
            <w:r>
              <w:rPr>
                <w:rFonts w:cs="Arial"/>
              </w:rPr>
              <w:t>√</w:t>
            </w:r>
          </w:p>
        </w:tc>
      </w:tr>
      <w:tr w:rsidR="006A2C17" w:rsidTr="00541701">
        <w:tc>
          <w:tcPr>
            <w:tcW w:w="1631" w:type="dxa"/>
          </w:tcPr>
          <w:p w:rsidR="00BE272A" w:rsidRDefault="0062660D" w:rsidP="00541701">
            <w:pPr>
              <w:rPr>
                <w:rFonts w:cs="Arial"/>
              </w:rPr>
            </w:pPr>
            <w:r>
              <w:rPr>
                <w:rFonts w:cs="Arial"/>
              </w:rPr>
              <w:t>Steve Browne</w:t>
            </w:r>
          </w:p>
        </w:tc>
        <w:tc>
          <w:tcPr>
            <w:tcW w:w="1750" w:type="dxa"/>
          </w:tcPr>
          <w:p w:rsidR="00BE272A" w:rsidRDefault="0062660D" w:rsidP="00541701">
            <w:pPr>
              <w:rPr>
                <w:rFonts w:cs="Arial"/>
              </w:rPr>
            </w:pPr>
            <w:r>
              <w:rPr>
                <w:rFonts w:cs="Arial"/>
              </w:rPr>
              <w:t>Employers</w:t>
            </w:r>
          </w:p>
        </w:tc>
        <w:tc>
          <w:tcPr>
            <w:tcW w:w="1081" w:type="dxa"/>
          </w:tcPr>
          <w:p w:rsidR="00BE272A" w:rsidRDefault="0062660D" w:rsidP="00541701">
            <w:pPr>
              <w:jc w:val="center"/>
              <w:rPr>
                <w:rFonts w:cs="Arial"/>
              </w:rPr>
            </w:pPr>
            <w:r>
              <w:rPr>
                <w:rFonts w:cs="Arial"/>
              </w:rPr>
              <w:t>√</w:t>
            </w:r>
          </w:p>
        </w:tc>
        <w:tc>
          <w:tcPr>
            <w:tcW w:w="1428" w:type="dxa"/>
          </w:tcPr>
          <w:p w:rsidR="00BE272A" w:rsidRDefault="0062660D" w:rsidP="00541701">
            <w:pPr>
              <w:jc w:val="center"/>
              <w:rPr>
                <w:rFonts w:cs="Arial"/>
              </w:rPr>
            </w:pPr>
            <w:r>
              <w:rPr>
                <w:rFonts w:cs="Arial"/>
              </w:rPr>
              <w:t>√</w:t>
            </w:r>
          </w:p>
        </w:tc>
        <w:tc>
          <w:tcPr>
            <w:tcW w:w="1525" w:type="dxa"/>
          </w:tcPr>
          <w:p w:rsidR="00BE272A" w:rsidRDefault="0062660D" w:rsidP="00541701">
            <w:pPr>
              <w:jc w:val="center"/>
              <w:rPr>
                <w:rFonts w:cs="Arial"/>
              </w:rPr>
            </w:pPr>
            <w:r>
              <w:rPr>
                <w:rFonts w:cs="Arial"/>
              </w:rPr>
              <w:t>Apologies</w:t>
            </w:r>
          </w:p>
        </w:tc>
        <w:tc>
          <w:tcPr>
            <w:tcW w:w="1241" w:type="dxa"/>
          </w:tcPr>
          <w:p w:rsidR="00BE272A" w:rsidRDefault="0062660D" w:rsidP="00541701">
            <w:pPr>
              <w:jc w:val="center"/>
              <w:rPr>
                <w:rFonts w:cs="Arial"/>
              </w:rPr>
            </w:pPr>
            <w:r>
              <w:rPr>
                <w:rFonts w:cs="Arial"/>
              </w:rPr>
              <w:t>√</w:t>
            </w:r>
          </w:p>
        </w:tc>
      </w:tr>
      <w:tr w:rsidR="006A2C17" w:rsidTr="00541701">
        <w:tc>
          <w:tcPr>
            <w:tcW w:w="1631" w:type="dxa"/>
          </w:tcPr>
          <w:p w:rsidR="00BE272A" w:rsidRDefault="0062660D" w:rsidP="00541701">
            <w:pPr>
              <w:rPr>
                <w:rFonts w:cs="Arial"/>
              </w:rPr>
            </w:pPr>
            <w:r>
              <w:rPr>
                <w:rFonts w:cs="Arial"/>
              </w:rPr>
              <w:t>Carl Gibson</w:t>
            </w:r>
          </w:p>
        </w:tc>
        <w:tc>
          <w:tcPr>
            <w:tcW w:w="1750" w:type="dxa"/>
          </w:tcPr>
          <w:p w:rsidR="00BE272A" w:rsidRDefault="0062660D" w:rsidP="00541701">
            <w:pPr>
              <w:rPr>
                <w:rFonts w:cs="Arial"/>
              </w:rPr>
            </w:pPr>
            <w:r>
              <w:rPr>
                <w:rFonts w:cs="Arial"/>
              </w:rPr>
              <w:t>Employers</w:t>
            </w:r>
          </w:p>
        </w:tc>
        <w:tc>
          <w:tcPr>
            <w:tcW w:w="1081" w:type="dxa"/>
          </w:tcPr>
          <w:p w:rsidR="00BE272A" w:rsidRDefault="0062660D" w:rsidP="00541701">
            <w:pPr>
              <w:jc w:val="center"/>
              <w:rPr>
                <w:rFonts w:cs="Arial"/>
              </w:rPr>
            </w:pPr>
            <w:r>
              <w:rPr>
                <w:rFonts w:cs="Arial"/>
              </w:rPr>
              <w:t>√</w:t>
            </w:r>
          </w:p>
          <w:p w:rsidR="00BE272A" w:rsidRDefault="0062660D" w:rsidP="00541701">
            <w:pPr>
              <w:jc w:val="center"/>
              <w:rPr>
                <w:rFonts w:cs="Arial"/>
              </w:rPr>
            </w:pPr>
          </w:p>
        </w:tc>
        <w:tc>
          <w:tcPr>
            <w:tcW w:w="1428" w:type="dxa"/>
          </w:tcPr>
          <w:p w:rsidR="00BE272A" w:rsidRDefault="0062660D" w:rsidP="00541701">
            <w:pPr>
              <w:jc w:val="center"/>
              <w:rPr>
                <w:rFonts w:cs="Arial"/>
              </w:rPr>
            </w:pPr>
            <w:r>
              <w:rPr>
                <w:rFonts w:cs="Arial"/>
              </w:rPr>
              <w:t>√</w:t>
            </w:r>
          </w:p>
        </w:tc>
        <w:tc>
          <w:tcPr>
            <w:tcW w:w="1525" w:type="dxa"/>
          </w:tcPr>
          <w:p w:rsidR="00BE272A" w:rsidRDefault="0062660D" w:rsidP="00541701">
            <w:pPr>
              <w:jc w:val="center"/>
              <w:rPr>
                <w:rFonts w:cs="Arial"/>
              </w:rPr>
            </w:pPr>
            <w:r>
              <w:rPr>
                <w:rFonts w:cs="Arial"/>
              </w:rPr>
              <w:t>√</w:t>
            </w:r>
          </w:p>
        </w:tc>
        <w:tc>
          <w:tcPr>
            <w:tcW w:w="1241" w:type="dxa"/>
          </w:tcPr>
          <w:p w:rsidR="00BE272A" w:rsidRDefault="0062660D" w:rsidP="00541701">
            <w:pPr>
              <w:jc w:val="center"/>
              <w:rPr>
                <w:rFonts w:cs="Arial"/>
              </w:rPr>
            </w:pPr>
            <w:r>
              <w:rPr>
                <w:rFonts w:cs="Arial"/>
              </w:rPr>
              <w:t>√</w:t>
            </w:r>
          </w:p>
        </w:tc>
      </w:tr>
      <w:tr w:rsidR="006A2C17" w:rsidTr="00541701">
        <w:tc>
          <w:tcPr>
            <w:tcW w:w="1631" w:type="dxa"/>
          </w:tcPr>
          <w:p w:rsidR="00BE272A" w:rsidRDefault="0062660D" w:rsidP="00541701">
            <w:pPr>
              <w:rPr>
                <w:rFonts w:cs="Arial"/>
              </w:rPr>
            </w:pPr>
            <w:r>
              <w:rPr>
                <w:rFonts w:cs="Arial"/>
              </w:rPr>
              <w:t>Kathryn Haigh</w:t>
            </w:r>
          </w:p>
        </w:tc>
        <w:tc>
          <w:tcPr>
            <w:tcW w:w="1750" w:type="dxa"/>
          </w:tcPr>
          <w:p w:rsidR="00BE272A" w:rsidRDefault="0062660D" w:rsidP="00541701">
            <w:pPr>
              <w:rPr>
                <w:rFonts w:cs="Arial"/>
              </w:rPr>
            </w:pPr>
            <w:r>
              <w:rPr>
                <w:rFonts w:cs="Arial"/>
              </w:rPr>
              <w:t>Active Members</w:t>
            </w:r>
          </w:p>
        </w:tc>
        <w:tc>
          <w:tcPr>
            <w:tcW w:w="1081" w:type="dxa"/>
          </w:tcPr>
          <w:p w:rsidR="00BE272A" w:rsidRDefault="0062660D" w:rsidP="00541701">
            <w:pPr>
              <w:jc w:val="center"/>
              <w:rPr>
                <w:rFonts w:cs="Arial"/>
              </w:rPr>
            </w:pPr>
            <w:r>
              <w:rPr>
                <w:rFonts w:cs="Arial"/>
              </w:rPr>
              <w:t>√</w:t>
            </w:r>
          </w:p>
        </w:tc>
        <w:tc>
          <w:tcPr>
            <w:tcW w:w="1428" w:type="dxa"/>
          </w:tcPr>
          <w:p w:rsidR="00BE272A" w:rsidRDefault="0062660D" w:rsidP="00541701">
            <w:pPr>
              <w:jc w:val="center"/>
              <w:rPr>
                <w:rFonts w:cs="Arial"/>
              </w:rPr>
            </w:pPr>
            <w:r>
              <w:rPr>
                <w:rFonts w:cs="Arial"/>
              </w:rPr>
              <w:t>√</w:t>
            </w:r>
          </w:p>
        </w:tc>
        <w:tc>
          <w:tcPr>
            <w:tcW w:w="1525" w:type="dxa"/>
          </w:tcPr>
          <w:p w:rsidR="00BE272A" w:rsidRDefault="0062660D" w:rsidP="00541701">
            <w:pPr>
              <w:jc w:val="center"/>
              <w:rPr>
                <w:rFonts w:cs="Arial"/>
              </w:rPr>
            </w:pPr>
            <w:r>
              <w:rPr>
                <w:rFonts w:cs="Arial"/>
              </w:rPr>
              <w:t>√</w:t>
            </w:r>
          </w:p>
        </w:tc>
        <w:tc>
          <w:tcPr>
            <w:tcW w:w="1241" w:type="dxa"/>
          </w:tcPr>
          <w:p w:rsidR="00BE272A" w:rsidRDefault="0062660D" w:rsidP="00541701">
            <w:pPr>
              <w:jc w:val="center"/>
              <w:rPr>
                <w:rFonts w:cs="Arial"/>
              </w:rPr>
            </w:pPr>
            <w:r>
              <w:rPr>
                <w:rFonts w:cs="Arial"/>
              </w:rPr>
              <w:t>√</w:t>
            </w:r>
          </w:p>
        </w:tc>
      </w:tr>
      <w:tr w:rsidR="006A2C17" w:rsidTr="00541701">
        <w:tc>
          <w:tcPr>
            <w:tcW w:w="1631" w:type="dxa"/>
          </w:tcPr>
          <w:p w:rsidR="00BE272A" w:rsidRDefault="0062660D" w:rsidP="00541701">
            <w:pPr>
              <w:rPr>
                <w:rFonts w:cs="Arial"/>
              </w:rPr>
            </w:pPr>
            <w:r>
              <w:rPr>
                <w:rFonts w:cs="Arial"/>
              </w:rPr>
              <w:t>John Hall</w:t>
            </w:r>
          </w:p>
        </w:tc>
        <w:tc>
          <w:tcPr>
            <w:tcW w:w="1750" w:type="dxa"/>
          </w:tcPr>
          <w:p w:rsidR="00BE272A" w:rsidRDefault="0062660D" w:rsidP="00541701">
            <w:pPr>
              <w:rPr>
                <w:rFonts w:cs="Arial"/>
              </w:rPr>
            </w:pPr>
            <w:r>
              <w:rPr>
                <w:rFonts w:cs="Arial"/>
              </w:rPr>
              <w:t>Deferred Members</w:t>
            </w:r>
          </w:p>
        </w:tc>
        <w:tc>
          <w:tcPr>
            <w:tcW w:w="1081" w:type="dxa"/>
          </w:tcPr>
          <w:p w:rsidR="00BE272A" w:rsidRDefault="0062660D" w:rsidP="00541701">
            <w:pPr>
              <w:jc w:val="center"/>
              <w:rPr>
                <w:rFonts w:cs="Arial"/>
              </w:rPr>
            </w:pPr>
            <w:r>
              <w:rPr>
                <w:rFonts w:cs="Arial"/>
              </w:rPr>
              <w:t>√</w:t>
            </w:r>
          </w:p>
        </w:tc>
        <w:tc>
          <w:tcPr>
            <w:tcW w:w="1428" w:type="dxa"/>
          </w:tcPr>
          <w:p w:rsidR="00BE272A" w:rsidRDefault="0062660D" w:rsidP="00541701">
            <w:pPr>
              <w:jc w:val="center"/>
              <w:rPr>
                <w:rFonts w:cs="Arial"/>
              </w:rPr>
            </w:pPr>
            <w:r>
              <w:rPr>
                <w:rFonts w:cs="Arial"/>
              </w:rPr>
              <w:t>√</w:t>
            </w:r>
          </w:p>
        </w:tc>
        <w:tc>
          <w:tcPr>
            <w:tcW w:w="1525" w:type="dxa"/>
          </w:tcPr>
          <w:p w:rsidR="00BE272A" w:rsidRDefault="0062660D" w:rsidP="00541701">
            <w:pPr>
              <w:jc w:val="center"/>
              <w:rPr>
                <w:rFonts w:cs="Arial"/>
              </w:rPr>
            </w:pPr>
            <w:r>
              <w:rPr>
                <w:rFonts w:cs="Arial"/>
              </w:rPr>
              <w:t>Apologies</w:t>
            </w:r>
          </w:p>
        </w:tc>
        <w:tc>
          <w:tcPr>
            <w:tcW w:w="1241" w:type="dxa"/>
          </w:tcPr>
          <w:p w:rsidR="00BE272A" w:rsidRDefault="0062660D" w:rsidP="00541701">
            <w:pPr>
              <w:jc w:val="center"/>
              <w:rPr>
                <w:rFonts w:cs="Arial"/>
              </w:rPr>
            </w:pPr>
            <w:r>
              <w:rPr>
                <w:rFonts w:cs="Arial"/>
              </w:rPr>
              <w:t>√</w:t>
            </w:r>
          </w:p>
        </w:tc>
      </w:tr>
      <w:tr w:rsidR="006A2C17" w:rsidTr="00541701">
        <w:tc>
          <w:tcPr>
            <w:tcW w:w="1631" w:type="dxa"/>
          </w:tcPr>
          <w:p w:rsidR="00BE272A" w:rsidRDefault="0062660D" w:rsidP="00541701">
            <w:pPr>
              <w:rPr>
                <w:rFonts w:cs="Arial"/>
              </w:rPr>
            </w:pPr>
            <w:r>
              <w:rPr>
                <w:rFonts w:cs="Arial"/>
              </w:rPr>
              <w:t>Robert Harvey</w:t>
            </w:r>
          </w:p>
        </w:tc>
        <w:tc>
          <w:tcPr>
            <w:tcW w:w="1750" w:type="dxa"/>
          </w:tcPr>
          <w:p w:rsidR="00BE272A" w:rsidRDefault="0062660D" w:rsidP="00541701">
            <w:pPr>
              <w:rPr>
                <w:rFonts w:cs="Arial"/>
              </w:rPr>
            </w:pPr>
            <w:r>
              <w:rPr>
                <w:rFonts w:cs="Arial"/>
              </w:rPr>
              <w:t>Retired Members</w:t>
            </w:r>
          </w:p>
        </w:tc>
        <w:tc>
          <w:tcPr>
            <w:tcW w:w="1081" w:type="dxa"/>
          </w:tcPr>
          <w:p w:rsidR="00BE272A" w:rsidRDefault="0062660D" w:rsidP="00541701">
            <w:pPr>
              <w:jc w:val="center"/>
              <w:rPr>
                <w:rFonts w:cs="Arial"/>
              </w:rPr>
            </w:pPr>
            <w:r>
              <w:rPr>
                <w:rFonts w:cs="Arial"/>
              </w:rPr>
              <w:t>√</w:t>
            </w:r>
          </w:p>
        </w:tc>
        <w:tc>
          <w:tcPr>
            <w:tcW w:w="1428" w:type="dxa"/>
          </w:tcPr>
          <w:p w:rsidR="00BE272A" w:rsidRDefault="0062660D" w:rsidP="00541701">
            <w:pPr>
              <w:jc w:val="center"/>
              <w:rPr>
                <w:rFonts w:cs="Arial"/>
              </w:rPr>
            </w:pPr>
            <w:r>
              <w:rPr>
                <w:rFonts w:cs="Arial"/>
              </w:rPr>
              <w:t>√</w:t>
            </w:r>
          </w:p>
        </w:tc>
        <w:tc>
          <w:tcPr>
            <w:tcW w:w="1525" w:type="dxa"/>
          </w:tcPr>
          <w:p w:rsidR="00BE272A" w:rsidRDefault="0062660D" w:rsidP="00541701">
            <w:pPr>
              <w:jc w:val="center"/>
              <w:rPr>
                <w:rFonts w:cs="Arial"/>
              </w:rPr>
            </w:pPr>
            <w:r>
              <w:rPr>
                <w:rFonts w:cs="Arial"/>
              </w:rPr>
              <w:t>√</w:t>
            </w:r>
          </w:p>
        </w:tc>
        <w:tc>
          <w:tcPr>
            <w:tcW w:w="1241" w:type="dxa"/>
          </w:tcPr>
          <w:p w:rsidR="00BE272A" w:rsidRDefault="0062660D" w:rsidP="00541701">
            <w:pPr>
              <w:jc w:val="center"/>
              <w:rPr>
                <w:rFonts w:cs="Arial"/>
              </w:rPr>
            </w:pPr>
            <w:r>
              <w:rPr>
                <w:rFonts w:cs="Arial"/>
              </w:rPr>
              <w:t>√</w:t>
            </w:r>
          </w:p>
        </w:tc>
      </w:tr>
      <w:tr w:rsidR="006A2C17" w:rsidTr="00541701">
        <w:tc>
          <w:tcPr>
            <w:tcW w:w="1631" w:type="dxa"/>
          </w:tcPr>
          <w:p w:rsidR="00BE272A" w:rsidRDefault="0062660D" w:rsidP="00541701">
            <w:pPr>
              <w:rPr>
                <w:rFonts w:cs="Arial"/>
              </w:rPr>
            </w:pPr>
            <w:r>
              <w:rPr>
                <w:rFonts w:cs="Arial"/>
              </w:rPr>
              <w:t>County Councillor Tony Martin</w:t>
            </w:r>
          </w:p>
        </w:tc>
        <w:tc>
          <w:tcPr>
            <w:tcW w:w="1750" w:type="dxa"/>
          </w:tcPr>
          <w:p w:rsidR="00BE272A" w:rsidRDefault="0062660D" w:rsidP="00541701">
            <w:pPr>
              <w:rPr>
                <w:rFonts w:cs="Arial"/>
              </w:rPr>
            </w:pPr>
            <w:r>
              <w:rPr>
                <w:rFonts w:cs="Arial"/>
              </w:rPr>
              <w:t>Employers</w:t>
            </w:r>
          </w:p>
        </w:tc>
        <w:tc>
          <w:tcPr>
            <w:tcW w:w="1081" w:type="dxa"/>
          </w:tcPr>
          <w:p w:rsidR="00BE272A" w:rsidRDefault="0062660D" w:rsidP="00541701">
            <w:pPr>
              <w:jc w:val="center"/>
              <w:rPr>
                <w:rFonts w:cs="Arial"/>
              </w:rPr>
            </w:pPr>
            <w:r>
              <w:rPr>
                <w:rFonts w:cs="Arial"/>
              </w:rPr>
              <w:t>√</w:t>
            </w:r>
          </w:p>
        </w:tc>
        <w:tc>
          <w:tcPr>
            <w:tcW w:w="1428" w:type="dxa"/>
          </w:tcPr>
          <w:p w:rsidR="00BE272A" w:rsidRDefault="0062660D" w:rsidP="00541701">
            <w:pPr>
              <w:jc w:val="center"/>
              <w:rPr>
                <w:rFonts w:cs="Arial"/>
              </w:rPr>
            </w:pPr>
            <w:r>
              <w:rPr>
                <w:rFonts w:cs="Arial"/>
              </w:rPr>
              <w:t>√</w:t>
            </w:r>
          </w:p>
        </w:tc>
        <w:tc>
          <w:tcPr>
            <w:tcW w:w="1525" w:type="dxa"/>
          </w:tcPr>
          <w:p w:rsidR="00BE272A" w:rsidRDefault="0062660D" w:rsidP="00541701">
            <w:pPr>
              <w:jc w:val="center"/>
              <w:rPr>
                <w:rFonts w:cs="Arial"/>
              </w:rPr>
            </w:pPr>
            <w:r>
              <w:rPr>
                <w:rFonts w:cs="Arial"/>
              </w:rPr>
              <w:t>√</w:t>
            </w:r>
          </w:p>
        </w:tc>
        <w:tc>
          <w:tcPr>
            <w:tcW w:w="1241" w:type="dxa"/>
          </w:tcPr>
          <w:p w:rsidR="00BE272A" w:rsidRDefault="0062660D" w:rsidP="00541701">
            <w:pPr>
              <w:jc w:val="center"/>
              <w:rPr>
                <w:rFonts w:cs="Arial"/>
              </w:rPr>
            </w:pPr>
            <w:r>
              <w:rPr>
                <w:rFonts w:cs="Arial"/>
              </w:rPr>
              <w:t>√</w:t>
            </w:r>
          </w:p>
        </w:tc>
      </w:tr>
      <w:tr w:rsidR="006A2C17" w:rsidTr="00541701">
        <w:tc>
          <w:tcPr>
            <w:tcW w:w="1631" w:type="dxa"/>
          </w:tcPr>
          <w:p w:rsidR="00BE272A" w:rsidRDefault="0062660D" w:rsidP="00541701">
            <w:pPr>
              <w:rPr>
                <w:rFonts w:cs="Arial"/>
              </w:rPr>
            </w:pPr>
            <w:r>
              <w:rPr>
                <w:rFonts w:cs="Arial"/>
              </w:rPr>
              <w:t>Yvonne Moult</w:t>
            </w:r>
          </w:p>
        </w:tc>
        <w:tc>
          <w:tcPr>
            <w:tcW w:w="1750" w:type="dxa"/>
          </w:tcPr>
          <w:p w:rsidR="00BE272A" w:rsidRDefault="0062660D" w:rsidP="00541701">
            <w:pPr>
              <w:rPr>
                <w:rFonts w:cs="Arial"/>
              </w:rPr>
            </w:pPr>
            <w:r>
              <w:rPr>
                <w:rFonts w:cs="Arial"/>
              </w:rPr>
              <w:t>Active Members</w:t>
            </w:r>
          </w:p>
        </w:tc>
        <w:tc>
          <w:tcPr>
            <w:tcW w:w="1081" w:type="dxa"/>
          </w:tcPr>
          <w:p w:rsidR="00BE272A" w:rsidRDefault="0062660D" w:rsidP="00541701">
            <w:pPr>
              <w:jc w:val="center"/>
              <w:rPr>
                <w:rFonts w:cs="Arial"/>
              </w:rPr>
            </w:pPr>
            <w:r>
              <w:rPr>
                <w:rFonts w:cs="Arial"/>
              </w:rPr>
              <w:t>√</w:t>
            </w:r>
          </w:p>
        </w:tc>
        <w:tc>
          <w:tcPr>
            <w:tcW w:w="1428" w:type="dxa"/>
          </w:tcPr>
          <w:p w:rsidR="00BE272A" w:rsidRDefault="0062660D" w:rsidP="00541701">
            <w:pPr>
              <w:jc w:val="center"/>
              <w:rPr>
                <w:rFonts w:cs="Arial"/>
              </w:rPr>
            </w:pPr>
            <w:r>
              <w:rPr>
                <w:rFonts w:cs="Arial"/>
              </w:rPr>
              <w:t>√</w:t>
            </w:r>
          </w:p>
        </w:tc>
        <w:tc>
          <w:tcPr>
            <w:tcW w:w="1525" w:type="dxa"/>
          </w:tcPr>
          <w:p w:rsidR="00BE272A" w:rsidRDefault="0062660D" w:rsidP="00541701">
            <w:pPr>
              <w:jc w:val="center"/>
              <w:rPr>
                <w:rFonts w:cs="Arial"/>
              </w:rPr>
            </w:pPr>
            <w:r>
              <w:rPr>
                <w:rFonts w:cs="Arial"/>
              </w:rPr>
              <w:t>√</w:t>
            </w:r>
          </w:p>
        </w:tc>
        <w:tc>
          <w:tcPr>
            <w:tcW w:w="1241" w:type="dxa"/>
          </w:tcPr>
          <w:p w:rsidR="00BE272A" w:rsidRDefault="0062660D" w:rsidP="00541701">
            <w:pPr>
              <w:jc w:val="center"/>
              <w:rPr>
                <w:rFonts w:cs="Arial"/>
              </w:rPr>
            </w:pPr>
            <w:r>
              <w:rPr>
                <w:rFonts w:cs="Arial"/>
              </w:rPr>
              <w:t>√</w:t>
            </w:r>
          </w:p>
        </w:tc>
      </w:tr>
      <w:tr w:rsidR="006A2C17" w:rsidTr="00541701">
        <w:tc>
          <w:tcPr>
            <w:tcW w:w="1631" w:type="dxa"/>
          </w:tcPr>
          <w:p w:rsidR="00BE272A" w:rsidRDefault="0062660D" w:rsidP="00541701">
            <w:pPr>
              <w:rPr>
                <w:rFonts w:cs="Arial"/>
              </w:rPr>
            </w:pPr>
            <w:r>
              <w:rPr>
                <w:rFonts w:cs="Arial"/>
              </w:rPr>
              <w:t>Steve Thompson</w:t>
            </w:r>
          </w:p>
        </w:tc>
        <w:tc>
          <w:tcPr>
            <w:tcW w:w="1750" w:type="dxa"/>
          </w:tcPr>
          <w:p w:rsidR="00BE272A" w:rsidRDefault="0062660D" w:rsidP="00541701">
            <w:pPr>
              <w:rPr>
                <w:rFonts w:cs="Arial"/>
              </w:rPr>
            </w:pPr>
            <w:r>
              <w:rPr>
                <w:rFonts w:cs="Arial"/>
              </w:rPr>
              <w:t>Employers</w:t>
            </w:r>
          </w:p>
        </w:tc>
        <w:tc>
          <w:tcPr>
            <w:tcW w:w="1081" w:type="dxa"/>
          </w:tcPr>
          <w:p w:rsidR="00BE272A" w:rsidRDefault="0062660D" w:rsidP="00541701">
            <w:pPr>
              <w:jc w:val="center"/>
              <w:rPr>
                <w:rFonts w:cs="Arial"/>
              </w:rPr>
            </w:pPr>
            <w:r>
              <w:rPr>
                <w:rFonts w:cs="Arial"/>
              </w:rPr>
              <w:t>√</w:t>
            </w:r>
          </w:p>
        </w:tc>
        <w:tc>
          <w:tcPr>
            <w:tcW w:w="1428" w:type="dxa"/>
          </w:tcPr>
          <w:p w:rsidR="00BE272A" w:rsidRDefault="0062660D" w:rsidP="00541701">
            <w:pPr>
              <w:jc w:val="center"/>
              <w:rPr>
                <w:rFonts w:cs="Arial"/>
              </w:rPr>
            </w:pPr>
            <w:r>
              <w:rPr>
                <w:rFonts w:cs="Arial"/>
              </w:rPr>
              <w:t>√</w:t>
            </w:r>
          </w:p>
        </w:tc>
        <w:tc>
          <w:tcPr>
            <w:tcW w:w="1525" w:type="dxa"/>
          </w:tcPr>
          <w:p w:rsidR="00BE272A" w:rsidRDefault="0062660D" w:rsidP="00541701">
            <w:pPr>
              <w:jc w:val="center"/>
              <w:rPr>
                <w:rFonts w:cs="Arial"/>
              </w:rPr>
            </w:pPr>
            <w:r>
              <w:rPr>
                <w:rFonts w:cs="Arial"/>
              </w:rPr>
              <w:t>Apologies</w:t>
            </w:r>
          </w:p>
        </w:tc>
        <w:tc>
          <w:tcPr>
            <w:tcW w:w="1241" w:type="dxa"/>
          </w:tcPr>
          <w:p w:rsidR="00BE272A" w:rsidRDefault="0062660D" w:rsidP="00541701">
            <w:pPr>
              <w:jc w:val="center"/>
              <w:rPr>
                <w:rFonts w:cs="Arial"/>
              </w:rPr>
            </w:pPr>
            <w:r>
              <w:rPr>
                <w:rFonts w:cs="Arial"/>
              </w:rPr>
              <w:t>√</w:t>
            </w:r>
          </w:p>
        </w:tc>
      </w:tr>
    </w:tbl>
    <w:p w:rsidR="00BE272A" w:rsidRPr="003A72BD" w:rsidRDefault="0062660D" w:rsidP="00BE272A">
      <w:pPr>
        <w:ind w:left="360"/>
        <w:rPr>
          <w:rFonts w:cs="Arial"/>
        </w:rPr>
      </w:pPr>
      <w:r>
        <w:rPr>
          <w:rFonts w:cs="Arial"/>
        </w:rPr>
        <w:tab/>
        <w:t xml:space="preserve">Table </w:t>
      </w:r>
      <w:r>
        <w:rPr>
          <w:rFonts w:cs="Arial"/>
        </w:rPr>
        <w:t>1</w:t>
      </w:r>
    </w:p>
    <w:p w:rsidR="00BE272A" w:rsidRPr="003A72BD" w:rsidRDefault="0062660D" w:rsidP="00BE272A">
      <w:pPr>
        <w:ind w:left="360"/>
        <w:rPr>
          <w:rFonts w:cs="Arial"/>
        </w:rPr>
      </w:pPr>
      <w:r w:rsidRPr="003A72BD">
        <w:rPr>
          <w:rFonts w:cs="Arial"/>
        </w:rPr>
        <w:t xml:space="preserve">Information about the Board, including membership, is publicly available on the Lancashire County Pension Fund website and can be viewed </w:t>
      </w:r>
      <w:hyperlink r:id="rId47" w:history="1">
        <w:r w:rsidRPr="008C1818">
          <w:rPr>
            <w:rStyle w:val="Hyperlink"/>
          </w:rPr>
          <w:t>here</w:t>
        </w:r>
      </w:hyperlink>
      <w:r>
        <w:rPr>
          <w:rFonts w:cs="Arial"/>
        </w:rPr>
        <w:t>.</w:t>
      </w:r>
    </w:p>
    <w:p w:rsidR="00BE272A" w:rsidRPr="003A72BD" w:rsidRDefault="0062660D" w:rsidP="00BE272A">
      <w:pPr>
        <w:ind w:left="360"/>
        <w:rPr>
          <w:rFonts w:cs="Arial"/>
        </w:rPr>
      </w:pPr>
      <w:r w:rsidRPr="003A72BD">
        <w:rPr>
          <w:rFonts w:cs="Arial"/>
        </w:rPr>
        <w:t xml:space="preserve">Agenda and minutes of Board meetings can be viewed on the County Council's website </w:t>
      </w:r>
      <w:hyperlink r:id="rId48" w:history="1">
        <w:r w:rsidRPr="008C1818">
          <w:rPr>
            <w:rStyle w:val="Hyperlink"/>
          </w:rPr>
          <w:t>here.</w:t>
        </w:r>
      </w:hyperlink>
    </w:p>
    <w:p w:rsidR="00BE272A" w:rsidRDefault="0062660D" w:rsidP="00BE272A">
      <w:pPr>
        <w:ind w:left="360"/>
        <w:rPr>
          <w:rFonts w:cs="Arial"/>
        </w:rPr>
      </w:pPr>
      <w:r w:rsidRPr="003A72BD">
        <w:rPr>
          <w:rFonts w:cs="Arial"/>
        </w:rPr>
        <w:t>Training is also required under the Pensions Act 2013, and is covered by the Fund</w:t>
      </w:r>
      <w:r w:rsidRPr="003A72BD">
        <w:rPr>
          <w:rFonts w:cs="Arial"/>
        </w:rPr>
        <w:t>’s Training Policy, which has been refreshed in 2016</w:t>
      </w:r>
      <w:r>
        <w:rPr>
          <w:rFonts w:cs="Arial"/>
        </w:rPr>
        <w:t xml:space="preserve">.  </w:t>
      </w:r>
      <w:r w:rsidRPr="003A72BD">
        <w:rPr>
          <w:rFonts w:cs="Arial"/>
        </w:rPr>
        <w:t xml:space="preserve">An initial session was held to brief members on the activities of the </w:t>
      </w:r>
      <w:r>
        <w:rPr>
          <w:rFonts w:cs="Arial"/>
        </w:rPr>
        <w:t>Pension Fund</w:t>
      </w:r>
      <w:r w:rsidRPr="003A72BD">
        <w:rPr>
          <w:rFonts w:cs="Arial"/>
        </w:rPr>
        <w:t xml:space="preserve"> and their role</w:t>
      </w:r>
      <w:r>
        <w:rPr>
          <w:rFonts w:cs="Arial"/>
        </w:rPr>
        <w:t xml:space="preserve"> and</w:t>
      </w:r>
      <w:r w:rsidRPr="003A72BD">
        <w:rPr>
          <w:rFonts w:cs="Arial"/>
        </w:rPr>
        <w:t xml:space="preserve"> members are invited to</w:t>
      </w:r>
      <w:r>
        <w:rPr>
          <w:rFonts w:cs="Arial"/>
        </w:rPr>
        <w:t>,</w:t>
      </w:r>
      <w:r w:rsidRPr="003A72BD">
        <w:rPr>
          <w:rFonts w:cs="Arial"/>
        </w:rPr>
        <w:t xml:space="preserve"> and have attended</w:t>
      </w:r>
      <w:r>
        <w:rPr>
          <w:rFonts w:cs="Arial"/>
        </w:rPr>
        <w:t>,</w:t>
      </w:r>
      <w:r w:rsidRPr="003A72BD">
        <w:rPr>
          <w:rFonts w:cs="Arial"/>
        </w:rPr>
        <w:t xml:space="preserve"> Training Workshops together with members of the Pension </w:t>
      </w:r>
      <w:r w:rsidRPr="003A72BD">
        <w:rPr>
          <w:rFonts w:cs="Arial"/>
        </w:rPr>
        <w:t xml:space="preserve">Fund </w:t>
      </w:r>
      <w:r>
        <w:rPr>
          <w:rFonts w:cs="Arial"/>
        </w:rPr>
        <w:t xml:space="preserve">Committee. </w:t>
      </w:r>
      <w:r w:rsidRPr="003A72BD">
        <w:rPr>
          <w:rFonts w:cs="Arial"/>
        </w:rPr>
        <w:t>Members are encouraged to attend useful seminars and conferences which will help them to increase their knowledge levels, and have been invited to the regular briefing sessions on the formation</w:t>
      </w:r>
      <w:r>
        <w:rPr>
          <w:rFonts w:cs="Arial"/>
        </w:rPr>
        <w:t>,</w:t>
      </w:r>
      <w:r w:rsidRPr="003A72BD">
        <w:rPr>
          <w:rFonts w:cs="Arial"/>
        </w:rPr>
        <w:t xml:space="preserve"> together with the LPFA</w:t>
      </w:r>
      <w:r>
        <w:rPr>
          <w:rFonts w:cs="Arial"/>
        </w:rPr>
        <w:t>,</w:t>
      </w:r>
      <w:r w:rsidRPr="003A72BD">
        <w:rPr>
          <w:rFonts w:cs="Arial"/>
        </w:rPr>
        <w:t xml:space="preserve"> of the Local </w:t>
      </w:r>
      <w:r>
        <w:rPr>
          <w:rFonts w:cs="Arial"/>
        </w:rPr>
        <w:t>Pensions</w:t>
      </w:r>
      <w:r>
        <w:rPr>
          <w:rFonts w:cs="Arial"/>
        </w:rPr>
        <w:t xml:space="preserve"> Partnership (LPP).  </w:t>
      </w:r>
      <w:r w:rsidRPr="003A72BD">
        <w:rPr>
          <w:rFonts w:cs="Arial"/>
        </w:rPr>
        <w:t xml:space="preserve">Internally, a virtual reading room has been set up so that Board members can easily access a wide range of material.   </w:t>
      </w:r>
    </w:p>
    <w:p w:rsidR="00BE272A" w:rsidRDefault="0062660D" w:rsidP="00BE272A">
      <w:pPr>
        <w:ind w:left="360"/>
        <w:rPr>
          <w:rFonts w:cs="Arial"/>
        </w:rPr>
      </w:pPr>
      <w:r>
        <w:rPr>
          <w:rFonts w:cs="Arial"/>
        </w:rPr>
        <w:t>Table 2 below shows Board Members a</w:t>
      </w:r>
      <w:r w:rsidRPr="003A72BD">
        <w:rPr>
          <w:rFonts w:cs="Arial"/>
        </w:rPr>
        <w:t xml:space="preserve">ttendance at </w:t>
      </w:r>
      <w:r>
        <w:rPr>
          <w:rFonts w:cs="Arial"/>
        </w:rPr>
        <w:t>internal and external events during 2015/16.</w:t>
      </w:r>
    </w:p>
    <w:p w:rsidR="00BE272A" w:rsidRDefault="0062660D" w:rsidP="00BE272A">
      <w:pPr>
        <w:ind w:left="360"/>
        <w:rPr>
          <w:rFonts w:cs="Arial"/>
        </w:rPr>
      </w:pPr>
    </w:p>
    <w:tbl>
      <w:tblPr>
        <w:tblStyle w:val="TableGrid"/>
        <w:tblW w:w="0" w:type="auto"/>
        <w:tblInd w:w="360" w:type="dxa"/>
        <w:tblLook w:val="04A0" w:firstRow="1" w:lastRow="0" w:firstColumn="1" w:lastColumn="0" w:noHBand="0" w:noVBand="1"/>
      </w:tblPr>
      <w:tblGrid>
        <w:gridCol w:w="3005"/>
        <w:gridCol w:w="3005"/>
        <w:gridCol w:w="3006"/>
      </w:tblGrid>
      <w:tr w:rsidR="006A2C17" w:rsidTr="00541701">
        <w:tc>
          <w:tcPr>
            <w:tcW w:w="3005" w:type="dxa"/>
          </w:tcPr>
          <w:p w:rsidR="00BE272A" w:rsidRPr="00DA0311" w:rsidRDefault="0062660D" w:rsidP="00541701">
            <w:pPr>
              <w:jc w:val="center"/>
              <w:rPr>
                <w:rFonts w:cs="Arial"/>
                <w:b/>
              </w:rPr>
            </w:pPr>
            <w:r w:rsidRPr="00DA0311">
              <w:rPr>
                <w:rFonts w:cs="Arial"/>
                <w:b/>
              </w:rPr>
              <w:t>Board Member</w:t>
            </w:r>
          </w:p>
        </w:tc>
        <w:tc>
          <w:tcPr>
            <w:tcW w:w="3005" w:type="dxa"/>
          </w:tcPr>
          <w:p w:rsidR="00BE272A" w:rsidRPr="00DA0311" w:rsidRDefault="0062660D" w:rsidP="00541701">
            <w:pPr>
              <w:jc w:val="center"/>
              <w:rPr>
                <w:rFonts w:cs="Arial"/>
                <w:b/>
              </w:rPr>
            </w:pPr>
            <w:r w:rsidRPr="00DA0311">
              <w:rPr>
                <w:rFonts w:cs="Arial"/>
                <w:b/>
              </w:rPr>
              <w:t>I</w:t>
            </w:r>
            <w:r>
              <w:rPr>
                <w:rFonts w:cs="Arial"/>
                <w:b/>
              </w:rPr>
              <w:t>nternal</w:t>
            </w:r>
            <w:r>
              <w:rPr>
                <w:rFonts w:cs="Arial"/>
                <w:b/>
              </w:rPr>
              <w:t xml:space="preserve"> Events </w:t>
            </w:r>
            <w:r w:rsidRPr="00DA0311">
              <w:rPr>
                <w:rFonts w:cs="Arial"/>
                <w:b/>
              </w:rPr>
              <w:t>Attended</w:t>
            </w:r>
          </w:p>
        </w:tc>
        <w:tc>
          <w:tcPr>
            <w:tcW w:w="3006" w:type="dxa"/>
          </w:tcPr>
          <w:p w:rsidR="00BE272A" w:rsidRPr="00DA0311" w:rsidRDefault="0062660D" w:rsidP="00541701">
            <w:pPr>
              <w:jc w:val="center"/>
              <w:rPr>
                <w:rFonts w:cs="Arial"/>
                <w:b/>
              </w:rPr>
            </w:pPr>
            <w:r w:rsidRPr="00DA0311">
              <w:rPr>
                <w:rFonts w:cs="Arial"/>
                <w:b/>
              </w:rPr>
              <w:t>External Events Attended</w:t>
            </w:r>
          </w:p>
        </w:tc>
      </w:tr>
      <w:tr w:rsidR="006A2C17" w:rsidTr="00541701">
        <w:tc>
          <w:tcPr>
            <w:tcW w:w="3005" w:type="dxa"/>
          </w:tcPr>
          <w:p w:rsidR="00BE272A" w:rsidRDefault="0062660D" w:rsidP="00541701">
            <w:pPr>
              <w:rPr>
                <w:rFonts w:cs="Arial"/>
              </w:rPr>
            </w:pPr>
            <w:r>
              <w:rPr>
                <w:rFonts w:cs="Arial"/>
              </w:rPr>
              <w:t>William Bourne</w:t>
            </w:r>
          </w:p>
        </w:tc>
        <w:tc>
          <w:tcPr>
            <w:tcW w:w="3005" w:type="dxa"/>
          </w:tcPr>
          <w:p w:rsidR="00BE272A" w:rsidRDefault="0062660D" w:rsidP="00541701">
            <w:pPr>
              <w:jc w:val="center"/>
              <w:rPr>
                <w:rFonts w:cs="Arial"/>
              </w:rPr>
            </w:pPr>
            <w:r>
              <w:rPr>
                <w:rFonts w:cs="Arial"/>
              </w:rPr>
              <w:t>2</w:t>
            </w:r>
          </w:p>
        </w:tc>
        <w:tc>
          <w:tcPr>
            <w:tcW w:w="3006" w:type="dxa"/>
          </w:tcPr>
          <w:p w:rsidR="00BE272A" w:rsidRDefault="0062660D" w:rsidP="00541701">
            <w:pPr>
              <w:jc w:val="center"/>
              <w:rPr>
                <w:rFonts w:cs="Arial"/>
              </w:rPr>
            </w:pPr>
            <w:r>
              <w:rPr>
                <w:rFonts w:cs="Arial"/>
              </w:rPr>
              <w:t>14</w:t>
            </w:r>
          </w:p>
        </w:tc>
      </w:tr>
      <w:tr w:rsidR="006A2C17" w:rsidTr="00541701">
        <w:tc>
          <w:tcPr>
            <w:tcW w:w="3005" w:type="dxa"/>
          </w:tcPr>
          <w:p w:rsidR="00BE272A" w:rsidRDefault="0062660D" w:rsidP="00541701">
            <w:pPr>
              <w:rPr>
                <w:rFonts w:cs="Arial"/>
              </w:rPr>
            </w:pPr>
            <w:r>
              <w:rPr>
                <w:rFonts w:cs="Arial"/>
              </w:rPr>
              <w:t>Steve Browne</w:t>
            </w:r>
          </w:p>
        </w:tc>
        <w:tc>
          <w:tcPr>
            <w:tcW w:w="3005" w:type="dxa"/>
          </w:tcPr>
          <w:p w:rsidR="00BE272A" w:rsidRDefault="0062660D" w:rsidP="00541701">
            <w:pPr>
              <w:jc w:val="center"/>
              <w:rPr>
                <w:rFonts w:cs="Arial"/>
              </w:rPr>
            </w:pPr>
            <w:r>
              <w:rPr>
                <w:rFonts w:cs="Arial"/>
              </w:rPr>
              <w:t>5</w:t>
            </w:r>
          </w:p>
        </w:tc>
        <w:tc>
          <w:tcPr>
            <w:tcW w:w="3006" w:type="dxa"/>
          </w:tcPr>
          <w:p w:rsidR="00BE272A" w:rsidRDefault="0062660D" w:rsidP="00541701">
            <w:pPr>
              <w:jc w:val="center"/>
              <w:rPr>
                <w:rFonts w:cs="Arial"/>
              </w:rPr>
            </w:pPr>
            <w:r>
              <w:rPr>
                <w:rFonts w:cs="Arial"/>
              </w:rPr>
              <w:t>Nil</w:t>
            </w:r>
          </w:p>
        </w:tc>
      </w:tr>
      <w:tr w:rsidR="006A2C17" w:rsidTr="00541701">
        <w:tc>
          <w:tcPr>
            <w:tcW w:w="3005" w:type="dxa"/>
          </w:tcPr>
          <w:p w:rsidR="00BE272A" w:rsidRDefault="0062660D" w:rsidP="00541701">
            <w:pPr>
              <w:rPr>
                <w:rFonts w:cs="Arial"/>
              </w:rPr>
            </w:pPr>
            <w:r>
              <w:rPr>
                <w:rFonts w:cs="Arial"/>
              </w:rPr>
              <w:t>Carl Gibson</w:t>
            </w:r>
          </w:p>
        </w:tc>
        <w:tc>
          <w:tcPr>
            <w:tcW w:w="3005" w:type="dxa"/>
          </w:tcPr>
          <w:p w:rsidR="00BE272A" w:rsidRDefault="0062660D" w:rsidP="00541701">
            <w:pPr>
              <w:jc w:val="center"/>
              <w:rPr>
                <w:rFonts w:cs="Arial"/>
              </w:rPr>
            </w:pPr>
            <w:r>
              <w:rPr>
                <w:rFonts w:cs="Arial"/>
              </w:rPr>
              <w:t>2</w:t>
            </w:r>
          </w:p>
        </w:tc>
        <w:tc>
          <w:tcPr>
            <w:tcW w:w="3006" w:type="dxa"/>
          </w:tcPr>
          <w:p w:rsidR="00BE272A" w:rsidRDefault="0062660D" w:rsidP="00541701">
            <w:pPr>
              <w:jc w:val="center"/>
              <w:rPr>
                <w:rFonts w:cs="Arial"/>
              </w:rPr>
            </w:pPr>
            <w:r>
              <w:rPr>
                <w:rFonts w:cs="Arial"/>
              </w:rPr>
              <w:t>Nil</w:t>
            </w:r>
          </w:p>
        </w:tc>
      </w:tr>
      <w:tr w:rsidR="006A2C17" w:rsidTr="00541701">
        <w:tc>
          <w:tcPr>
            <w:tcW w:w="3005" w:type="dxa"/>
          </w:tcPr>
          <w:p w:rsidR="00BE272A" w:rsidRDefault="0062660D" w:rsidP="00541701">
            <w:pPr>
              <w:rPr>
                <w:rFonts w:cs="Arial"/>
              </w:rPr>
            </w:pPr>
            <w:r>
              <w:rPr>
                <w:rFonts w:cs="Arial"/>
              </w:rPr>
              <w:t>Kathryn Haigh</w:t>
            </w:r>
          </w:p>
        </w:tc>
        <w:tc>
          <w:tcPr>
            <w:tcW w:w="3005" w:type="dxa"/>
          </w:tcPr>
          <w:p w:rsidR="00BE272A" w:rsidRDefault="0062660D" w:rsidP="00541701">
            <w:pPr>
              <w:jc w:val="center"/>
              <w:rPr>
                <w:rFonts w:cs="Arial"/>
              </w:rPr>
            </w:pPr>
            <w:r>
              <w:rPr>
                <w:rFonts w:cs="Arial"/>
              </w:rPr>
              <w:t>7</w:t>
            </w:r>
          </w:p>
        </w:tc>
        <w:tc>
          <w:tcPr>
            <w:tcW w:w="3006" w:type="dxa"/>
          </w:tcPr>
          <w:p w:rsidR="00BE272A" w:rsidRDefault="0062660D" w:rsidP="00541701">
            <w:pPr>
              <w:jc w:val="center"/>
              <w:rPr>
                <w:rFonts w:cs="Arial"/>
              </w:rPr>
            </w:pPr>
            <w:r>
              <w:rPr>
                <w:rFonts w:cs="Arial"/>
              </w:rPr>
              <w:t>2</w:t>
            </w:r>
          </w:p>
        </w:tc>
      </w:tr>
      <w:tr w:rsidR="006A2C17" w:rsidTr="00541701">
        <w:tc>
          <w:tcPr>
            <w:tcW w:w="3005" w:type="dxa"/>
          </w:tcPr>
          <w:p w:rsidR="00BE272A" w:rsidRDefault="0062660D" w:rsidP="00541701">
            <w:pPr>
              <w:rPr>
                <w:rFonts w:cs="Arial"/>
              </w:rPr>
            </w:pPr>
            <w:r>
              <w:rPr>
                <w:rFonts w:cs="Arial"/>
              </w:rPr>
              <w:t>John Hall</w:t>
            </w:r>
          </w:p>
        </w:tc>
        <w:tc>
          <w:tcPr>
            <w:tcW w:w="3005" w:type="dxa"/>
          </w:tcPr>
          <w:p w:rsidR="00BE272A" w:rsidRDefault="0062660D" w:rsidP="00541701">
            <w:pPr>
              <w:jc w:val="center"/>
              <w:rPr>
                <w:rFonts w:cs="Arial"/>
              </w:rPr>
            </w:pPr>
            <w:r>
              <w:rPr>
                <w:rFonts w:cs="Arial"/>
              </w:rPr>
              <w:t>6</w:t>
            </w:r>
          </w:p>
        </w:tc>
        <w:tc>
          <w:tcPr>
            <w:tcW w:w="3006" w:type="dxa"/>
          </w:tcPr>
          <w:p w:rsidR="00BE272A" w:rsidRDefault="0062660D" w:rsidP="00541701">
            <w:pPr>
              <w:jc w:val="center"/>
              <w:rPr>
                <w:rFonts w:cs="Arial"/>
              </w:rPr>
            </w:pPr>
            <w:r>
              <w:rPr>
                <w:rFonts w:cs="Arial"/>
              </w:rPr>
              <w:t>1</w:t>
            </w:r>
          </w:p>
        </w:tc>
      </w:tr>
      <w:tr w:rsidR="006A2C17" w:rsidTr="00541701">
        <w:tc>
          <w:tcPr>
            <w:tcW w:w="3005" w:type="dxa"/>
          </w:tcPr>
          <w:p w:rsidR="00BE272A" w:rsidRDefault="0062660D" w:rsidP="00541701">
            <w:pPr>
              <w:rPr>
                <w:rFonts w:cs="Arial"/>
              </w:rPr>
            </w:pPr>
            <w:r>
              <w:rPr>
                <w:rFonts w:cs="Arial"/>
              </w:rPr>
              <w:t>Robert Harvey</w:t>
            </w:r>
          </w:p>
        </w:tc>
        <w:tc>
          <w:tcPr>
            <w:tcW w:w="3005" w:type="dxa"/>
          </w:tcPr>
          <w:p w:rsidR="00BE272A" w:rsidRDefault="0062660D" w:rsidP="00541701">
            <w:pPr>
              <w:jc w:val="center"/>
              <w:rPr>
                <w:rFonts w:cs="Arial"/>
              </w:rPr>
            </w:pPr>
            <w:r>
              <w:rPr>
                <w:rFonts w:cs="Arial"/>
              </w:rPr>
              <w:t>12</w:t>
            </w:r>
          </w:p>
        </w:tc>
        <w:tc>
          <w:tcPr>
            <w:tcW w:w="3006" w:type="dxa"/>
          </w:tcPr>
          <w:p w:rsidR="00BE272A" w:rsidRDefault="0062660D" w:rsidP="00541701">
            <w:pPr>
              <w:jc w:val="center"/>
              <w:rPr>
                <w:rFonts w:cs="Arial"/>
              </w:rPr>
            </w:pPr>
            <w:r>
              <w:rPr>
                <w:rFonts w:cs="Arial"/>
              </w:rPr>
              <w:t>4</w:t>
            </w:r>
          </w:p>
        </w:tc>
      </w:tr>
      <w:tr w:rsidR="006A2C17" w:rsidTr="00541701">
        <w:tc>
          <w:tcPr>
            <w:tcW w:w="3005" w:type="dxa"/>
          </w:tcPr>
          <w:p w:rsidR="00BE272A" w:rsidRDefault="0062660D" w:rsidP="00541701">
            <w:pPr>
              <w:rPr>
                <w:rFonts w:cs="Arial"/>
              </w:rPr>
            </w:pPr>
            <w:r>
              <w:rPr>
                <w:rFonts w:cs="Arial"/>
              </w:rPr>
              <w:t>County Councillor Tony Martin</w:t>
            </w:r>
          </w:p>
        </w:tc>
        <w:tc>
          <w:tcPr>
            <w:tcW w:w="3005" w:type="dxa"/>
          </w:tcPr>
          <w:p w:rsidR="00BE272A" w:rsidRDefault="0062660D" w:rsidP="00541701">
            <w:pPr>
              <w:jc w:val="center"/>
              <w:rPr>
                <w:rFonts w:cs="Arial"/>
              </w:rPr>
            </w:pPr>
            <w:r>
              <w:rPr>
                <w:rFonts w:cs="Arial"/>
              </w:rPr>
              <w:t>5</w:t>
            </w:r>
          </w:p>
        </w:tc>
        <w:tc>
          <w:tcPr>
            <w:tcW w:w="3006" w:type="dxa"/>
          </w:tcPr>
          <w:p w:rsidR="00BE272A" w:rsidRDefault="0062660D" w:rsidP="00541701">
            <w:pPr>
              <w:jc w:val="center"/>
              <w:rPr>
                <w:rFonts w:cs="Arial"/>
              </w:rPr>
            </w:pPr>
            <w:r>
              <w:rPr>
                <w:rFonts w:cs="Arial"/>
              </w:rPr>
              <w:t>Nil</w:t>
            </w:r>
          </w:p>
        </w:tc>
      </w:tr>
      <w:tr w:rsidR="006A2C17" w:rsidTr="00541701">
        <w:tc>
          <w:tcPr>
            <w:tcW w:w="3005" w:type="dxa"/>
          </w:tcPr>
          <w:p w:rsidR="00BE272A" w:rsidRDefault="0062660D" w:rsidP="00541701">
            <w:pPr>
              <w:rPr>
                <w:rFonts w:cs="Arial"/>
              </w:rPr>
            </w:pPr>
            <w:r>
              <w:rPr>
                <w:rFonts w:cs="Arial"/>
              </w:rPr>
              <w:t>Yvonne Moult</w:t>
            </w:r>
          </w:p>
        </w:tc>
        <w:tc>
          <w:tcPr>
            <w:tcW w:w="3005" w:type="dxa"/>
          </w:tcPr>
          <w:p w:rsidR="00BE272A" w:rsidRDefault="0062660D" w:rsidP="00541701">
            <w:pPr>
              <w:jc w:val="center"/>
              <w:rPr>
                <w:rFonts w:cs="Arial"/>
              </w:rPr>
            </w:pPr>
            <w:r>
              <w:rPr>
                <w:rFonts w:cs="Arial"/>
              </w:rPr>
              <w:t>7</w:t>
            </w:r>
          </w:p>
        </w:tc>
        <w:tc>
          <w:tcPr>
            <w:tcW w:w="3006" w:type="dxa"/>
          </w:tcPr>
          <w:p w:rsidR="00BE272A" w:rsidRDefault="0062660D" w:rsidP="00541701">
            <w:pPr>
              <w:jc w:val="center"/>
              <w:rPr>
                <w:rFonts w:cs="Arial"/>
              </w:rPr>
            </w:pPr>
            <w:r>
              <w:rPr>
                <w:rFonts w:cs="Arial"/>
              </w:rPr>
              <w:t>1</w:t>
            </w:r>
          </w:p>
        </w:tc>
      </w:tr>
      <w:tr w:rsidR="006A2C17" w:rsidTr="00541701">
        <w:tc>
          <w:tcPr>
            <w:tcW w:w="3005" w:type="dxa"/>
          </w:tcPr>
          <w:p w:rsidR="00BE272A" w:rsidRDefault="0062660D" w:rsidP="00541701">
            <w:pPr>
              <w:rPr>
                <w:rFonts w:cs="Arial"/>
              </w:rPr>
            </w:pPr>
            <w:r>
              <w:rPr>
                <w:rFonts w:cs="Arial"/>
              </w:rPr>
              <w:t>Steve Thompson</w:t>
            </w:r>
          </w:p>
        </w:tc>
        <w:tc>
          <w:tcPr>
            <w:tcW w:w="3005" w:type="dxa"/>
          </w:tcPr>
          <w:p w:rsidR="00BE272A" w:rsidRDefault="0062660D" w:rsidP="00541701">
            <w:pPr>
              <w:jc w:val="center"/>
              <w:rPr>
                <w:rFonts w:cs="Arial"/>
              </w:rPr>
            </w:pPr>
            <w:r>
              <w:rPr>
                <w:rFonts w:cs="Arial"/>
              </w:rPr>
              <w:t>5</w:t>
            </w:r>
          </w:p>
        </w:tc>
        <w:tc>
          <w:tcPr>
            <w:tcW w:w="3006" w:type="dxa"/>
          </w:tcPr>
          <w:p w:rsidR="00BE272A" w:rsidRDefault="0062660D" w:rsidP="00541701">
            <w:pPr>
              <w:jc w:val="center"/>
              <w:rPr>
                <w:rFonts w:cs="Arial"/>
              </w:rPr>
            </w:pPr>
            <w:r>
              <w:rPr>
                <w:rFonts w:cs="Arial"/>
              </w:rPr>
              <w:t>Nil</w:t>
            </w:r>
          </w:p>
        </w:tc>
      </w:tr>
    </w:tbl>
    <w:p w:rsidR="00BE272A" w:rsidRDefault="0062660D" w:rsidP="00BE272A">
      <w:pPr>
        <w:ind w:left="360"/>
        <w:rPr>
          <w:rFonts w:cs="Arial"/>
        </w:rPr>
      </w:pPr>
      <w:r>
        <w:rPr>
          <w:rFonts w:cs="Arial"/>
        </w:rPr>
        <w:tab/>
        <w:t>Table 2</w:t>
      </w:r>
    </w:p>
    <w:p w:rsidR="00BE272A" w:rsidRPr="003A72BD" w:rsidRDefault="0062660D" w:rsidP="00BE272A">
      <w:pPr>
        <w:ind w:left="360"/>
        <w:rPr>
          <w:rFonts w:cs="Arial"/>
        </w:rPr>
      </w:pPr>
      <w:r w:rsidRPr="003A72BD">
        <w:rPr>
          <w:rFonts w:cs="Arial"/>
        </w:rPr>
        <w:t xml:space="preserve">The Board receives the same operational and financial monitoring reports as those which </w:t>
      </w:r>
      <w:r>
        <w:rPr>
          <w:rFonts w:cs="Arial"/>
        </w:rPr>
        <w:t xml:space="preserve">are considered by </w:t>
      </w:r>
      <w:r w:rsidRPr="003A72BD">
        <w:rPr>
          <w:rFonts w:cs="Arial"/>
        </w:rPr>
        <w:t>the Pension Fund Committee</w:t>
      </w:r>
      <w:r>
        <w:rPr>
          <w:rFonts w:cs="Arial"/>
        </w:rPr>
        <w:t xml:space="preserve">. </w:t>
      </w:r>
      <w:r w:rsidRPr="003A72BD">
        <w:rPr>
          <w:rFonts w:cs="Arial"/>
        </w:rPr>
        <w:t>Board members are expected to have read these between meetings.  While some time at meetings is spent on reviewing reports</w:t>
      </w:r>
      <w:r w:rsidRPr="003A72BD">
        <w:rPr>
          <w:rFonts w:cs="Arial"/>
        </w:rPr>
        <w:t xml:space="preserve"> received and discussing matters arising, we prefer to focus our time at meetings on more detailed discussion on specific</w:t>
      </w:r>
      <w:r>
        <w:rPr>
          <w:rFonts w:cs="Arial"/>
        </w:rPr>
        <w:t xml:space="preserve"> topics. </w:t>
      </w:r>
      <w:r w:rsidRPr="003A72BD">
        <w:rPr>
          <w:rFonts w:cs="Arial"/>
        </w:rPr>
        <w:t xml:space="preserve">The Board has on occasion commissioned specific reports from Officers to cover matters of concern. </w:t>
      </w:r>
    </w:p>
    <w:p w:rsidR="00BE272A" w:rsidRPr="003A72BD" w:rsidRDefault="0062660D" w:rsidP="00BE272A">
      <w:pPr>
        <w:ind w:left="360"/>
        <w:rPr>
          <w:rFonts w:cs="Arial"/>
        </w:rPr>
      </w:pPr>
      <w:r w:rsidRPr="003A72BD">
        <w:rPr>
          <w:rFonts w:cs="Arial"/>
        </w:rPr>
        <w:t xml:space="preserve">During the year </w:t>
      </w:r>
      <w:r>
        <w:rPr>
          <w:rFonts w:cs="Arial"/>
        </w:rPr>
        <w:t xml:space="preserve">the </w:t>
      </w:r>
      <w:r w:rsidRPr="003A72BD">
        <w:rPr>
          <w:rFonts w:cs="Arial"/>
        </w:rPr>
        <w:t xml:space="preserve">Board </w:t>
      </w:r>
      <w:r w:rsidRPr="003A72BD">
        <w:rPr>
          <w:rFonts w:cs="Arial"/>
        </w:rPr>
        <w:t>has reviewed and commented among others on the 2014</w:t>
      </w:r>
      <w:r>
        <w:rPr>
          <w:rFonts w:cs="Arial"/>
        </w:rPr>
        <w:t>/1</w:t>
      </w:r>
      <w:r w:rsidRPr="003A72BD">
        <w:rPr>
          <w:rFonts w:cs="Arial"/>
        </w:rPr>
        <w:t>5 Annual Report, Pension Administration Strategy and Quality of Service Reports, Administ</w:t>
      </w:r>
      <w:r>
        <w:rPr>
          <w:rFonts w:cs="Arial"/>
        </w:rPr>
        <w:t xml:space="preserve">ering Authorities Discretions, the Communications Policy, </w:t>
      </w:r>
      <w:r w:rsidRPr="003A72BD">
        <w:rPr>
          <w:rFonts w:cs="Arial"/>
        </w:rPr>
        <w:t>the Member Tracing Policy, and the Governance Review ass</w:t>
      </w:r>
      <w:r w:rsidRPr="003A72BD">
        <w:rPr>
          <w:rFonts w:cs="Arial"/>
        </w:rPr>
        <w:t>ociated with the establishment of LPP.</w:t>
      </w:r>
      <w:r>
        <w:rPr>
          <w:rFonts w:cs="Arial"/>
        </w:rPr>
        <w:t xml:space="preserve"> </w:t>
      </w:r>
      <w:r w:rsidRPr="003A72BD">
        <w:rPr>
          <w:rFonts w:cs="Arial"/>
        </w:rPr>
        <w:t xml:space="preserve">It has also scrutinised compliance with The Pension Regulator’s Code of Practice 14, which covers public sector pension schemes and was issued in April 2015.    </w:t>
      </w:r>
    </w:p>
    <w:p w:rsidR="00BE272A" w:rsidRPr="003A72BD" w:rsidRDefault="0062660D" w:rsidP="00BE272A">
      <w:pPr>
        <w:ind w:left="360"/>
        <w:rPr>
          <w:rFonts w:cs="Arial"/>
        </w:rPr>
      </w:pPr>
      <w:r w:rsidRPr="003A72BD">
        <w:rPr>
          <w:rFonts w:cs="Arial"/>
        </w:rPr>
        <w:t xml:space="preserve">The creation of LPP has inevitably featured largely in </w:t>
      </w:r>
      <w:r w:rsidRPr="003A72BD">
        <w:rPr>
          <w:rFonts w:cs="Arial"/>
        </w:rPr>
        <w:t xml:space="preserve">our discussions over the year, as it is </w:t>
      </w:r>
      <w:r>
        <w:rPr>
          <w:rFonts w:cs="Arial"/>
        </w:rPr>
        <w:t xml:space="preserve">one of the </w:t>
      </w:r>
      <w:r w:rsidRPr="003A72BD">
        <w:rPr>
          <w:rFonts w:cs="Arial"/>
        </w:rPr>
        <w:t>mo</w:t>
      </w:r>
      <w:r>
        <w:rPr>
          <w:rFonts w:cs="Arial"/>
        </w:rPr>
        <w:t>re</w:t>
      </w:r>
      <w:r w:rsidRPr="003A72BD">
        <w:rPr>
          <w:rFonts w:cs="Arial"/>
        </w:rPr>
        <w:t xml:space="preserve"> important chang</w:t>
      </w:r>
      <w:r>
        <w:rPr>
          <w:rFonts w:cs="Arial"/>
        </w:rPr>
        <w:t xml:space="preserve">es in the Fund in recent years. </w:t>
      </w:r>
      <w:r w:rsidRPr="003A72BD">
        <w:rPr>
          <w:rFonts w:cs="Arial"/>
        </w:rPr>
        <w:t>As a Board, we have been supportive of the creation of LPP, but have provided robust challenge to the Pension Fund Committee throughout the process, part</w:t>
      </w:r>
      <w:r w:rsidRPr="003A72BD">
        <w:rPr>
          <w:rFonts w:cs="Arial"/>
        </w:rPr>
        <w:t>icularly in the area of governance and compliance.  We will continue to do so as LPP finds its feet over the next few years in order to ensure that Members and Employers do benefit from its creation.</w:t>
      </w:r>
    </w:p>
    <w:p w:rsidR="00BE272A" w:rsidRDefault="0062660D" w:rsidP="00BE272A">
      <w:pPr>
        <w:ind w:left="360"/>
        <w:rPr>
          <w:rFonts w:cs="Arial"/>
        </w:rPr>
      </w:pPr>
      <w:r w:rsidRPr="003A72BD">
        <w:rPr>
          <w:rFonts w:cs="Arial"/>
        </w:rPr>
        <w:t xml:space="preserve">We have also spent some time discussing how to improve communications between the Fund and its Members and Employers in both directions   As a result, some changes have been made to the forms which the Fund uses to make them easier to use.    In the light </w:t>
      </w:r>
      <w:r w:rsidRPr="003A72BD">
        <w:rPr>
          <w:rFonts w:cs="Arial"/>
        </w:rPr>
        <w:t xml:space="preserve">of The Pensions Regulator’s standards for data quality, we have also looked at practical ways to encourage both Members and Employers to provide accurate and timely data. </w:t>
      </w:r>
    </w:p>
    <w:p w:rsidR="00BE272A" w:rsidRPr="00DA0311" w:rsidRDefault="0062660D" w:rsidP="00BE272A">
      <w:pPr>
        <w:ind w:left="360"/>
        <w:rPr>
          <w:rFonts w:cs="Arial"/>
        </w:rPr>
      </w:pPr>
      <w:r w:rsidRPr="003A72BD">
        <w:rPr>
          <w:rFonts w:cs="Arial"/>
        </w:rPr>
        <w:t>The Board has an annual budget of £50,000 funded by the Lancashire County Pension Fu</w:t>
      </w:r>
      <w:r w:rsidRPr="003A72BD">
        <w:rPr>
          <w:rFonts w:cs="Arial"/>
        </w:rPr>
        <w:t xml:space="preserve">nd, which is used primarily to defray the cost of Members’ attendance at training events or conferences, travelling </w:t>
      </w:r>
      <w:r w:rsidRPr="00DA0311">
        <w:rPr>
          <w:rFonts w:cs="Arial"/>
        </w:rPr>
        <w:t>expenses and reimbursement to employers.  During the 2015/16 year, the costs of the Board were £20,639.33.</w:t>
      </w:r>
    </w:p>
    <w:p w:rsidR="00BE272A" w:rsidRDefault="0062660D" w:rsidP="00BE272A">
      <w:pPr>
        <w:ind w:left="360"/>
        <w:rPr>
          <w:rFonts w:cs="Arial"/>
        </w:rPr>
      </w:pPr>
      <w:r w:rsidRPr="003A72BD">
        <w:rPr>
          <w:rFonts w:cs="Arial"/>
        </w:rPr>
        <w:t xml:space="preserve">After the first twelve months of </w:t>
      </w:r>
      <w:r w:rsidRPr="003A72BD">
        <w:rPr>
          <w:rFonts w:cs="Arial"/>
        </w:rPr>
        <w:t xml:space="preserve">the Local Pension Board’s activities, we need to look back and ask whether it is adding value to the Lancashire County Pension Fund’s operations, and whether it will continue to do so </w:t>
      </w:r>
      <w:r>
        <w:rPr>
          <w:rFonts w:cs="Arial"/>
        </w:rPr>
        <w:t xml:space="preserve">in the future.  </w:t>
      </w:r>
      <w:r w:rsidRPr="003A72BD">
        <w:rPr>
          <w:rFonts w:cs="Arial"/>
        </w:rPr>
        <w:t>It is still early days, but I believe that it is already</w:t>
      </w:r>
      <w:r w:rsidRPr="003A72BD">
        <w:rPr>
          <w:rFonts w:cs="Arial"/>
        </w:rPr>
        <w:t xml:space="preserve"> fulfilling two important functions: offering challenge to the </w:t>
      </w:r>
      <w:r>
        <w:rPr>
          <w:rFonts w:cs="Arial"/>
        </w:rPr>
        <w:t>Pension Fund Committee</w:t>
      </w:r>
      <w:r w:rsidRPr="003A72BD">
        <w:rPr>
          <w:rFonts w:cs="Arial"/>
        </w:rPr>
        <w:t>; and providing valuable Members’ and</w:t>
      </w:r>
      <w:r>
        <w:rPr>
          <w:rFonts w:cs="Arial"/>
        </w:rPr>
        <w:t xml:space="preserve"> Employers’ perspectives to those managing the Fund </w:t>
      </w:r>
      <w:r w:rsidRPr="003A72BD">
        <w:rPr>
          <w:rFonts w:cs="Arial"/>
        </w:rPr>
        <w:t>which they might otherwise struggle to obtain.  We have on a number of occasions m</w:t>
      </w:r>
      <w:r w:rsidRPr="003A72BD">
        <w:rPr>
          <w:rFonts w:cs="Arial"/>
        </w:rPr>
        <w:t>ade recommendations or suggest</w:t>
      </w:r>
      <w:r>
        <w:rPr>
          <w:rFonts w:cs="Arial"/>
        </w:rPr>
        <w:t xml:space="preserve">ions which have been acted on. </w:t>
      </w:r>
      <w:r w:rsidRPr="003A72BD">
        <w:rPr>
          <w:rFonts w:cs="Arial"/>
        </w:rPr>
        <w:t>We are able to do this because we have a fully engaged and experienced Board membership, and also because we have the full support and commitment of the Officers who run the Lancashire County Pen</w:t>
      </w:r>
      <w:r w:rsidRPr="003A72BD">
        <w:rPr>
          <w:rFonts w:cs="Arial"/>
        </w:rPr>
        <w:t>sion Fund</w:t>
      </w:r>
      <w:r>
        <w:rPr>
          <w:rFonts w:cs="Arial"/>
        </w:rPr>
        <w:t xml:space="preserve">. </w:t>
      </w:r>
      <w:r w:rsidRPr="003A72BD">
        <w:rPr>
          <w:rFonts w:cs="Arial"/>
        </w:rPr>
        <w:t>As Chair, I would like to pay tribute to all members of the Board, who give up their time on an unpaid basis to wrestle with the complex and evolving subject of the regulations and guidance covering the LGPS Scheme generally and to play their pa</w:t>
      </w:r>
      <w:r w:rsidRPr="003A72BD">
        <w:rPr>
          <w:rFonts w:cs="Arial"/>
        </w:rPr>
        <w:t>rt in making this Fund run ever more efficiently.</w:t>
      </w:r>
    </w:p>
    <w:p w:rsidR="00BE272A" w:rsidRDefault="0062660D" w:rsidP="00BE272A">
      <w:pPr>
        <w:ind w:left="360"/>
        <w:rPr>
          <w:rFonts w:cs="Arial"/>
        </w:rPr>
      </w:pPr>
    </w:p>
    <w:p w:rsidR="00BE272A" w:rsidRDefault="0062660D" w:rsidP="00BE272A">
      <w:pPr>
        <w:ind w:left="360"/>
        <w:rPr>
          <w:rFonts w:cs="Arial"/>
        </w:rPr>
      </w:pPr>
    </w:p>
    <w:p w:rsidR="00BE272A" w:rsidRDefault="0062660D" w:rsidP="00BE272A">
      <w:pPr>
        <w:spacing w:after="0"/>
        <w:ind w:left="360"/>
        <w:rPr>
          <w:rFonts w:cs="Arial"/>
        </w:rPr>
      </w:pPr>
      <w:r>
        <w:rPr>
          <w:rFonts w:cs="Arial"/>
        </w:rPr>
        <w:t>William Bourne</w:t>
      </w:r>
    </w:p>
    <w:p w:rsidR="00BE272A" w:rsidRDefault="0062660D" w:rsidP="00BE272A">
      <w:pPr>
        <w:spacing w:after="0"/>
        <w:ind w:left="360"/>
        <w:rPr>
          <w:rFonts w:cs="Arial"/>
        </w:rPr>
      </w:pPr>
      <w:r>
        <w:rPr>
          <w:rFonts w:cs="Arial"/>
        </w:rPr>
        <w:t>Chair, Lancashire Local Pension Board</w:t>
      </w:r>
    </w:p>
    <w:p w:rsidR="00BE272A" w:rsidRPr="003A72BD" w:rsidRDefault="0062660D" w:rsidP="00BE272A">
      <w:pPr>
        <w:spacing w:after="0"/>
        <w:ind w:left="360"/>
        <w:rPr>
          <w:rFonts w:cs="Arial"/>
        </w:rPr>
      </w:pPr>
      <w:r>
        <w:rPr>
          <w:rFonts w:cs="Arial"/>
        </w:rPr>
        <w:t>July 2016</w:t>
      </w:r>
    </w:p>
    <w:p w:rsidR="007D5F84" w:rsidRPr="003A72BD" w:rsidRDefault="0062660D" w:rsidP="007D5F84">
      <w:pPr>
        <w:spacing w:after="0"/>
        <w:ind w:left="360"/>
        <w:jc w:val="left"/>
        <w:rPr>
          <w:rFonts w:cs="Arial"/>
        </w:rPr>
      </w:pPr>
    </w:p>
    <w:p w:rsidR="007D5F84" w:rsidRPr="007D5F84" w:rsidRDefault="0062660D" w:rsidP="007D5F84">
      <w:pPr>
        <w:spacing w:after="0"/>
        <w:rPr>
          <w:b/>
          <w:sz w:val="40"/>
          <w:szCs w:val="40"/>
        </w:rPr>
      </w:pPr>
    </w:p>
    <w:p w:rsidR="00DB04AF" w:rsidRDefault="0062660D" w:rsidP="00DB04AF">
      <w:pPr>
        <w:rPr>
          <w:b/>
          <w:sz w:val="40"/>
          <w:szCs w:val="40"/>
        </w:rPr>
      </w:pPr>
    </w:p>
    <w:p w:rsidR="00DB04AF" w:rsidRDefault="0062660D" w:rsidP="00E002E6">
      <w:pPr>
        <w:autoSpaceDE/>
        <w:autoSpaceDN/>
        <w:adjustRightInd/>
        <w:spacing w:after="0"/>
        <w:ind w:left="360"/>
        <w:jc w:val="left"/>
        <w:rPr>
          <w:rFonts w:eastAsia="Times New Roman" w:cs="Times New Roman"/>
          <w:b/>
          <w:color w:val="auto"/>
          <w:sz w:val="28"/>
          <w:szCs w:val="28"/>
          <w:lang w:eastAsia="en-GB"/>
        </w:rPr>
      </w:pPr>
    </w:p>
    <w:p w:rsidR="00DB04AF" w:rsidRPr="00E002E6" w:rsidRDefault="0062660D" w:rsidP="00E002E6">
      <w:pPr>
        <w:autoSpaceDE/>
        <w:autoSpaceDN/>
        <w:adjustRightInd/>
        <w:spacing w:after="0"/>
        <w:ind w:left="360"/>
        <w:jc w:val="left"/>
        <w:rPr>
          <w:rFonts w:eastAsia="Times New Roman" w:cs="Times New Roman"/>
          <w:b/>
          <w:color w:val="auto"/>
          <w:sz w:val="28"/>
          <w:szCs w:val="28"/>
          <w:lang w:eastAsia="en-GB"/>
        </w:rPr>
      </w:pPr>
    </w:p>
    <w:p w:rsidR="00E002E6" w:rsidRDefault="0062660D" w:rsidP="00DC1E0D">
      <w:pPr>
        <w:autoSpaceDE/>
        <w:autoSpaceDN/>
        <w:adjustRightInd/>
        <w:spacing w:after="0"/>
        <w:jc w:val="left"/>
      </w:pPr>
    </w:p>
    <w:tbl>
      <w:tblPr>
        <w:tblW w:w="791" w:type="dxa"/>
        <w:tblInd w:w="250" w:type="dxa"/>
        <w:tblLook w:val="04A0" w:firstRow="1" w:lastRow="0" w:firstColumn="1" w:lastColumn="0" w:noHBand="0" w:noVBand="1"/>
      </w:tblPr>
      <w:tblGrid>
        <w:gridCol w:w="791"/>
      </w:tblGrid>
      <w:tr w:rsidR="006A2C17" w:rsidTr="00DB04AF">
        <w:trPr>
          <w:trHeight w:val="454"/>
        </w:trPr>
        <w:tc>
          <w:tcPr>
            <w:tcW w:w="791" w:type="dxa"/>
            <w:tcBorders>
              <w:top w:val="nil"/>
              <w:left w:val="nil"/>
              <w:bottom w:val="nil"/>
              <w:right w:val="nil"/>
            </w:tcBorders>
            <w:shd w:val="clear" w:color="auto" w:fill="auto"/>
            <w:noWrap/>
            <w:vAlign w:val="center"/>
          </w:tcPr>
          <w:p w:rsidR="00DB04AF" w:rsidRPr="00F477E0" w:rsidRDefault="0062660D" w:rsidP="00DB04AF">
            <w:pPr>
              <w:autoSpaceDE/>
              <w:autoSpaceDN/>
              <w:adjustRightInd/>
              <w:spacing w:after="0"/>
              <w:jc w:val="left"/>
              <w:rPr>
                <w:rFonts w:eastAsia="Times New Roman" w:cs="Arial"/>
                <w:lang w:eastAsia="en-GB"/>
              </w:rPr>
            </w:pPr>
          </w:p>
        </w:tc>
      </w:tr>
      <w:tr w:rsidR="006A2C17" w:rsidTr="00DB04AF">
        <w:trPr>
          <w:trHeight w:val="454"/>
        </w:trPr>
        <w:tc>
          <w:tcPr>
            <w:tcW w:w="791" w:type="dxa"/>
            <w:tcBorders>
              <w:top w:val="nil"/>
              <w:left w:val="nil"/>
              <w:bottom w:val="nil"/>
              <w:right w:val="nil"/>
            </w:tcBorders>
            <w:shd w:val="clear" w:color="auto" w:fill="auto"/>
            <w:noWrap/>
            <w:vAlign w:val="center"/>
          </w:tcPr>
          <w:p w:rsidR="00DB04AF" w:rsidRPr="00F477E0" w:rsidRDefault="0062660D" w:rsidP="00DB04AF">
            <w:pPr>
              <w:autoSpaceDE/>
              <w:autoSpaceDN/>
              <w:adjustRightInd/>
              <w:spacing w:after="0"/>
              <w:jc w:val="center"/>
              <w:rPr>
                <w:rFonts w:eastAsia="Times New Roman" w:cs="Arial"/>
                <w:lang w:eastAsia="en-GB"/>
              </w:rPr>
            </w:pPr>
          </w:p>
        </w:tc>
      </w:tr>
      <w:tr w:rsidR="006A2C17" w:rsidTr="00DB04AF">
        <w:trPr>
          <w:trHeight w:val="454"/>
        </w:trPr>
        <w:tc>
          <w:tcPr>
            <w:tcW w:w="791" w:type="dxa"/>
            <w:tcBorders>
              <w:top w:val="nil"/>
              <w:left w:val="nil"/>
              <w:bottom w:val="nil"/>
              <w:right w:val="nil"/>
            </w:tcBorders>
            <w:shd w:val="clear" w:color="auto" w:fill="auto"/>
            <w:noWrap/>
            <w:vAlign w:val="center"/>
          </w:tcPr>
          <w:p w:rsidR="00DB04AF" w:rsidRPr="00F477E0" w:rsidRDefault="0062660D" w:rsidP="00DB04AF">
            <w:pPr>
              <w:autoSpaceDE/>
              <w:autoSpaceDN/>
              <w:adjustRightInd/>
              <w:spacing w:after="0"/>
              <w:jc w:val="center"/>
              <w:rPr>
                <w:rFonts w:eastAsia="Times New Roman" w:cs="Arial"/>
                <w:lang w:eastAsia="en-GB"/>
              </w:rPr>
            </w:pPr>
          </w:p>
        </w:tc>
      </w:tr>
      <w:tr w:rsidR="006A2C17" w:rsidTr="00DB04AF">
        <w:trPr>
          <w:trHeight w:val="454"/>
        </w:trPr>
        <w:tc>
          <w:tcPr>
            <w:tcW w:w="791" w:type="dxa"/>
            <w:tcBorders>
              <w:top w:val="nil"/>
              <w:left w:val="nil"/>
              <w:bottom w:val="nil"/>
              <w:right w:val="nil"/>
            </w:tcBorders>
            <w:shd w:val="clear" w:color="auto" w:fill="auto"/>
            <w:noWrap/>
            <w:vAlign w:val="center"/>
          </w:tcPr>
          <w:p w:rsidR="00DB04AF" w:rsidRPr="00F477E0" w:rsidRDefault="0062660D" w:rsidP="00DB04AF">
            <w:pPr>
              <w:autoSpaceDE/>
              <w:autoSpaceDN/>
              <w:adjustRightInd/>
              <w:spacing w:after="0"/>
              <w:jc w:val="center"/>
              <w:rPr>
                <w:rFonts w:eastAsia="Times New Roman" w:cs="Arial"/>
                <w:lang w:eastAsia="en-GB"/>
              </w:rPr>
            </w:pPr>
          </w:p>
        </w:tc>
      </w:tr>
      <w:tr w:rsidR="006A2C17" w:rsidTr="00DB04AF">
        <w:trPr>
          <w:trHeight w:val="454"/>
        </w:trPr>
        <w:tc>
          <w:tcPr>
            <w:tcW w:w="791" w:type="dxa"/>
            <w:tcBorders>
              <w:top w:val="nil"/>
              <w:left w:val="nil"/>
              <w:bottom w:val="nil"/>
              <w:right w:val="nil"/>
            </w:tcBorders>
            <w:shd w:val="clear" w:color="auto" w:fill="auto"/>
            <w:noWrap/>
            <w:vAlign w:val="center"/>
          </w:tcPr>
          <w:p w:rsidR="00DB04AF" w:rsidRPr="00F477E0" w:rsidRDefault="0062660D" w:rsidP="00DB04AF">
            <w:pPr>
              <w:autoSpaceDE/>
              <w:autoSpaceDN/>
              <w:adjustRightInd/>
              <w:spacing w:after="0"/>
              <w:jc w:val="center"/>
              <w:rPr>
                <w:rFonts w:eastAsia="Times New Roman" w:cs="Arial"/>
                <w:lang w:eastAsia="en-GB"/>
              </w:rPr>
            </w:pPr>
          </w:p>
        </w:tc>
      </w:tr>
    </w:tbl>
    <w:p w:rsidR="004D4F0A" w:rsidRPr="004D4F0A" w:rsidRDefault="0062660D" w:rsidP="00CD7572">
      <w:pPr>
        <w:numPr>
          <w:ilvl w:val="0"/>
          <w:numId w:val="15"/>
        </w:numPr>
        <w:autoSpaceDE/>
        <w:autoSpaceDN/>
        <w:adjustRightInd/>
        <w:spacing w:after="0"/>
        <w:jc w:val="left"/>
        <w:rPr>
          <w:sz w:val="40"/>
          <w:szCs w:val="40"/>
        </w:rPr>
      </w:pPr>
      <w:r>
        <w:br w:type="page"/>
      </w:r>
      <w:bookmarkEnd w:id="1"/>
      <w:r w:rsidRPr="004D4F0A">
        <w:rPr>
          <w:b/>
          <w:snapToGrid w:val="0"/>
          <w:sz w:val="40"/>
          <w:szCs w:val="40"/>
        </w:rPr>
        <w:t>Actuarial Valuation</w:t>
      </w:r>
      <w:r w:rsidRPr="004D4F0A">
        <w:rPr>
          <w:sz w:val="40"/>
          <w:szCs w:val="40"/>
        </w:rPr>
        <w:t xml:space="preserve"> </w:t>
      </w:r>
    </w:p>
    <w:p w:rsidR="004D4F0A" w:rsidRDefault="0062660D" w:rsidP="004D4F0A">
      <w:pPr>
        <w:spacing w:before="120"/>
      </w:pPr>
    </w:p>
    <w:p w:rsidR="004D4F0A" w:rsidRPr="00E87CD5" w:rsidRDefault="0062660D" w:rsidP="005C6419">
      <w:pPr>
        <w:spacing w:before="120"/>
      </w:pPr>
      <w:r w:rsidRPr="00E87CD5">
        <w:t>An actuarial valuation of the Fund is carried out every three years by the Fund’s actuary Mercer.  The</w:t>
      </w:r>
      <w:r w:rsidRPr="00E87CD5">
        <w:t xml:space="preserve"> most recent valuation carried out was at 31 March 201</w:t>
      </w:r>
      <w:r>
        <w:t>3</w:t>
      </w:r>
      <w:r w:rsidRPr="00E87CD5">
        <w:t xml:space="preserve"> which determines contribution rates effective from 1 April 201</w:t>
      </w:r>
      <w:r>
        <w:t>4</w:t>
      </w:r>
      <w:r w:rsidRPr="00E87CD5">
        <w:t xml:space="preserve"> to 31 March 201</w:t>
      </w:r>
      <w:r>
        <w:t>7</w:t>
      </w:r>
      <w:r w:rsidRPr="00E87CD5">
        <w:t xml:space="preserve">.  </w:t>
      </w:r>
    </w:p>
    <w:p w:rsidR="004D4F0A" w:rsidRPr="00004845" w:rsidRDefault="0062660D" w:rsidP="005C6419">
      <w:pPr>
        <w:spacing w:before="120"/>
      </w:pPr>
      <w:r w:rsidRPr="00004845">
        <w:t>The Funding objective is to achieve and then maintain assets equal to the Funding Target.  The Funding Target is the</w:t>
      </w:r>
      <w:r w:rsidRPr="00004845">
        <w:t xml:space="preserve"> present value of 100% of projective accrued liabilities, including allowance for projected final pay.  This is to comply with the requirements of the LGPS regulations to secure the solvency of the Fund and is in accordance with the Funding Strategy Statem</w:t>
      </w:r>
      <w:r w:rsidRPr="00004845">
        <w:t>ent.  The methodology and assumptions by which the Funding Targets and contribution rates are calculated have also been determined in accordance with the Funding Strategy Statement.</w:t>
      </w:r>
    </w:p>
    <w:p w:rsidR="004D4F0A" w:rsidRDefault="0062660D" w:rsidP="005C6419">
      <w:pPr>
        <w:spacing w:before="120"/>
      </w:pPr>
      <w:r w:rsidRPr="00004845">
        <w:t>The Funding Strategy Statement specifies a maximum period for achieving fu</w:t>
      </w:r>
      <w:r w:rsidRPr="00004845">
        <w:t>ll funding of 19 years, this is the same as the maximum period of years adopted at the 2010 valuation in accordance with the then published FSS.</w:t>
      </w:r>
      <w:r w:rsidRPr="004D4F0A">
        <w:t xml:space="preserve">  </w:t>
      </w:r>
      <w:r>
        <w:t>Where a shortfall exists at the effective date of the valuation a deficit recovery plan will be put into place</w:t>
      </w:r>
      <w:r>
        <w:t xml:space="preserve"> which requires additional contributions to correct the shortfall.</w:t>
      </w:r>
    </w:p>
    <w:p w:rsidR="004D4F0A" w:rsidRDefault="0062660D" w:rsidP="005C6419">
      <w:pPr>
        <w:tabs>
          <w:tab w:val="left" w:pos="10233"/>
        </w:tabs>
        <w:spacing w:before="120"/>
      </w:pPr>
      <w:r w:rsidRPr="002A166C">
        <w:t>The valuation (effective from 1 April 201</w:t>
      </w:r>
      <w:r w:rsidRPr="002A166C">
        <w:t>4</w:t>
      </w:r>
      <w:r w:rsidRPr="002A166C">
        <w:t xml:space="preserve">) revealed a funding level of </w:t>
      </w:r>
      <w:r w:rsidRPr="002A166C">
        <w:t>78</w:t>
      </w:r>
      <w:r w:rsidRPr="002A166C">
        <w:t>% and an average employer’s contribution rate of 1</w:t>
      </w:r>
      <w:r w:rsidRPr="002A166C">
        <w:t>3.</w:t>
      </w:r>
      <w:r w:rsidRPr="002A166C">
        <w:t>1%</w:t>
      </w:r>
      <w:r w:rsidRPr="002A166C">
        <w:t xml:space="preserve"> plus </w:t>
      </w:r>
      <w:r w:rsidRPr="002A166C">
        <w:t xml:space="preserve">a </w:t>
      </w:r>
      <w:r>
        <w:t xml:space="preserve">deficit </w:t>
      </w:r>
      <w:r w:rsidRPr="002A166C">
        <w:t xml:space="preserve">contribution of £81m per annum increasing at </w:t>
      </w:r>
      <w:r w:rsidRPr="002A166C">
        <w:t>4.1% per annum for 19 years</w:t>
      </w:r>
      <w:r w:rsidRPr="002A166C">
        <w:t xml:space="preserve">.  </w:t>
      </w:r>
      <w:r>
        <w:t>Since 31 March 2013 there have been significant changes in the financial market position.  In particular there has been an increase in gilt</w:t>
      </w:r>
      <w:r>
        <w:t xml:space="preserve"> </w:t>
      </w:r>
      <w:r>
        <w:t>yields, which underpin the assessment of the past service liability values and therefo</w:t>
      </w:r>
      <w:r>
        <w:t>re the long term funding target.  Considering changes in the major financial factors only, as at 31 August 2013 the impact of market changes has meant the funding level has increased to approximately 82% (from 78% at 31 March).</w:t>
      </w:r>
    </w:p>
    <w:p w:rsidR="005C6419" w:rsidRPr="004D4F0A" w:rsidRDefault="0062660D" w:rsidP="005C6419">
      <w:pPr>
        <w:tabs>
          <w:tab w:val="left" w:pos="10233"/>
        </w:tabs>
        <w:spacing w:before="120"/>
        <w:rPr>
          <w:highlight w:val="yellow"/>
        </w:rPr>
      </w:pPr>
    </w:p>
    <w:p w:rsidR="005C6419" w:rsidRDefault="0062660D" w:rsidP="005C6419">
      <w:pPr>
        <w:spacing w:before="120"/>
        <w:jc w:val="left"/>
      </w:pPr>
      <w:r w:rsidRPr="002A166C">
        <w:t xml:space="preserve">An extract from the </w:t>
      </w:r>
      <w:r w:rsidRPr="002A166C">
        <w:t>certified Actuarial Valuation produc</w:t>
      </w:r>
      <w:r w:rsidRPr="002A166C">
        <w:t>ed by Mercer as at 31 March 2013</w:t>
      </w:r>
      <w:r w:rsidRPr="002A166C">
        <w:t xml:space="preserve">, detailing the breakdown of the </w:t>
      </w:r>
      <w:r w:rsidRPr="002A166C">
        <w:t>78</w:t>
      </w:r>
      <w:r w:rsidRPr="002A166C">
        <w:t>% funding level is as follows:</w:t>
      </w:r>
    </w:p>
    <w:p w:rsidR="005C6419" w:rsidRDefault="0062660D" w:rsidP="005C6419">
      <w:pPr>
        <w:spacing w:before="120"/>
      </w:pPr>
    </w:p>
    <w:tbl>
      <w:tblPr>
        <w:tblW w:w="10580" w:type="dxa"/>
        <w:tblInd w:w="-18" w:type="dxa"/>
        <w:tblBorders>
          <w:top w:val="single" w:sz="4" w:space="0" w:color="auto"/>
          <w:bottom w:val="single" w:sz="4" w:space="0" w:color="auto"/>
          <w:insideH w:val="single" w:sz="4" w:space="0" w:color="auto"/>
        </w:tblBorders>
        <w:tblLayout w:type="fixed"/>
        <w:tblCellMar>
          <w:left w:w="72" w:type="dxa"/>
          <w:right w:w="72" w:type="dxa"/>
        </w:tblCellMar>
        <w:tblLook w:val="01E0" w:firstRow="1" w:lastRow="1" w:firstColumn="1" w:lastColumn="1" w:noHBand="0" w:noVBand="0"/>
      </w:tblPr>
      <w:tblGrid>
        <w:gridCol w:w="3402"/>
        <w:gridCol w:w="4768"/>
        <w:gridCol w:w="2410"/>
      </w:tblGrid>
      <w:tr w:rsidR="006A2C17" w:rsidTr="005C6419">
        <w:trPr>
          <w:cantSplit/>
          <w:tblHeader/>
        </w:trPr>
        <w:tc>
          <w:tcPr>
            <w:tcW w:w="3402" w:type="dxa"/>
            <w:tcBorders>
              <w:top w:val="single" w:sz="8" w:space="0" w:color="auto"/>
              <w:bottom w:val="nil"/>
            </w:tcBorders>
            <w:shd w:val="clear" w:color="auto" w:fill="auto"/>
            <w:vAlign w:val="bottom"/>
          </w:tcPr>
          <w:p w:rsidR="005C6419" w:rsidRPr="00D50BFF" w:rsidRDefault="0062660D" w:rsidP="007F277C">
            <w:pPr>
              <w:pStyle w:val="TableHeadingText"/>
              <w:rPr>
                <w:sz w:val="20"/>
              </w:rPr>
            </w:pPr>
          </w:p>
        </w:tc>
        <w:tc>
          <w:tcPr>
            <w:tcW w:w="7178" w:type="dxa"/>
            <w:gridSpan w:val="2"/>
            <w:tcBorders>
              <w:top w:val="single" w:sz="8" w:space="0" w:color="auto"/>
              <w:bottom w:val="nil"/>
            </w:tcBorders>
            <w:shd w:val="clear" w:color="auto" w:fill="auto"/>
            <w:vAlign w:val="bottom"/>
          </w:tcPr>
          <w:p w:rsidR="005C6419" w:rsidRPr="00D50BFF" w:rsidRDefault="0062660D" w:rsidP="005C6419">
            <w:pPr>
              <w:pStyle w:val="TableHeadingText"/>
              <w:jc w:val="center"/>
              <w:rPr>
                <w:sz w:val="20"/>
              </w:rPr>
            </w:pPr>
            <w:r>
              <w:rPr>
                <w:sz w:val="20"/>
              </w:rPr>
              <w:t xml:space="preserve">          </w:t>
            </w:r>
            <w:r w:rsidRPr="00D50BFF">
              <w:rPr>
                <w:sz w:val="20"/>
              </w:rPr>
              <w:t>£m</w:t>
            </w:r>
          </w:p>
        </w:tc>
      </w:tr>
      <w:tr w:rsidR="006A2C17" w:rsidTr="005C6419">
        <w:trPr>
          <w:cantSplit/>
        </w:trPr>
        <w:tc>
          <w:tcPr>
            <w:tcW w:w="3402" w:type="dxa"/>
            <w:tcBorders>
              <w:top w:val="nil"/>
            </w:tcBorders>
            <w:shd w:val="clear" w:color="auto" w:fill="auto"/>
          </w:tcPr>
          <w:p w:rsidR="005C6419" w:rsidRPr="00D50BFF" w:rsidRDefault="0062660D" w:rsidP="007F277C">
            <w:pPr>
              <w:pStyle w:val="TableText"/>
            </w:pPr>
          </w:p>
        </w:tc>
        <w:tc>
          <w:tcPr>
            <w:tcW w:w="4768" w:type="dxa"/>
            <w:tcBorders>
              <w:top w:val="nil"/>
            </w:tcBorders>
            <w:shd w:val="clear" w:color="auto" w:fill="auto"/>
          </w:tcPr>
          <w:p w:rsidR="005C6419" w:rsidRPr="00D50BFF" w:rsidRDefault="0062660D" w:rsidP="007F277C">
            <w:pPr>
              <w:pStyle w:val="TableHeadingText"/>
              <w:jc w:val="center"/>
              <w:rPr>
                <w:sz w:val="20"/>
              </w:rPr>
            </w:pPr>
            <w:r w:rsidRPr="00D50BFF">
              <w:rPr>
                <w:sz w:val="20"/>
              </w:rPr>
              <w:t>31 March 2013</w:t>
            </w:r>
          </w:p>
        </w:tc>
        <w:tc>
          <w:tcPr>
            <w:tcW w:w="2410" w:type="dxa"/>
            <w:tcBorders>
              <w:top w:val="nil"/>
            </w:tcBorders>
            <w:shd w:val="clear" w:color="auto" w:fill="auto"/>
          </w:tcPr>
          <w:p w:rsidR="005C6419" w:rsidRPr="00D50BFF" w:rsidRDefault="0062660D" w:rsidP="007F277C">
            <w:pPr>
              <w:pStyle w:val="TableHeadingText"/>
              <w:jc w:val="center"/>
              <w:rPr>
                <w:sz w:val="20"/>
              </w:rPr>
            </w:pPr>
            <w:r w:rsidRPr="00D50BFF">
              <w:rPr>
                <w:sz w:val="20"/>
              </w:rPr>
              <w:t>31 March 2010</w:t>
            </w:r>
          </w:p>
        </w:tc>
      </w:tr>
      <w:tr w:rsidR="006A2C17" w:rsidTr="005C6419">
        <w:trPr>
          <w:cantSplit/>
        </w:trPr>
        <w:tc>
          <w:tcPr>
            <w:tcW w:w="3402" w:type="dxa"/>
            <w:shd w:val="clear" w:color="auto" w:fill="auto"/>
          </w:tcPr>
          <w:p w:rsidR="005C6419" w:rsidRPr="00D50BFF" w:rsidRDefault="0062660D" w:rsidP="007F277C">
            <w:pPr>
              <w:pStyle w:val="TableText"/>
            </w:pPr>
            <w:r w:rsidRPr="00D50BFF">
              <w:t>Total assets</w:t>
            </w:r>
          </w:p>
        </w:tc>
        <w:tc>
          <w:tcPr>
            <w:tcW w:w="4768" w:type="dxa"/>
            <w:shd w:val="clear" w:color="auto" w:fill="auto"/>
          </w:tcPr>
          <w:p w:rsidR="005C6419" w:rsidRPr="00E51061" w:rsidRDefault="0062660D" w:rsidP="007F277C">
            <w:pPr>
              <w:pStyle w:val="TableText"/>
              <w:jc w:val="center"/>
              <w:rPr>
                <w:color w:val="000000"/>
              </w:rPr>
            </w:pPr>
            <w:r w:rsidRPr="00E51061">
              <w:rPr>
                <w:noProof/>
                <w:color w:val="000000"/>
              </w:rPr>
              <w:t xml:space="preserve"> 5,011</w:t>
            </w:r>
          </w:p>
        </w:tc>
        <w:tc>
          <w:tcPr>
            <w:tcW w:w="2410" w:type="dxa"/>
            <w:shd w:val="clear" w:color="auto" w:fill="auto"/>
          </w:tcPr>
          <w:p w:rsidR="005C6419" w:rsidRPr="00E51061" w:rsidRDefault="0062660D" w:rsidP="007F277C">
            <w:pPr>
              <w:pStyle w:val="TableText"/>
              <w:jc w:val="center"/>
              <w:rPr>
                <w:color w:val="000000"/>
              </w:rPr>
            </w:pPr>
            <w:r w:rsidRPr="00E51061">
              <w:rPr>
                <w:noProof/>
                <w:color w:val="000000"/>
              </w:rPr>
              <w:t>3,962</w:t>
            </w:r>
          </w:p>
        </w:tc>
      </w:tr>
      <w:tr w:rsidR="006A2C17" w:rsidTr="005C6419">
        <w:trPr>
          <w:cantSplit/>
        </w:trPr>
        <w:tc>
          <w:tcPr>
            <w:tcW w:w="3402" w:type="dxa"/>
            <w:shd w:val="clear" w:color="auto" w:fill="auto"/>
          </w:tcPr>
          <w:p w:rsidR="005C6419" w:rsidRPr="00D50BFF" w:rsidRDefault="0062660D" w:rsidP="007F277C">
            <w:pPr>
              <w:pStyle w:val="TableText"/>
            </w:pPr>
            <w:r w:rsidRPr="00D50BFF">
              <w:t>Liabilities:</w:t>
            </w:r>
          </w:p>
        </w:tc>
        <w:tc>
          <w:tcPr>
            <w:tcW w:w="4768" w:type="dxa"/>
            <w:shd w:val="clear" w:color="auto" w:fill="auto"/>
          </w:tcPr>
          <w:p w:rsidR="005C6419" w:rsidRPr="00E51061" w:rsidRDefault="0062660D" w:rsidP="007F277C">
            <w:pPr>
              <w:pStyle w:val="TableText"/>
              <w:jc w:val="center"/>
              <w:rPr>
                <w:color w:val="000000"/>
              </w:rPr>
            </w:pPr>
          </w:p>
        </w:tc>
        <w:tc>
          <w:tcPr>
            <w:tcW w:w="2410" w:type="dxa"/>
            <w:shd w:val="clear" w:color="auto" w:fill="auto"/>
          </w:tcPr>
          <w:p w:rsidR="005C6419" w:rsidRPr="00E51061" w:rsidRDefault="0062660D" w:rsidP="007F277C">
            <w:pPr>
              <w:pStyle w:val="TableText"/>
              <w:jc w:val="center"/>
              <w:rPr>
                <w:color w:val="000000"/>
              </w:rPr>
            </w:pPr>
          </w:p>
        </w:tc>
      </w:tr>
      <w:tr w:rsidR="006A2C17" w:rsidTr="005C6419">
        <w:trPr>
          <w:cantSplit/>
        </w:trPr>
        <w:tc>
          <w:tcPr>
            <w:tcW w:w="3402" w:type="dxa"/>
            <w:shd w:val="clear" w:color="auto" w:fill="auto"/>
          </w:tcPr>
          <w:p w:rsidR="005C6419" w:rsidRPr="00D50BFF" w:rsidRDefault="0062660D" w:rsidP="007F277C">
            <w:pPr>
              <w:pStyle w:val="TableText"/>
            </w:pPr>
            <w:r w:rsidRPr="00D50BFF">
              <w:t>Active members</w:t>
            </w:r>
          </w:p>
        </w:tc>
        <w:tc>
          <w:tcPr>
            <w:tcW w:w="4768" w:type="dxa"/>
            <w:shd w:val="clear" w:color="auto" w:fill="auto"/>
          </w:tcPr>
          <w:p w:rsidR="005C6419" w:rsidRPr="00E51061" w:rsidRDefault="0062660D" w:rsidP="007F277C">
            <w:pPr>
              <w:pStyle w:val="TableText"/>
              <w:jc w:val="center"/>
              <w:rPr>
                <w:noProof/>
                <w:color w:val="000000"/>
              </w:rPr>
            </w:pPr>
            <w:r w:rsidRPr="00E51061">
              <w:rPr>
                <w:noProof/>
                <w:color w:val="000000"/>
              </w:rPr>
              <w:t>2,440</w:t>
            </w:r>
          </w:p>
        </w:tc>
        <w:tc>
          <w:tcPr>
            <w:tcW w:w="2410" w:type="dxa"/>
            <w:shd w:val="clear" w:color="auto" w:fill="auto"/>
          </w:tcPr>
          <w:p w:rsidR="005C6419" w:rsidRPr="00E51061" w:rsidRDefault="0062660D" w:rsidP="007F277C">
            <w:pPr>
              <w:pStyle w:val="TableText"/>
              <w:jc w:val="center"/>
              <w:rPr>
                <w:color w:val="000000"/>
              </w:rPr>
            </w:pPr>
            <w:r w:rsidRPr="00E51061">
              <w:rPr>
                <w:noProof/>
                <w:color w:val="000000"/>
              </w:rPr>
              <w:t>2,221</w:t>
            </w:r>
          </w:p>
        </w:tc>
      </w:tr>
      <w:tr w:rsidR="006A2C17" w:rsidTr="005C6419">
        <w:trPr>
          <w:cantSplit/>
        </w:trPr>
        <w:tc>
          <w:tcPr>
            <w:tcW w:w="3402" w:type="dxa"/>
            <w:shd w:val="clear" w:color="auto" w:fill="auto"/>
          </w:tcPr>
          <w:p w:rsidR="005C6419" w:rsidRPr="00D50BFF" w:rsidRDefault="0062660D" w:rsidP="007F277C">
            <w:pPr>
              <w:pStyle w:val="TableText"/>
            </w:pPr>
            <w:r w:rsidRPr="00D50BFF">
              <w:t>Deferred pensioners</w:t>
            </w:r>
          </w:p>
        </w:tc>
        <w:tc>
          <w:tcPr>
            <w:tcW w:w="4768" w:type="dxa"/>
            <w:shd w:val="clear" w:color="auto" w:fill="auto"/>
          </w:tcPr>
          <w:p w:rsidR="005C6419" w:rsidRPr="00E51061" w:rsidRDefault="0062660D" w:rsidP="007F277C">
            <w:pPr>
              <w:pStyle w:val="TableText"/>
              <w:jc w:val="center"/>
              <w:rPr>
                <w:noProof/>
                <w:color w:val="000000"/>
              </w:rPr>
            </w:pPr>
            <w:r w:rsidRPr="00E51061">
              <w:rPr>
                <w:noProof/>
                <w:color w:val="000000"/>
              </w:rPr>
              <w:t>1,08</w:t>
            </w:r>
            <w:r>
              <w:rPr>
                <w:noProof/>
                <w:color w:val="000000"/>
              </w:rPr>
              <w:t>8</w:t>
            </w:r>
          </w:p>
        </w:tc>
        <w:tc>
          <w:tcPr>
            <w:tcW w:w="2410" w:type="dxa"/>
            <w:shd w:val="clear" w:color="auto" w:fill="auto"/>
          </w:tcPr>
          <w:p w:rsidR="005C6419" w:rsidRPr="00E51061" w:rsidRDefault="0062660D" w:rsidP="007F277C">
            <w:pPr>
              <w:pStyle w:val="TableText"/>
              <w:jc w:val="center"/>
              <w:rPr>
                <w:color w:val="000000"/>
              </w:rPr>
            </w:pPr>
            <w:r w:rsidRPr="00E51061">
              <w:rPr>
                <w:noProof/>
                <w:color w:val="000000"/>
              </w:rPr>
              <w:t>614</w:t>
            </w:r>
          </w:p>
        </w:tc>
      </w:tr>
      <w:tr w:rsidR="006A2C17" w:rsidTr="005C6419">
        <w:trPr>
          <w:cantSplit/>
        </w:trPr>
        <w:tc>
          <w:tcPr>
            <w:tcW w:w="3402" w:type="dxa"/>
            <w:shd w:val="clear" w:color="auto" w:fill="auto"/>
          </w:tcPr>
          <w:p w:rsidR="005C6419" w:rsidRPr="00D50BFF" w:rsidRDefault="0062660D" w:rsidP="007F277C">
            <w:pPr>
              <w:pStyle w:val="TableText"/>
            </w:pPr>
            <w:r w:rsidRPr="00D50BFF">
              <w:t>Pensioners</w:t>
            </w:r>
          </w:p>
        </w:tc>
        <w:tc>
          <w:tcPr>
            <w:tcW w:w="4768" w:type="dxa"/>
            <w:shd w:val="clear" w:color="auto" w:fill="auto"/>
          </w:tcPr>
          <w:p w:rsidR="005C6419" w:rsidRPr="00E51061" w:rsidRDefault="0062660D" w:rsidP="007F277C">
            <w:pPr>
              <w:pStyle w:val="TableText"/>
              <w:jc w:val="center"/>
              <w:rPr>
                <w:noProof/>
                <w:color w:val="000000"/>
              </w:rPr>
            </w:pPr>
            <w:r w:rsidRPr="00E51061">
              <w:rPr>
                <w:noProof/>
                <w:color w:val="000000"/>
              </w:rPr>
              <w:t>2,860</w:t>
            </w:r>
          </w:p>
        </w:tc>
        <w:tc>
          <w:tcPr>
            <w:tcW w:w="2410" w:type="dxa"/>
            <w:shd w:val="clear" w:color="auto" w:fill="auto"/>
          </w:tcPr>
          <w:p w:rsidR="005C6419" w:rsidRPr="00E51061" w:rsidRDefault="0062660D" w:rsidP="007F277C">
            <w:pPr>
              <w:pStyle w:val="TableText"/>
              <w:jc w:val="center"/>
              <w:rPr>
                <w:color w:val="000000"/>
              </w:rPr>
            </w:pPr>
            <w:r w:rsidRPr="00E51061">
              <w:rPr>
                <w:noProof/>
                <w:color w:val="000000"/>
              </w:rPr>
              <w:t>2,120</w:t>
            </w:r>
          </w:p>
        </w:tc>
      </w:tr>
      <w:tr w:rsidR="006A2C17" w:rsidTr="005C6419">
        <w:trPr>
          <w:cantSplit/>
        </w:trPr>
        <w:tc>
          <w:tcPr>
            <w:tcW w:w="3402" w:type="dxa"/>
            <w:shd w:val="clear" w:color="auto" w:fill="auto"/>
          </w:tcPr>
          <w:p w:rsidR="005C6419" w:rsidRPr="00D50BFF" w:rsidRDefault="0062660D" w:rsidP="007F277C">
            <w:pPr>
              <w:pStyle w:val="TableText"/>
            </w:pPr>
            <w:r w:rsidRPr="00D50BFF">
              <w:t>Total liabilities</w:t>
            </w:r>
          </w:p>
        </w:tc>
        <w:tc>
          <w:tcPr>
            <w:tcW w:w="4768" w:type="dxa"/>
            <w:shd w:val="clear" w:color="auto" w:fill="auto"/>
          </w:tcPr>
          <w:p w:rsidR="005C6419" w:rsidRPr="00E51061" w:rsidRDefault="0062660D" w:rsidP="007F277C">
            <w:pPr>
              <w:pStyle w:val="TableText"/>
              <w:jc w:val="center"/>
              <w:rPr>
                <w:noProof/>
                <w:color w:val="000000"/>
              </w:rPr>
            </w:pPr>
            <w:r w:rsidRPr="00E51061">
              <w:rPr>
                <w:noProof/>
                <w:color w:val="000000"/>
              </w:rPr>
              <w:t>6,38</w:t>
            </w:r>
            <w:r>
              <w:rPr>
                <w:noProof/>
                <w:color w:val="000000"/>
              </w:rPr>
              <w:t>8</w:t>
            </w:r>
          </w:p>
        </w:tc>
        <w:tc>
          <w:tcPr>
            <w:tcW w:w="2410" w:type="dxa"/>
            <w:shd w:val="clear" w:color="auto" w:fill="auto"/>
          </w:tcPr>
          <w:p w:rsidR="005C6419" w:rsidRPr="00E51061" w:rsidRDefault="0062660D" w:rsidP="007F277C">
            <w:pPr>
              <w:pStyle w:val="TableText"/>
              <w:jc w:val="center"/>
              <w:rPr>
                <w:color w:val="000000"/>
              </w:rPr>
            </w:pPr>
            <w:r w:rsidRPr="00E51061">
              <w:rPr>
                <w:noProof/>
                <w:color w:val="000000"/>
              </w:rPr>
              <w:t>4,955</w:t>
            </w:r>
          </w:p>
        </w:tc>
      </w:tr>
      <w:tr w:rsidR="006A2C17" w:rsidTr="005C6419">
        <w:trPr>
          <w:cantSplit/>
        </w:trPr>
        <w:tc>
          <w:tcPr>
            <w:tcW w:w="3402" w:type="dxa"/>
            <w:shd w:val="clear" w:color="auto" w:fill="auto"/>
          </w:tcPr>
          <w:p w:rsidR="005C6419" w:rsidRPr="00D50BFF" w:rsidRDefault="0062660D" w:rsidP="007F277C">
            <w:pPr>
              <w:pStyle w:val="TableText"/>
            </w:pPr>
            <w:r w:rsidRPr="00D50BFF">
              <w:t>Past service surplus / (shortfall)</w:t>
            </w:r>
          </w:p>
        </w:tc>
        <w:tc>
          <w:tcPr>
            <w:tcW w:w="4768" w:type="dxa"/>
            <w:shd w:val="clear" w:color="auto" w:fill="auto"/>
          </w:tcPr>
          <w:p w:rsidR="005C6419" w:rsidRPr="00E51061" w:rsidRDefault="0062660D" w:rsidP="007F277C">
            <w:pPr>
              <w:pStyle w:val="TableText"/>
              <w:jc w:val="center"/>
              <w:rPr>
                <w:noProof/>
                <w:color w:val="000000"/>
              </w:rPr>
            </w:pPr>
            <w:r w:rsidRPr="00E51061">
              <w:rPr>
                <w:noProof/>
              </w:rPr>
              <w:t>(1,37</w:t>
            </w:r>
            <w:r>
              <w:rPr>
                <w:noProof/>
              </w:rPr>
              <w:t>7</w:t>
            </w:r>
            <w:r w:rsidRPr="00E51061">
              <w:rPr>
                <w:noProof/>
              </w:rPr>
              <w:t>)</w:t>
            </w:r>
          </w:p>
        </w:tc>
        <w:tc>
          <w:tcPr>
            <w:tcW w:w="2410" w:type="dxa"/>
            <w:shd w:val="clear" w:color="auto" w:fill="auto"/>
          </w:tcPr>
          <w:p w:rsidR="005C6419" w:rsidRPr="00E51061" w:rsidRDefault="0062660D" w:rsidP="007F277C">
            <w:pPr>
              <w:pStyle w:val="TableText"/>
              <w:jc w:val="center"/>
              <w:rPr>
                <w:color w:val="000000"/>
              </w:rPr>
            </w:pPr>
            <w:r w:rsidRPr="00E51061">
              <w:rPr>
                <w:noProof/>
                <w:color w:val="000000"/>
              </w:rPr>
              <w:t>(993)</w:t>
            </w:r>
          </w:p>
        </w:tc>
      </w:tr>
      <w:tr w:rsidR="006A2C17" w:rsidTr="005C6419">
        <w:trPr>
          <w:cantSplit/>
        </w:trPr>
        <w:tc>
          <w:tcPr>
            <w:tcW w:w="3402" w:type="dxa"/>
            <w:shd w:val="clear" w:color="auto" w:fill="auto"/>
          </w:tcPr>
          <w:p w:rsidR="005C6419" w:rsidRPr="00D50BFF" w:rsidRDefault="0062660D" w:rsidP="007F277C">
            <w:pPr>
              <w:pStyle w:val="TableText"/>
            </w:pPr>
            <w:r w:rsidRPr="00D50BFF">
              <w:t>Funding level</w:t>
            </w:r>
          </w:p>
        </w:tc>
        <w:tc>
          <w:tcPr>
            <w:tcW w:w="4768" w:type="dxa"/>
            <w:shd w:val="clear" w:color="auto" w:fill="auto"/>
          </w:tcPr>
          <w:p w:rsidR="005C6419" w:rsidRPr="00E51061" w:rsidRDefault="0062660D" w:rsidP="007F277C">
            <w:pPr>
              <w:pStyle w:val="TableText"/>
              <w:jc w:val="center"/>
              <w:rPr>
                <w:color w:val="000000"/>
              </w:rPr>
            </w:pPr>
            <w:r w:rsidRPr="00E51061">
              <w:rPr>
                <w:noProof/>
                <w:color w:val="000000"/>
              </w:rPr>
              <w:t>78</w:t>
            </w:r>
            <w:r w:rsidRPr="00E51061">
              <w:rPr>
                <w:color w:val="000000"/>
              </w:rPr>
              <w:t>%</w:t>
            </w:r>
          </w:p>
        </w:tc>
        <w:tc>
          <w:tcPr>
            <w:tcW w:w="2410" w:type="dxa"/>
            <w:shd w:val="clear" w:color="auto" w:fill="auto"/>
          </w:tcPr>
          <w:p w:rsidR="005C6419" w:rsidRPr="00E51061" w:rsidRDefault="0062660D" w:rsidP="007F277C">
            <w:pPr>
              <w:pStyle w:val="TableText"/>
              <w:jc w:val="center"/>
              <w:rPr>
                <w:color w:val="000000"/>
              </w:rPr>
            </w:pPr>
            <w:r w:rsidRPr="00E51061">
              <w:rPr>
                <w:noProof/>
                <w:color w:val="000000"/>
              </w:rPr>
              <w:t>80</w:t>
            </w:r>
            <w:r w:rsidRPr="00E51061">
              <w:rPr>
                <w:color w:val="000000"/>
              </w:rPr>
              <w:t>%</w:t>
            </w:r>
          </w:p>
        </w:tc>
      </w:tr>
    </w:tbl>
    <w:p w:rsidR="004D4F0A" w:rsidRPr="004D4F0A" w:rsidRDefault="0062660D" w:rsidP="005C6419">
      <w:pPr>
        <w:spacing w:before="120"/>
        <w:jc w:val="left"/>
        <w:rPr>
          <w:highlight w:val="yellow"/>
        </w:rPr>
      </w:pPr>
    </w:p>
    <w:p w:rsidR="004D4F0A" w:rsidRPr="008E23C7" w:rsidRDefault="0062660D" w:rsidP="005C6419">
      <w:pPr>
        <w:spacing w:before="120"/>
        <w:jc w:val="left"/>
      </w:pPr>
      <w:r w:rsidRPr="008E23C7">
        <w:t>The employer contributions for 201</w:t>
      </w:r>
      <w:r w:rsidRPr="008E23C7">
        <w:t>4</w:t>
      </w:r>
      <w:r w:rsidRPr="008E23C7">
        <w:t>/201</w:t>
      </w:r>
      <w:r w:rsidRPr="008E23C7">
        <w:t>5</w:t>
      </w:r>
      <w:r w:rsidRPr="008E23C7">
        <w:t xml:space="preserve"> are based on the 201</w:t>
      </w:r>
      <w:r w:rsidRPr="008E23C7">
        <w:t>3</w:t>
      </w:r>
      <w:r w:rsidRPr="008E23C7">
        <w:t xml:space="preserve"> valuation and the recommended employer contributions for the period 1 April 201</w:t>
      </w:r>
      <w:r w:rsidRPr="008E23C7">
        <w:t>4</w:t>
      </w:r>
      <w:r w:rsidRPr="008E23C7">
        <w:t xml:space="preserve"> to 31 March 201</w:t>
      </w:r>
      <w:r w:rsidRPr="008E23C7">
        <w:t>7</w:t>
      </w:r>
      <w:r w:rsidRPr="008E23C7">
        <w:t xml:space="preserve"> are set out in the Schedule to the Rates and Adjustments of this report. </w:t>
      </w:r>
    </w:p>
    <w:p w:rsidR="004D4F0A" w:rsidRPr="005C6419" w:rsidRDefault="0062660D" w:rsidP="005C6419">
      <w:pPr>
        <w:spacing w:before="120"/>
        <w:jc w:val="left"/>
      </w:pPr>
      <w:r w:rsidRPr="005C6419">
        <w:t xml:space="preserve">The projected unit method of valuation was used for the valuation and is in common </w:t>
      </w:r>
      <w:r w:rsidRPr="005C6419">
        <w:t xml:space="preserve">use for funding Pension Funds in the United Kingdom.  The Valuation results depend on financial and demographic assumptions and these are detailed in full in the Actuarial Valuation and at Annex 1 of the Funding Strategy Statement. </w:t>
      </w:r>
      <w:hyperlink r:id="rId49" w:history="1">
        <w:r w:rsidRPr="005C6419">
          <w:rPr>
            <w:rStyle w:val="Hyperlink"/>
            <w:rFonts w:cs="Helvetica-Light"/>
          </w:rPr>
          <w:t>https://www.yourpensionservice.org.uk/local_government/index.asp?siteid=5921&amp;pageid=33736&amp;e=e</w:t>
        </w:r>
      </w:hyperlink>
    </w:p>
    <w:p w:rsidR="004D4F0A" w:rsidRDefault="0062660D" w:rsidP="004D4F0A">
      <w:pPr>
        <w:spacing w:before="120"/>
        <w:rPr>
          <w:b/>
        </w:rPr>
      </w:pPr>
      <w:r w:rsidRPr="004D4F0A">
        <w:rPr>
          <w:b/>
        </w:rPr>
        <w:t>The Rates and adjustments certified and accompanying schedule extracted from</w:t>
      </w:r>
      <w:r w:rsidRPr="004D4F0A">
        <w:rPr>
          <w:b/>
        </w:rPr>
        <w:t xml:space="preserve"> the actuarial valuation are as follows:</w:t>
      </w:r>
    </w:p>
    <w:p w:rsidR="00CA3CBE" w:rsidRPr="00E87CD5" w:rsidRDefault="0062660D" w:rsidP="004D4F0A">
      <w:pPr>
        <w:spacing w:before="120"/>
        <w:rPr>
          <w:b/>
        </w:rPr>
      </w:pPr>
    </w:p>
    <w:p w:rsidR="00CA3CBE" w:rsidRPr="00CA3CBE" w:rsidRDefault="0062660D" w:rsidP="00CA3CBE">
      <w:pPr>
        <w:keepNext/>
        <w:numPr>
          <w:ilvl w:val="4"/>
          <w:numId w:val="0"/>
        </w:numPr>
        <w:tabs>
          <w:tab w:val="num" w:pos="0"/>
        </w:tabs>
        <w:autoSpaceDE/>
        <w:autoSpaceDN/>
        <w:adjustRightInd/>
        <w:spacing w:after="0" w:line="400" w:lineRule="atLeast"/>
        <w:jc w:val="left"/>
        <w:outlineLvl w:val="4"/>
        <w:rPr>
          <w:rFonts w:eastAsia="Times New Roman" w:cs="Arial"/>
          <w:color w:val="002C77"/>
          <w:sz w:val="32"/>
          <w:szCs w:val="32"/>
        </w:rPr>
      </w:pPr>
      <w:bookmarkStart w:id="2" w:name="_Toc383695041"/>
      <w:r w:rsidRPr="00CA3CBE">
        <w:rPr>
          <w:rFonts w:eastAsia="Times New Roman" w:cs="Arial"/>
          <w:color w:val="002C77"/>
          <w:sz w:val="32"/>
          <w:szCs w:val="32"/>
        </w:rPr>
        <w:t>Rates and Adjustments Certificate issued in accordance with Regulation 36 of the Administration Regulations</w:t>
      </w:r>
      <w:bookmarkEnd w:id="2"/>
    </w:p>
    <w:p w:rsidR="00CA3CBE" w:rsidRPr="00CA3CBE" w:rsidRDefault="0062660D" w:rsidP="00CA3CBE">
      <w:pPr>
        <w:autoSpaceDE/>
        <w:autoSpaceDN/>
        <w:adjustRightInd/>
        <w:spacing w:after="0" w:line="260" w:lineRule="atLeast"/>
        <w:jc w:val="left"/>
        <w:rPr>
          <w:rFonts w:eastAsia="Times New Roman" w:cs="Arial"/>
          <w:color w:val="auto"/>
          <w:sz w:val="22"/>
          <w:szCs w:val="20"/>
        </w:rPr>
      </w:pPr>
    </w:p>
    <w:p w:rsidR="00CA3CBE" w:rsidRPr="00CA3CBE" w:rsidRDefault="0062660D" w:rsidP="00CA3CBE">
      <w:pPr>
        <w:autoSpaceDE/>
        <w:autoSpaceDN/>
        <w:adjustRightInd/>
        <w:spacing w:after="0" w:line="260" w:lineRule="atLeast"/>
        <w:jc w:val="left"/>
        <w:rPr>
          <w:rFonts w:eastAsia="Times New Roman" w:cs="Arial"/>
          <w:color w:val="auto"/>
          <w:sz w:val="22"/>
          <w:szCs w:val="20"/>
        </w:rPr>
      </w:pPr>
    </w:p>
    <w:tbl>
      <w:tblPr>
        <w:tblW w:w="0" w:type="auto"/>
        <w:tblLayout w:type="fixed"/>
        <w:tblCellMar>
          <w:left w:w="107" w:type="dxa"/>
          <w:right w:w="107" w:type="dxa"/>
        </w:tblCellMar>
        <w:tblLook w:val="0000" w:firstRow="0" w:lastRow="0" w:firstColumn="0" w:lastColumn="0" w:noHBand="0" w:noVBand="0"/>
      </w:tblPr>
      <w:tblGrid>
        <w:gridCol w:w="2987"/>
        <w:gridCol w:w="5850"/>
      </w:tblGrid>
      <w:tr w:rsidR="006A2C17" w:rsidTr="007F277C">
        <w:trPr>
          <w:trHeight w:hRule="exact" w:val="706"/>
        </w:trPr>
        <w:tc>
          <w:tcPr>
            <w:tcW w:w="2987" w:type="dxa"/>
            <w:vAlign w:val="center"/>
          </w:tcPr>
          <w:p w:rsidR="00CA3CBE" w:rsidRPr="00CA3CBE" w:rsidRDefault="0062660D" w:rsidP="00CA3CBE">
            <w:pPr>
              <w:autoSpaceDE/>
              <w:autoSpaceDN/>
              <w:adjustRightInd/>
              <w:spacing w:before="40" w:after="40"/>
              <w:jc w:val="left"/>
              <w:rPr>
                <w:rFonts w:eastAsia="Times New Roman" w:cs="Times New Roman"/>
                <w:b/>
                <w:color w:val="auto"/>
                <w:lang w:eastAsia="en-GB"/>
              </w:rPr>
            </w:pPr>
            <w:r w:rsidRPr="00CA3CBE">
              <w:rPr>
                <w:rFonts w:eastAsia="Times New Roman" w:cs="Times New Roman"/>
                <w:b/>
                <w:color w:val="auto"/>
                <w:lang w:eastAsia="en-GB"/>
              </w:rPr>
              <w:t xml:space="preserve">Name of Fund </w:t>
            </w:r>
          </w:p>
        </w:tc>
        <w:tc>
          <w:tcPr>
            <w:tcW w:w="5850" w:type="dxa"/>
            <w:tcBorders>
              <w:top w:val="single" w:sz="6" w:space="0" w:color="auto"/>
              <w:left w:val="single" w:sz="6" w:space="0" w:color="auto"/>
              <w:bottom w:val="single" w:sz="6" w:space="0" w:color="auto"/>
              <w:right w:val="single" w:sz="6" w:space="0" w:color="auto"/>
            </w:tcBorders>
            <w:vAlign w:val="center"/>
          </w:tcPr>
          <w:p w:rsidR="00CA3CBE" w:rsidRPr="00CA3CBE" w:rsidRDefault="0062660D" w:rsidP="00CA3CBE">
            <w:pPr>
              <w:autoSpaceDE/>
              <w:autoSpaceDN/>
              <w:adjustRightInd/>
              <w:spacing w:before="40" w:after="40"/>
              <w:jc w:val="left"/>
              <w:rPr>
                <w:rFonts w:eastAsia="Times New Roman" w:cs="Times New Roman"/>
                <w:color w:val="auto"/>
                <w:lang w:eastAsia="en-GB"/>
              </w:rPr>
            </w:pPr>
            <w:r w:rsidRPr="00CA3CBE">
              <w:rPr>
                <w:rFonts w:eastAsia="Times New Roman" w:cs="Times New Roman"/>
                <w:b/>
                <w:noProof/>
                <w:color w:val="auto"/>
                <w:lang w:eastAsia="en-GB"/>
              </w:rPr>
              <w:t>Lancashire County Pension Fund</w:t>
            </w:r>
          </w:p>
        </w:tc>
      </w:tr>
    </w:tbl>
    <w:p w:rsidR="00CA3CBE" w:rsidRPr="00CA3CBE" w:rsidRDefault="0062660D" w:rsidP="00CA3CBE">
      <w:pPr>
        <w:autoSpaceDE/>
        <w:autoSpaceDN/>
        <w:adjustRightInd/>
        <w:spacing w:after="0"/>
        <w:jc w:val="left"/>
        <w:rPr>
          <w:rFonts w:eastAsia="Times New Roman" w:cs="Times New Roman"/>
          <w:sz w:val="22"/>
          <w:szCs w:val="20"/>
          <w:lang w:eastAsia="en-GB"/>
        </w:rPr>
      </w:pPr>
    </w:p>
    <w:p w:rsidR="00CA3CBE" w:rsidRPr="00CA3CBE" w:rsidRDefault="0062660D" w:rsidP="00CA3CBE">
      <w:pPr>
        <w:tabs>
          <w:tab w:val="num" w:pos="360"/>
        </w:tabs>
        <w:autoSpaceDE/>
        <w:autoSpaceDN/>
        <w:adjustRightInd/>
        <w:spacing w:after="0" w:line="260" w:lineRule="atLeast"/>
        <w:ind w:left="360" w:hanging="360"/>
        <w:contextualSpacing/>
        <w:jc w:val="left"/>
        <w:outlineLvl w:val="5"/>
        <w:rPr>
          <w:rFonts w:eastAsia="Times New Roman" w:cs="Arial"/>
          <w:b/>
          <w:color w:val="0057A6"/>
        </w:rPr>
      </w:pPr>
      <w:r w:rsidRPr="00CA3CBE">
        <w:rPr>
          <w:rFonts w:eastAsia="Times New Roman" w:cs="Arial"/>
          <w:b/>
          <w:color w:val="0057A6"/>
        </w:rPr>
        <w:t>Primary Contribution Requirements</w:t>
      </w:r>
    </w:p>
    <w:p w:rsidR="00CA3CBE" w:rsidRPr="00CA3CBE" w:rsidRDefault="0062660D" w:rsidP="00CA3CBE">
      <w:pPr>
        <w:autoSpaceDE/>
        <w:autoSpaceDN/>
        <w:adjustRightInd/>
        <w:spacing w:after="0" w:line="260" w:lineRule="atLeast"/>
        <w:jc w:val="left"/>
        <w:rPr>
          <w:rFonts w:eastAsia="Times New Roman" w:cs="Arial"/>
          <w:color w:val="auto"/>
        </w:rPr>
      </w:pPr>
    </w:p>
    <w:p w:rsidR="00CA3CBE" w:rsidRPr="00CA3CBE" w:rsidRDefault="0062660D" w:rsidP="00CA3CBE">
      <w:pPr>
        <w:autoSpaceDE/>
        <w:autoSpaceDN/>
        <w:adjustRightInd/>
        <w:spacing w:after="0" w:line="260" w:lineRule="atLeast"/>
        <w:jc w:val="left"/>
        <w:rPr>
          <w:rFonts w:eastAsia="Times New Roman" w:cs="Arial"/>
        </w:rPr>
      </w:pPr>
      <w:r w:rsidRPr="00CA3CBE">
        <w:rPr>
          <w:rFonts w:eastAsia="Times New Roman" w:cs="Arial"/>
          <w:color w:val="auto"/>
        </w:rPr>
        <w:t xml:space="preserve">I hereby certify that, in my opinion, the common rate of employers’ contributions payable in each year of the period of three years beginning 1 April 2014 should be at the rate of </w:t>
      </w:r>
      <w:r w:rsidRPr="00CA3CBE">
        <w:rPr>
          <w:rFonts w:eastAsia="Times New Roman" w:cs="Arial"/>
          <w:noProof/>
          <w:color w:val="auto"/>
        </w:rPr>
        <w:t xml:space="preserve">13.1 </w:t>
      </w:r>
      <w:r w:rsidRPr="00CA3CBE">
        <w:rPr>
          <w:rFonts w:eastAsia="Times New Roman" w:cs="Arial"/>
          <w:color w:val="auto"/>
        </w:rPr>
        <w:t>per cent of Pensionable Pay (including those in respect of members of t</w:t>
      </w:r>
      <w:r w:rsidRPr="00CA3CBE">
        <w:rPr>
          <w:rFonts w:eastAsia="Times New Roman" w:cs="Arial"/>
          <w:color w:val="auto"/>
        </w:rPr>
        <w:t xml:space="preserve">he LGPS under the 50:50 option).  </w:t>
      </w:r>
    </w:p>
    <w:p w:rsidR="00CA3CBE" w:rsidRPr="00CA3CBE" w:rsidRDefault="0062660D" w:rsidP="00CA3CBE">
      <w:pPr>
        <w:autoSpaceDE/>
        <w:autoSpaceDN/>
        <w:adjustRightInd/>
        <w:spacing w:after="0" w:line="260" w:lineRule="atLeast"/>
        <w:jc w:val="left"/>
        <w:rPr>
          <w:rFonts w:eastAsia="Times New Roman" w:cs="Arial"/>
          <w:color w:val="auto"/>
        </w:rPr>
      </w:pPr>
    </w:p>
    <w:p w:rsidR="00CA3CBE" w:rsidRPr="00CA3CBE" w:rsidRDefault="0062660D" w:rsidP="00CA3CBE">
      <w:pPr>
        <w:autoSpaceDE/>
        <w:autoSpaceDN/>
        <w:adjustRightInd/>
        <w:spacing w:after="0" w:line="260" w:lineRule="atLeast"/>
        <w:jc w:val="left"/>
        <w:rPr>
          <w:rFonts w:eastAsia="Times New Roman" w:cs="Arial"/>
          <w:color w:val="auto"/>
        </w:rPr>
      </w:pPr>
      <w:r w:rsidRPr="00CA3CBE">
        <w:rPr>
          <w:rFonts w:eastAsia="Times New Roman" w:cs="Arial"/>
          <w:color w:val="auto"/>
        </w:rPr>
        <w:t>I hereby certify that, in my opinion, the amount of the employers’ contributions payable in each year of the period of three years beginning with 1 April 2014, as set out above, should be individually adjusted as set out</w:t>
      </w:r>
      <w:r w:rsidRPr="00CA3CBE">
        <w:rPr>
          <w:rFonts w:eastAsia="Times New Roman" w:cs="Arial"/>
          <w:color w:val="auto"/>
        </w:rPr>
        <w:t xml:space="preserve"> in the attached schedule.  Contributions will be paid monthly in arrears with each payment normally being due by the 19th of the following month (or the 22nd if paid electronically) unless otherwise noted in a separate agreement with an individual employe</w:t>
      </w:r>
      <w:r w:rsidRPr="00CA3CBE">
        <w:rPr>
          <w:rFonts w:eastAsia="Times New Roman" w:cs="Arial"/>
          <w:color w:val="auto"/>
        </w:rPr>
        <w:t>r, and the contributions in the attached schedule take account of any such agreements.</w:t>
      </w:r>
    </w:p>
    <w:p w:rsidR="00CA3CBE" w:rsidRPr="00CA3CBE" w:rsidRDefault="0062660D" w:rsidP="00CA3CBE">
      <w:pPr>
        <w:tabs>
          <w:tab w:val="num" w:pos="360"/>
        </w:tabs>
        <w:autoSpaceDE/>
        <w:autoSpaceDN/>
        <w:adjustRightInd/>
        <w:spacing w:after="0" w:line="260" w:lineRule="atLeast"/>
        <w:ind w:left="360" w:hanging="360"/>
        <w:contextualSpacing/>
        <w:jc w:val="left"/>
        <w:outlineLvl w:val="5"/>
        <w:rPr>
          <w:rFonts w:eastAsia="Times New Roman" w:cs="Arial"/>
          <w:b/>
          <w:color w:val="0057A6"/>
        </w:rPr>
      </w:pPr>
    </w:p>
    <w:p w:rsidR="00CA3CBE" w:rsidRPr="00CA3CBE" w:rsidRDefault="0062660D" w:rsidP="00CA3CBE">
      <w:pPr>
        <w:tabs>
          <w:tab w:val="num" w:pos="360"/>
        </w:tabs>
        <w:autoSpaceDE/>
        <w:autoSpaceDN/>
        <w:adjustRightInd/>
        <w:spacing w:after="0" w:line="260" w:lineRule="atLeast"/>
        <w:ind w:left="360" w:hanging="360"/>
        <w:contextualSpacing/>
        <w:jc w:val="left"/>
        <w:outlineLvl w:val="5"/>
        <w:rPr>
          <w:rFonts w:eastAsia="Times New Roman" w:cs="Arial"/>
          <w:b/>
          <w:color w:val="0057A6"/>
        </w:rPr>
      </w:pPr>
      <w:r w:rsidRPr="00CA3CBE">
        <w:rPr>
          <w:rFonts w:eastAsia="Times New Roman" w:cs="Arial"/>
          <w:b/>
          <w:color w:val="0057A6"/>
        </w:rPr>
        <w:t>Further Adjustments</w:t>
      </w:r>
    </w:p>
    <w:p w:rsidR="00CA3CBE" w:rsidRPr="00CA3CBE" w:rsidRDefault="0062660D" w:rsidP="00CA3CBE">
      <w:pPr>
        <w:autoSpaceDE/>
        <w:autoSpaceDN/>
        <w:adjustRightInd/>
        <w:spacing w:after="0" w:line="260" w:lineRule="atLeast"/>
        <w:jc w:val="left"/>
        <w:rPr>
          <w:rFonts w:eastAsia="Times New Roman" w:cs="Arial"/>
          <w:color w:val="auto"/>
          <w:sz w:val="22"/>
          <w:szCs w:val="20"/>
        </w:rPr>
      </w:pPr>
    </w:p>
    <w:p w:rsidR="00CA3CBE" w:rsidRPr="00CA3CBE" w:rsidRDefault="0062660D" w:rsidP="00CA3CBE">
      <w:pPr>
        <w:autoSpaceDE/>
        <w:autoSpaceDN/>
        <w:adjustRightInd/>
        <w:spacing w:after="0" w:line="260" w:lineRule="atLeast"/>
        <w:jc w:val="left"/>
        <w:rPr>
          <w:rFonts w:eastAsia="Times New Roman" w:cs="Arial"/>
        </w:rPr>
      </w:pPr>
      <w:r w:rsidRPr="00CA3CBE">
        <w:rPr>
          <w:rFonts w:eastAsia="Times New Roman" w:cs="Arial"/>
          <w:color w:val="auto"/>
        </w:rPr>
        <w:t xml:space="preserve">A further individual adjustment shall be applied in respect of each non-ill health early retirement occurring in the period of three years covered </w:t>
      </w:r>
      <w:r w:rsidRPr="00CA3CBE">
        <w:rPr>
          <w:rFonts w:eastAsia="Times New Roman" w:cs="Arial"/>
          <w:color w:val="auto"/>
        </w:rPr>
        <w:t>by this certificate. This further individual adjustment will be calculated in accordance with methods agreed from time to time between the Fund’s Actuary and the Administering Authority.</w:t>
      </w:r>
    </w:p>
    <w:p w:rsidR="00CA3CBE" w:rsidRPr="00CA3CBE" w:rsidRDefault="0062660D" w:rsidP="00CA3CBE">
      <w:pPr>
        <w:autoSpaceDE/>
        <w:autoSpaceDN/>
        <w:adjustRightInd/>
        <w:spacing w:after="0" w:line="260" w:lineRule="atLeast"/>
        <w:jc w:val="left"/>
        <w:rPr>
          <w:rFonts w:eastAsia="Times New Roman" w:cs="Arial"/>
          <w:color w:val="auto"/>
        </w:rPr>
      </w:pPr>
    </w:p>
    <w:p w:rsidR="00CA3CBE" w:rsidRPr="00CA3CBE" w:rsidRDefault="0062660D" w:rsidP="00CA3CBE">
      <w:pPr>
        <w:autoSpaceDE/>
        <w:autoSpaceDN/>
        <w:adjustRightInd/>
        <w:spacing w:after="0" w:line="260" w:lineRule="atLeast"/>
        <w:jc w:val="left"/>
        <w:rPr>
          <w:rFonts w:eastAsia="Times New Roman" w:cs="Arial"/>
          <w:color w:val="auto"/>
        </w:rPr>
      </w:pPr>
      <w:r w:rsidRPr="00CA3CBE">
        <w:rPr>
          <w:rFonts w:eastAsia="Times New Roman" w:cs="Arial"/>
          <w:color w:val="auto"/>
        </w:rPr>
        <w:t xml:space="preserve">The contributions set out in the attached schedule represent the </w:t>
      </w:r>
      <w:r w:rsidRPr="00CA3CBE">
        <w:rPr>
          <w:rFonts w:eastAsia="Times New Roman" w:cs="Arial"/>
          <w:color w:val="auto"/>
        </w:rPr>
        <w:t>minimum contribution which may be paid by each employer in total over the 3 years covered by the certificate.  Additional contributions or a different pattern of contributions may be paid if requested by the employer concerned at the sole discretion of the</w:t>
      </w:r>
      <w:r w:rsidRPr="00CA3CBE">
        <w:rPr>
          <w:rFonts w:eastAsia="Times New Roman" w:cs="Arial"/>
          <w:color w:val="auto"/>
        </w:rPr>
        <w:t xml:space="preserve"> Administering Authority as agreed with the Actuary.  The total contributions payable by each employer will be subject to a minimum of zero.</w:t>
      </w:r>
    </w:p>
    <w:p w:rsidR="00CA3CBE" w:rsidRPr="00CA3CBE" w:rsidRDefault="0062660D" w:rsidP="00CA3CBE">
      <w:pPr>
        <w:autoSpaceDE/>
        <w:autoSpaceDN/>
        <w:adjustRightInd/>
        <w:spacing w:after="0" w:line="260" w:lineRule="atLeast"/>
        <w:jc w:val="left"/>
        <w:rPr>
          <w:rFonts w:eastAsia="Times New Roman" w:cs="Arial"/>
          <w:color w:val="auto"/>
        </w:rPr>
      </w:pPr>
    </w:p>
    <w:p w:rsidR="00CA3CBE" w:rsidRPr="00CA3CBE" w:rsidRDefault="0062660D" w:rsidP="00CA3CBE">
      <w:pPr>
        <w:autoSpaceDE/>
        <w:autoSpaceDN/>
        <w:adjustRightInd/>
        <w:spacing w:after="0" w:line="260" w:lineRule="atLeast"/>
        <w:jc w:val="left"/>
        <w:rPr>
          <w:rFonts w:eastAsia="Times New Roman" w:cs="Arial"/>
          <w:color w:val="auto"/>
        </w:rPr>
      </w:pPr>
      <w:r w:rsidRPr="00CA3CBE">
        <w:rPr>
          <w:rFonts w:eastAsia="Times New Roman" w:cs="Arial"/>
          <w:color w:val="auto"/>
        </w:rPr>
        <w:t>The individual employer contributions may be varied as agreed by the Actuary and Administering Authority to reflec</w:t>
      </w:r>
      <w:r w:rsidRPr="00CA3CBE">
        <w:rPr>
          <w:rFonts w:eastAsia="Times New Roman" w:cs="Arial"/>
          <w:color w:val="auto"/>
        </w:rPr>
        <w:t>t any changes in contribution requirements as a result of any benefit costs being insured with a third party or parties including where the third party or parties participate in the Fund.</w:t>
      </w:r>
    </w:p>
    <w:p w:rsidR="00CA3CBE" w:rsidRPr="00CA3CBE" w:rsidRDefault="0062660D" w:rsidP="00CA3CBE">
      <w:pPr>
        <w:autoSpaceDE/>
        <w:autoSpaceDN/>
        <w:adjustRightInd/>
        <w:spacing w:after="0" w:line="260" w:lineRule="atLeast"/>
        <w:jc w:val="left"/>
        <w:rPr>
          <w:rFonts w:eastAsia="Times New Roman" w:cs="Arial"/>
          <w:color w:val="auto"/>
        </w:rPr>
      </w:pPr>
    </w:p>
    <w:p w:rsidR="00CA3CBE" w:rsidRPr="00CA3CBE" w:rsidRDefault="0062660D" w:rsidP="00CA3CBE">
      <w:pPr>
        <w:autoSpaceDE/>
        <w:autoSpaceDN/>
        <w:adjustRightInd/>
        <w:spacing w:after="0" w:line="260" w:lineRule="atLeast"/>
        <w:jc w:val="left"/>
        <w:rPr>
          <w:rFonts w:eastAsia="Times New Roman" w:cs="Arial"/>
          <w:color w:val="auto"/>
        </w:rPr>
      </w:pPr>
      <w:r w:rsidRPr="00CA3CBE">
        <w:rPr>
          <w:rFonts w:eastAsia="Times New Roman" w:cs="Arial"/>
          <w:color w:val="auto"/>
        </w:rPr>
        <w:t xml:space="preserve">In cases where an element of an existing Scheme employer's deficit </w:t>
      </w:r>
      <w:r w:rsidRPr="00CA3CBE">
        <w:rPr>
          <w:rFonts w:eastAsia="Times New Roman" w:cs="Arial"/>
          <w:color w:val="auto"/>
        </w:rPr>
        <w:t>is transferred to a new employer on its inception, the Scheme employer's deficit recovery contributions, as shown on the schedule to this Certificate in Appendix H, may be reallocated between the Scheme employer and the new employer to reflect this, on adv</w:t>
      </w:r>
      <w:r w:rsidRPr="00CA3CBE">
        <w:rPr>
          <w:rFonts w:eastAsia="Times New Roman" w:cs="Arial"/>
          <w:color w:val="auto"/>
        </w:rPr>
        <w:t>ice of the Actuary and as agreed with the Administering Authority so that the total payments remain the same overall.</w:t>
      </w:r>
    </w:p>
    <w:p w:rsidR="00CA3CBE" w:rsidRPr="00CA3CBE" w:rsidRDefault="0062660D" w:rsidP="00CA3CBE">
      <w:pPr>
        <w:autoSpaceDE/>
        <w:autoSpaceDN/>
        <w:adjustRightInd/>
        <w:spacing w:after="0" w:line="260" w:lineRule="atLeast"/>
        <w:jc w:val="left"/>
        <w:rPr>
          <w:rFonts w:eastAsia="Times New Roman" w:cs="Arial"/>
          <w:color w:val="auto"/>
        </w:rPr>
      </w:pPr>
    </w:p>
    <w:p w:rsidR="00CA3CBE" w:rsidRPr="001824FA" w:rsidRDefault="0062660D" w:rsidP="00CA3CBE">
      <w:pPr>
        <w:autoSpaceDE/>
        <w:autoSpaceDN/>
        <w:adjustRightInd/>
        <w:spacing w:after="0" w:line="260" w:lineRule="atLeast"/>
        <w:jc w:val="left"/>
        <w:rPr>
          <w:rFonts w:eastAsia="Times New Roman" w:cs="Arial"/>
          <w:color w:val="auto"/>
        </w:rPr>
      </w:pPr>
      <w:r w:rsidRPr="00CA3CBE">
        <w:rPr>
          <w:rFonts w:eastAsia="Times New Roman" w:cs="Arial"/>
          <w:color w:val="auto"/>
        </w:rPr>
        <w:t xml:space="preserve">The Administering Authority and employer with advice from the Fund’s Actuary can agree that contributions payable under this certificate </w:t>
      </w:r>
      <w:r w:rsidRPr="00CA3CBE">
        <w:rPr>
          <w:rFonts w:eastAsia="Times New Roman" w:cs="Arial"/>
          <w:color w:val="auto"/>
        </w:rPr>
        <w:t>can be sourced under an alternative financing arrangement which provides the Fund with equivalent cash contributions.</w:t>
      </w:r>
    </w:p>
    <w:p w:rsidR="00CA3CBE" w:rsidRDefault="0062660D" w:rsidP="00CA3CBE">
      <w:pPr>
        <w:autoSpaceDE/>
        <w:autoSpaceDN/>
        <w:adjustRightInd/>
        <w:spacing w:after="0" w:line="260" w:lineRule="atLeast"/>
        <w:jc w:val="left"/>
        <w:rPr>
          <w:rFonts w:eastAsia="Times New Roman" w:cs="Arial"/>
          <w:color w:val="auto"/>
          <w:sz w:val="22"/>
          <w:szCs w:val="20"/>
        </w:rPr>
      </w:pPr>
    </w:p>
    <w:p w:rsidR="00CA3CBE" w:rsidRDefault="0062660D" w:rsidP="00CA3CBE">
      <w:pPr>
        <w:autoSpaceDE/>
        <w:autoSpaceDN/>
        <w:adjustRightInd/>
        <w:spacing w:after="0" w:line="260" w:lineRule="atLeast"/>
        <w:jc w:val="left"/>
        <w:rPr>
          <w:rFonts w:eastAsia="Times New Roman" w:cs="Arial"/>
          <w:color w:val="auto"/>
          <w:sz w:val="22"/>
          <w:szCs w:val="20"/>
        </w:rPr>
      </w:pPr>
    </w:p>
    <w:p w:rsidR="00CA3CBE" w:rsidRDefault="0062660D" w:rsidP="00CA3CBE">
      <w:pPr>
        <w:autoSpaceDE/>
        <w:autoSpaceDN/>
        <w:adjustRightInd/>
        <w:spacing w:after="0" w:line="260" w:lineRule="atLeast"/>
        <w:jc w:val="left"/>
        <w:rPr>
          <w:rFonts w:eastAsia="Times New Roman" w:cs="Arial"/>
          <w:color w:val="auto"/>
          <w:sz w:val="22"/>
          <w:szCs w:val="20"/>
        </w:rPr>
      </w:pPr>
    </w:p>
    <w:p w:rsidR="00CA3CBE" w:rsidRDefault="0062660D" w:rsidP="00CA3CBE">
      <w:pPr>
        <w:autoSpaceDE/>
        <w:autoSpaceDN/>
        <w:adjustRightInd/>
        <w:spacing w:after="0" w:line="260" w:lineRule="atLeast"/>
        <w:jc w:val="left"/>
        <w:rPr>
          <w:rFonts w:eastAsia="Times New Roman" w:cs="Arial"/>
          <w:color w:val="auto"/>
          <w:sz w:val="22"/>
          <w:szCs w:val="20"/>
        </w:rPr>
      </w:pPr>
    </w:p>
    <w:p w:rsidR="00CA3CBE" w:rsidRPr="00CA3CBE" w:rsidRDefault="0062660D" w:rsidP="00CA3CBE">
      <w:pPr>
        <w:autoSpaceDE/>
        <w:autoSpaceDN/>
        <w:adjustRightInd/>
        <w:spacing w:after="0" w:line="260" w:lineRule="atLeast"/>
        <w:jc w:val="left"/>
        <w:rPr>
          <w:rFonts w:eastAsia="Times New Roman" w:cs="Arial"/>
          <w:b/>
          <w:color w:val="0057A6"/>
        </w:rPr>
      </w:pPr>
      <w:r w:rsidRPr="00CA3CBE">
        <w:rPr>
          <w:rFonts w:eastAsia="Times New Roman" w:cs="Arial"/>
          <w:b/>
          <w:color w:val="0057A6"/>
        </w:rPr>
        <w:t xml:space="preserve">Regulation 36(8) </w:t>
      </w:r>
    </w:p>
    <w:p w:rsidR="00CA3CBE" w:rsidRPr="001824FA" w:rsidRDefault="0062660D" w:rsidP="00CA3CBE">
      <w:pPr>
        <w:autoSpaceDE/>
        <w:autoSpaceDN/>
        <w:adjustRightInd/>
        <w:spacing w:after="0" w:line="260" w:lineRule="atLeast"/>
        <w:jc w:val="left"/>
        <w:rPr>
          <w:rFonts w:eastAsia="Times New Roman" w:cs="Arial"/>
          <w:color w:val="auto"/>
        </w:rPr>
      </w:pPr>
      <w:r w:rsidRPr="00CA3CBE">
        <w:rPr>
          <w:rFonts w:eastAsia="Times New Roman" w:cs="Arial"/>
          <w:color w:val="auto"/>
        </w:rPr>
        <w:t xml:space="preserve">No allowance for non-ill health early retirements has been made in determining the results of the valuation, on the </w:t>
      </w:r>
      <w:r w:rsidRPr="00CA3CBE">
        <w:rPr>
          <w:rFonts w:eastAsia="Times New Roman" w:cs="Arial"/>
          <w:color w:val="auto"/>
        </w:rPr>
        <w:t>basis that the costs arising will be met by additional contributions.  Allowance for ill health retirements has been included in each employer’s contribution rate, on the basis of the method and assumptions set out in the report.</w:t>
      </w:r>
    </w:p>
    <w:p w:rsidR="00CA3CBE" w:rsidRPr="001824FA" w:rsidRDefault="0062660D" w:rsidP="00CA3CBE">
      <w:pPr>
        <w:autoSpaceDE/>
        <w:autoSpaceDN/>
        <w:adjustRightInd/>
        <w:spacing w:after="0" w:line="260" w:lineRule="atLeast"/>
        <w:jc w:val="left"/>
        <w:rPr>
          <w:rFonts w:eastAsia="Times New Roman" w:cs="Arial"/>
          <w:color w:val="auto"/>
        </w:rPr>
      </w:pPr>
    </w:p>
    <w:p w:rsidR="00CA3CBE" w:rsidRPr="001824FA" w:rsidRDefault="0062660D" w:rsidP="00CA3CBE">
      <w:pPr>
        <w:autoSpaceDE/>
        <w:autoSpaceDN/>
        <w:adjustRightInd/>
        <w:spacing w:after="0" w:line="260" w:lineRule="atLeast"/>
        <w:jc w:val="left"/>
        <w:rPr>
          <w:rFonts w:eastAsia="Times New Roman" w:cs="Arial"/>
          <w:color w:val="auto"/>
        </w:rPr>
      </w:pPr>
    </w:p>
    <w:p w:rsidR="00CA3CBE" w:rsidRPr="00CA3CBE" w:rsidRDefault="0062660D" w:rsidP="00CA3CBE">
      <w:pPr>
        <w:autoSpaceDE/>
        <w:autoSpaceDN/>
        <w:adjustRightInd/>
        <w:spacing w:after="0" w:line="260" w:lineRule="atLeast"/>
        <w:jc w:val="left"/>
        <w:rPr>
          <w:rFonts w:eastAsia="Times New Roman" w:cs="Arial"/>
          <w:color w:val="auto"/>
        </w:rPr>
      </w:pPr>
      <w:r w:rsidRPr="00CA3CBE">
        <w:rPr>
          <w:rFonts w:eastAsia="Times New Roman" w:cs="Arial"/>
          <w:noProof/>
          <w:color w:val="auto"/>
          <w:lang w:eastAsia="en-GB"/>
        </w:rPr>
        <w:drawing>
          <wp:anchor distT="0" distB="0" distL="114300" distR="114300" simplePos="0" relativeHeight="251660288" behindDoc="1" locked="0" layoutInCell="1" allowOverlap="1">
            <wp:simplePos x="0" y="0"/>
            <wp:positionH relativeFrom="column">
              <wp:posOffset>666750</wp:posOffset>
            </wp:positionH>
            <wp:positionV relativeFrom="paragraph">
              <wp:posOffset>15875</wp:posOffset>
            </wp:positionV>
            <wp:extent cx="1171575" cy="733425"/>
            <wp:effectExtent l="0" t="0" r="9525" b="9525"/>
            <wp:wrapNone/>
            <wp:docPr id="10" name="Picture 10" descr="sp01032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010320052"/>
                    <pic:cNvPicPr>
                      <a:picLocks noChangeAspect="1" noChangeArrowheads="1"/>
                    </pic:cNvPicPr>
                  </pic:nvPicPr>
                  <pic:blipFill>
                    <a:blip r:embed="rId50" cstate="print">
                      <a:extLst>
                        <a:ext uri="{28A0092B-C50C-407E-A947-70E740481C1C}">
                          <a14:useLocalDpi xmlns:a14="http://schemas.microsoft.com/office/drawing/2010/main" val="0"/>
                        </a:ext>
                      </a:extLst>
                    </a:blip>
                    <a:srcRect l="28194" t="67462" r="52289" b="17206"/>
                    <a:stretch>
                      <a:fillRect/>
                    </a:stretch>
                  </pic:blipFill>
                  <pic:spPr bwMode="auto">
                    <a:xfrm>
                      <a:off x="0" y="0"/>
                      <a:ext cx="1171575" cy="733425"/>
                    </a:xfrm>
                    <a:prstGeom prst="rect">
                      <a:avLst/>
                    </a:prstGeom>
                    <a:noFill/>
                    <a:ln>
                      <a:noFill/>
                    </a:ln>
                  </pic:spPr>
                </pic:pic>
              </a:graphicData>
            </a:graphic>
          </wp:anchor>
        </w:drawing>
      </w:r>
    </w:p>
    <w:p w:rsidR="00CA3CBE" w:rsidRPr="00CA3CBE" w:rsidRDefault="0062660D" w:rsidP="00CA3CBE">
      <w:pPr>
        <w:autoSpaceDE/>
        <w:autoSpaceDN/>
        <w:adjustRightInd/>
        <w:spacing w:after="0" w:line="260" w:lineRule="atLeast"/>
        <w:jc w:val="left"/>
        <w:rPr>
          <w:rFonts w:eastAsia="Times New Roman" w:cs="Arial"/>
          <w:color w:val="auto"/>
        </w:rPr>
      </w:pPr>
    </w:p>
    <w:p w:rsidR="00CA3CBE" w:rsidRPr="001824FA" w:rsidRDefault="0062660D" w:rsidP="00CA3CBE">
      <w:pPr>
        <w:autoSpaceDE/>
        <w:autoSpaceDN/>
        <w:adjustRightInd/>
        <w:spacing w:after="0" w:line="260" w:lineRule="atLeast"/>
        <w:jc w:val="left"/>
        <w:rPr>
          <w:rFonts w:eastAsia="Times New Roman" w:cs="Arial"/>
          <w:b/>
          <w:color w:val="auto"/>
        </w:rPr>
      </w:pPr>
      <w:r w:rsidRPr="00CA3CBE">
        <w:rPr>
          <w:rFonts w:eastAsia="Times New Roman" w:cs="Arial"/>
          <w:b/>
          <w:color w:val="auto"/>
        </w:rPr>
        <w:t>Signature:</w:t>
      </w:r>
      <w:r w:rsidRPr="00CA3CBE">
        <w:rPr>
          <w:rFonts w:eastAsia="Times New Roman" w:cs="Arial"/>
          <w:b/>
          <w:color w:val="auto"/>
        </w:rPr>
        <w:tab/>
      </w:r>
      <w:r w:rsidRPr="00CA3CBE">
        <w:rPr>
          <w:rFonts w:eastAsia="Times New Roman" w:cs="Arial"/>
          <w:b/>
          <w:color w:val="auto"/>
        </w:rPr>
        <w:tab/>
      </w:r>
      <w:r w:rsidRPr="00CA3CBE">
        <w:rPr>
          <w:rFonts w:eastAsia="Times New Roman" w:cs="Arial"/>
          <w:b/>
          <w:color w:val="auto"/>
        </w:rPr>
        <w:tab/>
        <w:t xml:space="preserve">  </w:t>
      </w:r>
      <w:r w:rsidRPr="00CA3CBE">
        <w:rPr>
          <w:rFonts w:eastAsia="Times New Roman" w:cs="Arial"/>
          <w:b/>
          <w:color w:val="auto"/>
        </w:rPr>
        <w:tab/>
      </w:r>
      <w:r w:rsidRPr="00CA3CBE">
        <w:rPr>
          <w:rFonts w:eastAsia="Times New Roman" w:cs="Arial"/>
          <w:b/>
          <w:color w:val="auto"/>
        </w:rPr>
        <w:tab/>
      </w:r>
      <w:r w:rsidRPr="00CA3CBE">
        <w:rPr>
          <w:rFonts w:eastAsia="Times New Roman" w:cs="Arial"/>
          <w:b/>
          <w:color w:val="auto"/>
        </w:rPr>
        <w:tab/>
      </w:r>
      <w:r w:rsidRPr="00CA3CBE">
        <w:rPr>
          <w:rFonts w:eastAsia="Times New Roman" w:cs="Arial"/>
          <w:b/>
          <w:color w:val="auto"/>
        </w:rPr>
        <w:tab/>
      </w:r>
      <w:r w:rsidRPr="00CA3CBE">
        <w:rPr>
          <w:rFonts w:eastAsia="Times New Roman" w:cs="Arial"/>
          <w:b/>
          <w:color w:val="auto"/>
        </w:rPr>
        <w:tab/>
      </w:r>
      <w:r w:rsidRPr="00CA3CBE">
        <w:rPr>
          <w:rFonts w:eastAsia="Times New Roman" w:cs="Arial"/>
          <w:b/>
          <w:color w:val="auto"/>
        </w:rPr>
        <w:tab/>
      </w:r>
      <w:r w:rsidRPr="00CA3CBE">
        <w:rPr>
          <w:rFonts w:eastAsia="Times New Roman" w:cs="Arial"/>
          <w:b/>
          <w:color w:val="auto"/>
        </w:rPr>
        <w:tab/>
      </w:r>
      <w:r w:rsidRPr="00CA3CBE">
        <w:rPr>
          <w:rFonts w:eastAsia="Times New Roman" w:cs="Arial"/>
          <w:b/>
          <w:color w:val="auto"/>
        </w:rPr>
        <w:tab/>
      </w:r>
      <w:r w:rsidRPr="00CA3CBE">
        <w:rPr>
          <w:rFonts w:eastAsia="Times New Roman" w:cs="Arial"/>
          <w:b/>
          <w:color w:val="auto"/>
        </w:rPr>
        <w:tab/>
      </w:r>
    </w:p>
    <w:p w:rsidR="00CA3CBE" w:rsidRPr="00CA3CBE" w:rsidRDefault="0062660D" w:rsidP="00CA3CBE">
      <w:pPr>
        <w:autoSpaceDE/>
        <w:autoSpaceDN/>
        <w:adjustRightInd/>
        <w:spacing w:after="0" w:line="260" w:lineRule="atLeast"/>
        <w:jc w:val="left"/>
        <w:rPr>
          <w:rFonts w:eastAsia="Times New Roman" w:cs="Arial"/>
          <w:color w:val="auto"/>
        </w:rPr>
      </w:pPr>
      <w:r w:rsidRPr="001824FA">
        <w:rPr>
          <w:rFonts w:eastAsia="Times New Roman" w:cs="Arial"/>
          <w:b/>
          <w:color w:val="auto"/>
        </w:rPr>
        <w:t xml:space="preserve">Date of </w:t>
      </w:r>
      <w:r w:rsidRPr="00CA3CBE">
        <w:rPr>
          <w:rFonts w:eastAsia="Times New Roman" w:cs="Arial"/>
          <w:b/>
          <w:color w:val="auto"/>
        </w:rPr>
        <w:t xml:space="preserve">signing:   </w:t>
      </w:r>
      <w:r w:rsidRPr="00CA3CBE">
        <w:rPr>
          <w:rFonts w:eastAsia="Times New Roman" w:cs="Arial"/>
        </w:rPr>
        <w:t>31</w:t>
      </w:r>
      <w:r w:rsidRPr="00CA3CBE">
        <w:rPr>
          <w:rFonts w:eastAsia="Times New Roman" w:cs="Arial"/>
          <w:color w:val="auto"/>
        </w:rPr>
        <w:t xml:space="preserve"> March 2014</w:t>
      </w:r>
    </w:p>
    <w:p w:rsidR="00CA3CBE" w:rsidRPr="00CA3CBE" w:rsidRDefault="0062660D" w:rsidP="00CA3CBE">
      <w:pPr>
        <w:autoSpaceDE/>
        <w:autoSpaceDN/>
        <w:adjustRightInd/>
        <w:spacing w:after="0" w:line="260" w:lineRule="atLeast"/>
        <w:jc w:val="left"/>
        <w:rPr>
          <w:rFonts w:eastAsia="Times New Roman" w:cs="Arial"/>
          <w:color w:val="auto"/>
        </w:rPr>
      </w:pPr>
    </w:p>
    <w:p w:rsidR="00CA3CBE" w:rsidRPr="00CA3CBE" w:rsidRDefault="0062660D" w:rsidP="00CA3CBE">
      <w:pPr>
        <w:autoSpaceDE/>
        <w:autoSpaceDN/>
        <w:adjustRightInd/>
        <w:spacing w:after="0" w:line="260" w:lineRule="atLeast"/>
        <w:jc w:val="left"/>
        <w:rPr>
          <w:rFonts w:eastAsia="Times New Roman" w:cs="Arial"/>
          <w:color w:val="auto"/>
        </w:rPr>
      </w:pPr>
    </w:p>
    <w:p w:rsidR="00CA3CBE" w:rsidRPr="001824FA" w:rsidRDefault="0062660D" w:rsidP="00CA3CBE">
      <w:pPr>
        <w:autoSpaceDE/>
        <w:autoSpaceDN/>
        <w:adjustRightInd/>
        <w:spacing w:after="0" w:line="260" w:lineRule="atLeast"/>
        <w:jc w:val="left"/>
        <w:rPr>
          <w:rFonts w:eastAsia="Times New Roman" w:cs="Arial"/>
          <w:color w:val="auto"/>
        </w:rPr>
      </w:pPr>
      <w:r w:rsidRPr="00CA3CBE">
        <w:rPr>
          <w:rFonts w:eastAsia="Times New Roman" w:cs="Arial"/>
          <w:b/>
          <w:color w:val="auto"/>
        </w:rPr>
        <w:t>Name:</w:t>
      </w:r>
      <w:r w:rsidRPr="00CA3CBE">
        <w:rPr>
          <w:rFonts w:eastAsia="Times New Roman" w:cs="Arial"/>
          <w:color w:val="auto"/>
        </w:rPr>
        <w:tab/>
      </w:r>
      <w:r w:rsidRPr="00CA3CBE">
        <w:rPr>
          <w:rFonts w:eastAsia="Times New Roman" w:cs="Arial"/>
          <w:noProof/>
        </w:rPr>
        <w:t>John Livesey</w:t>
      </w:r>
      <w:r w:rsidRPr="00CA3CBE">
        <w:rPr>
          <w:rFonts w:eastAsia="Times New Roman" w:cs="Arial"/>
        </w:rPr>
        <w:tab/>
      </w:r>
      <w:r w:rsidRPr="00CA3CBE">
        <w:rPr>
          <w:rFonts w:eastAsia="Times New Roman" w:cs="Arial"/>
          <w:color w:val="auto"/>
        </w:rPr>
        <w:tab/>
      </w:r>
      <w:r w:rsidRPr="00CA3CBE">
        <w:rPr>
          <w:rFonts w:eastAsia="Times New Roman" w:cs="Arial"/>
          <w:color w:val="auto"/>
        </w:rPr>
        <w:tab/>
      </w:r>
      <w:r w:rsidRPr="00CA3CBE">
        <w:rPr>
          <w:rFonts w:eastAsia="Times New Roman" w:cs="Arial"/>
          <w:color w:val="auto"/>
        </w:rPr>
        <w:tab/>
      </w:r>
      <w:r w:rsidRPr="00CA3CBE">
        <w:rPr>
          <w:rFonts w:eastAsia="Times New Roman" w:cs="Arial"/>
          <w:color w:val="auto"/>
        </w:rPr>
        <w:tab/>
      </w:r>
      <w:r w:rsidRPr="00CA3CBE">
        <w:rPr>
          <w:rFonts w:eastAsia="Times New Roman" w:cs="Arial"/>
          <w:color w:val="auto"/>
        </w:rPr>
        <w:tab/>
      </w:r>
      <w:r w:rsidRPr="00CA3CBE">
        <w:rPr>
          <w:rFonts w:eastAsia="Times New Roman" w:cs="Arial"/>
          <w:color w:val="auto"/>
        </w:rPr>
        <w:tab/>
      </w:r>
      <w:r w:rsidRPr="00CA3CBE">
        <w:rPr>
          <w:rFonts w:eastAsia="Times New Roman" w:cs="Arial"/>
          <w:color w:val="auto"/>
        </w:rPr>
        <w:tab/>
      </w:r>
      <w:r w:rsidRPr="00CA3CBE">
        <w:rPr>
          <w:rFonts w:eastAsia="Times New Roman" w:cs="Arial"/>
          <w:color w:val="auto"/>
        </w:rPr>
        <w:tab/>
      </w:r>
    </w:p>
    <w:p w:rsidR="00CA3CBE" w:rsidRPr="00CA3CBE" w:rsidRDefault="0062660D" w:rsidP="00CA3CBE">
      <w:pPr>
        <w:autoSpaceDE/>
        <w:autoSpaceDN/>
        <w:adjustRightInd/>
        <w:spacing w:after="0" w:line="260" w:lineRule="atLeast"/>
        <w:jc w:val="left"/>
        <w:rPr>
          <w:rFonts w:eastAsia="Times New Roman" w:cs="Arial"/>
          <w:color w:val="auto"/>
        </w:rPr>
      </w:pPr>
      <w:r w:rsidRPr="001824FA">
        <w:rPr>
          <w:rFonts w:eastAsia="Times New Roman" w:cs="Arial"/>
          <w:b/>
          <w:color w:val="auto"/>
        </w:rPr>
        <w:t xml:space="preserve">Qualification: </w:t>
      </w:r>
      <w:r w:rsidRPr="00CA3CBE">
        <w:rPr>
          <w:rFonts w:eastAsia="Times New Roman" w:cs="Arial"/>
          <w:color w:val="auto"/>
        </w:rPr>
        <w:t>Fellow of the Institute and Faculty of Actuaries</w:t>
      </w:r>
    </w:p>
    <w:p w:rsidR="00CA3CBE" w:rsidRPr="00CA3CBE" w:rsidRDefault="0062660D" w:rsidP="00CA3CBE">
      <w:pPr>
        <w:keepNext/>
        <w:autoSpaceDE/>
        <w:autoSpaceDN/>
        <w:adjustRightInd/>
        <w:spacing w:after="0" w:line="400" w:lineRule="atLeast"/>
        <w:jc w:val="left"/>
        <w:outlineLvl w:val="4"/>
        <w:rPr>
          <w:rFonts w:eastAsia="Times New Roman" w:cs="Arial"/>
          <w:color w:val="002C77"/>
          <w:sz w:val="36"/>
          <w:szCs w:val="20"/>
        </w:rPr>
      </w:pPr>
    </w:p>
    <w:p w:rsidR="007F277C" w:rsidRDefault="0062660D">
      <w:pPr>
        <w:autoSpaceDE/>
        <w:autoSpaceDN/>
        <w:adjustRightInd/>
        <w:spacing w:after="0"/>
        <w:jc w:val="left"/>
      </w:pPr>
    </w:p>
    <w:p w:rsidR="007F277C" w:rsidRDefault="0062660D">
      <w:pPr>
        <w:autoSpaceDE/>
        <w:autoSpaceDN/>
        <w:adjustRightInd/>
        <w:spacing w:after="0"/>
        <w:jc w:val="left"/>
        <w:sectPr w:rsidR="007F277C" w:rsidSect="00744F92">
          <w:headerReference w:type="even" r:id="rId51"/>
          <w:footerReference w:type="default" r:id="rId52"/>
          <w:pgSz w:w="11900" w:h="16840" w:code="9"/>
          <w:pgMar w:top="720" w:right="720" w:bottom="720" w:left="720" w:header="284" w:footer="284" w:gutter="0"/>
          <w:cols w:space="292"/>
          <w:docGrid w:linePitch="326"/>
        </w:sectPr>
      </w:pPr>
      <w:r>
        <w:br w:type="page"/>
      </w:r>
    </w:p>
    <w:p w:rsidR="007F277C" w:rsidRDefault="0062660D">
      <w:pPr>
        <w:autoSpaceDE/>
        <w:autoSpaceDN/>
        <w:adjustRightInd/>
        <w:spacing w:after="0"/>
        <w:jc w:val="left"/>
      </w:pPr>
    </w:p>
    <w:p w:rsidR="007F277C" w:rsidRDefault="0062660D" w:rsidP="007F277C">
      <w:pPr>
        <w:pStyle w:val="AppendixHeading1"/>
        <w:numPr>
          <w:ilvl w:val="0"/>
          <w:numId w:val="0"/>
        </w:numPr>
      </w:pPr>
      <w:bookmarkStart w:id="3" w:name="_Toc383695042"/>
      <w:r>
        <w:t>Schedule to the Rates and Adjustment Certificate dated</w:t>
      </w:r>
      <w:r>
        <w:t xml:space="preserve"> 31 March 2014</w:t>
      </w:r>
      <w:bookmarkEnd w:id="3"/>
    </w:p>
    <w:p w:rsidR="007F277C" w:rsidRPr="006D1B56" w:rsidRDefault="0062660D" w:rsidP="007F277C"/>
    <w:tbl>
      <w:tblPr>
        <w:tblW w:w="153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2" w:type="dxa"/>
          <w:right w:w="72" w:type="dxa"/>
        </w:tblCellMar>
        <w:tblLook w:val="01E0" w:firstRow="1" w:lastRow="1" w:firstColumn="1" w:lastColumn="1" w:noHBand="0" w:noVBand="0"/>
      </w:tblPr>
      <w:tblGrid>
        <w:gridCol w:w="3333"/>
        <w:gridCol w:w="1842"/>
        <w:gridCol w:w="1843"/>
        <w:gridCol w:w="1843"/>
        <w:gridCol w:w="1984"/>
        <w:gridCol w:w="2127"/>
        <w:gridCol w:w="2409"/>
      </w:tblGrid>
      <w:tr w:rsidR="006A2C17" w:rsidTr="00793165">
        <w:trPr>
          <w:cantSplit/>
          <w:tblHeader/>
        </w:trPr>
        <w:tc>
          <w:tcPr>
            <w:tcW w:w="3333" w:type="dxa"/>
            <w:vMerge w:val="restart"/>
            <w:shd w:val="clear" w:color="auto" w:fill="auto"/>
            <w:vAlign w:val="bottom"/>
          </w:tcPr>
          <w:p w:rsidR="007F277C" w:rsidRPr="00D35E52" w:rsidRDefault="0062660D" w:rsidP="007F277C">
            <w:pPr>
              <w:pStyle w:val="TableText"/>
              <w:rPr>
                <w:b/>
                <w:sz w:val="24"/>
                <w:szCs w:val="24"/>
              </w:rPr>
            </w:pPr>
            <w:r w:rsidRPr="00D35E52">
              <w:rPr>
                <w:b/>
                <w:sz w:val="24"/>
                <w:szCs w:val="24"/>
              </w:rPr>
              <w:t>Employers</w:t>
            </w:r>
          </w:p>
        </w:tc>
        <w:tc>
          <w:tcPr>
            <w:tcW w:w="3685" w:type="dxa"/>
            <w:gridSpan w:val="2"/>
            <w:shd w:val="clear" w:color="auto" w:fill="auto"/>
            <w:vAlign w:val="bottom"/>
          </w:tcPr>
          <w:p w:rsidR="007F277C" w:rsidRPr="00D35E52" w:rsidRDefault="0062660D" w:rsidP="007F277C">
            <w:pPr>
              <w:jc w:val="center"/>
              <w:rPr>
                <w:rFonts w:cs="Arial"/>
                <w:b/>
              </w:rPr>
            </w:pPr>
            <w:r w:rsidRPr="00D35E52">
              <w:rPr>
                <w:rFonts w:cs="Arial"/>
                <w:b/>
              </w:rPr>
              <w:t>2014/15</w:t>
            </w:r>
          </w:p>
        </w:tc>
        <w:tc>
          <w:tcPr>
            <w:tcW w:w="3827" w:type="dxa"/>
            <w:gridSpan w:val="2"/>
            <w:shd w:val="clear" w:color="auto" w:fill="auto"/>
            <w:vAlign w:val="bottom"/>
          </w:tcPr>
          <w:p w:rsidR="007F277C" w:rsidRPr="00D35E52" w:rsidRDefault="0062660D" w:rsidP="007F277C">
            <w:pPr>
              <w:jc w:val="center"/>
              <w:rPr>
                <w:rFonts w:cs="Arial"/>
                <w:b/>
              </w:rPr>
            </w:pPr>
            <w:r w:rsidRPr="00D35E52">
              <w:rPr>
                <w:rFonts w:cs="Arial"/>
                <w:b/>
              </w:rPr>
              <w:t>2015/16</w:t>
            </w:r>
          </w:p>
        </w:tc>
        <w:tc>
          <w:tcPr>
            <w:tcW w:w="4536" w:type="dxa"/>
            <w:gridSpan w:val="2"/>
            <w:shd w:val="clear" w:color="auto" w:fill="auto"/>
            <w:vAlign w:val="bottom"/>
          </w:tcPr>
          <w:p w:rsidR="007F277C" w:rsidRPr="00D35E52" w:rsidRDefault="0062660D" w:rsidP="007F277C">
            <w:pPr>
              <w:jc w:val="center"/>
              <w:rPr>
                <w:rFonts w:cs="Arial"/>
                <w:b/>
              </w:rPr>
            </w:pPr>
            <w:r w:rsidRPr="00D35E52">
              <w:rPr>
                <w:rFonts w:cs="Arial"/>
                <w:b/>
              </w:rPr>
              <w:t>2016/17</w:t>
            </w:r>
          </w:p>
        </w:tc>
      </w:tr>
      <w:tr w:rsidR="006A2C17" w:rsidTr="00793165">
        <w:trPr>
          <w:cantSplit/>
          <w:tblHeader/>
        </w:trPr>
        <w:tc>
          <w:tcPr>
            <w:tcW w:w="3333" w:type="dxa"/>
            <w:vMerge/>
            <w:shd w:val="clear" w:color="auto" w:fill="auto"/>
          </w:tcPr>
          <w:p w:rsidR="007F277C" w:rsidRPr="00D35E52" w:rsidRDefault="0062660D" w:rsidP="007F277C">
            <w:pPr>
              <w:pStyle w:val="TableText"/>
              <w:spacing w:before="0" w:after="0"/>
              <w:rPr>
                <w:sz w:val="24"/>
                <w:szCs w:val="24"/>
              </w:rPr>
            </w:pPr>
          </w:p>
        </w:tc>
        <w:tc>
          <w:tcPr>
            <w:tcW w:w="1842" w:type="dxa"/>
            <w:shd w:val="clear" w:color="auto" w:fill="auto"/>
            <w:vAlign w:val="bottom"/>
          </w:tcPr>
          <w:p w:rsidR="007F277C" w:rsidRPr="00D35E52" w:rsidRDefault="0062660D" w:rsidP="007F277C">
            <w:pPr>
              <w:jc w:val="center"/>
              <w:rPr>
                <w:rFonts w:cs="Arial"/>
                <w:b/>
              </w:rPr>
            </w:pPr>
            <w:r w:rsidRPr="00D35E52">
              <w:rPr>
                <w:rFonts w:cs="Arial"/>
                <w:b/>
              </w:rPr>
              <w:t>Individual Adjustment</w:t>
            </w:r>
          </w:p>
          <w:p w:rsidR="007F277C" w:rsidRPr="00D35E52" w:rsidRDefault="0062660D" w:rsidP="007F277C">
            <w:pPr>
              <w:jc w:val="center"/>
              <w:rPr>
                <w:rFonts w:cs="Arial"/>
                <w:b/>
              </w:rPr>
            </w:pPr>
            <w:r w:rsidRPr="00D35E52">
              <w:rPr>
                <w:rFonts w:cs="Arial"/>
                <w:b/>
              </w:rPr>
              <w:t>%</w:t>
            </w:r>
          </w:p>
        </w:tc>
        <w:tc>
          <w:tcPr>
            <w:tcW w:w="1843" w:type="dxa"/>
            <w:shd w:val="clear" w:color="auto" w:fill="auto"/>
            <w:vAlign w:val="bottom"/>
          </w:tcPr>
          <w:p w:rsidR="007F277C" w:rsidRPr="00D35E52" w:rsidRDefault="0062660D" w:rsidP="007F277C">
            <w:pPr>
              <w:jc w:val="center"/>
              <w:rPr>
                <w:rFonts w:cs="Arial"/>
                <w:b/>
              </w:rPr>
            </w:pPr>
            <w:r w:rsidRPr="00D35E52">
              <w:rPr>
                <w:rFonts w:cs="Arial"/>
                <w:b/>
              </w:rPr>
              <w:t>Total Contribution Rate %</w:t>
            </w:r>
          </w:p>
        </w:tc>
        <w:tc>
          <w:tcPr>
            <w:tcW w:w="1843" w:type="dxa"/>
            <w:shd w:val="clear" w:color="auto" w:fill="auto"/>
            <w:vAlign w:val="bottom"/>
          </w:tcPr>
          <w:p w:rsidR="007F277C" w:rsidRPr="00D35E52" w:rsidRDefault="0062660D" w:rsidP="007F277C">
            <w:pPr>
              <w:jc w:val="center"/>
              <w:rPr>
                <w:rFonts w:cs="Arial"/>
                <w:b/>
              </w:rPr>
            </w:pPr>
            <w:r w:rsidRPr="00D35E52">
              <w:rPr>
                <w:rFonts w:cs="Arial"/>
                <w:b/>
              </w:rPr>
              <w:t xml:space="preserve">Individual Adjustment </w:t>
            </w:r>
          </w:p>
          <w:p w:rsidR="007F277C" w:rsidRPr="00D35E52" w:rsidRDefault="0062660D" w:rsidP="007F277C">
            <w:pPr>
              <w:jc w:val="center"/>
              <w:rPr>
                <w:rFonts w:cs="Arial"/>
                <w:b/>
              </w:rPr>
            </w:pPr>
            <w:r w:rsidRPr="00D35E52">
              <w:rPr>
                <w:rFonts w:cs="Arial"/>
                <w:b/>
              </w:rPr>
              <w:t>%</w:t>
            </w:r>
          </w:p>
        </w:tc>
        <w:tc>
          <w:tcPr>
            <w:tcW w:w="1984" w:type="dxa"/>
            <w:shd w:val="clear" w:color="auto" w:fill="auto"/>
            <w:vAlign w:val="bottom"/>
          </w:tcPr>
          <w:p w:rsidR="007F277C" w:rsidRPr="00D35E52" w:rsidRDefault="0062660D" w:rsidP="007F277C">
            <w:pPr>
              <w:jc w:val="center"/>
              <w:rPr>
                <w:rFonts w:cs="Arial"/>
                <w:b/>
              </w:rPr>
            </w:pPr>
            <w:r w:rsidRPr="00D35E52">
              <w:rPr>
                <w:rFonts w:cs="Arial"/>
                <w:b/>
              </w:rPr>
              <w:t>Total Contribution Rate %</w:t>
            </w:r>
          </w:p>
        </w:tc>
        <w:tc>
          <w:tcPr>
            <w:tcW w:w="2127" w:type="dxa"/>
            <w:shd w:val="clear" w:color="auto" w:fill="auto"/>
            <w:vAlign w:val="bottom"/>
          </w:tcPr>
          <w:p w:rsidR="007F277C" w:rsidRPr="00D35E52" w:rsidRDefault="0062660D" w:rsidP="007F277C">
            <w:pPr>
              <w:jc w:val="center"/>
              <w:rPr>
                <w:rFonts w:cs="Arial"/>
                <w:b/>
              </w:rPr>
            </w:pPr>
            <w:r w:rsidRPr="00D35E52">
              <w:rPr>
                <w:rFonts w:cs="Arial"/>
                <w:b/>
              </w:rPr>
              <w:t>Individual Adjustment</w:t>
            </w:r>
          </w:p>
          <w:p w:rsidR="007F277C" w:rsidRPr="00D35E52" w:rsidRDefault="0062660D" w:rsidP="007F277C">
            <w:pPr>
              <w:jc w:val="center"/>
              <w:rPr>
                <w:rFonts w:cs="Arial"/>
                <w:b/>
              </w:rPr>
            </w:pPr>
            <w:r w:rsidRPr="00D35E52">
              <w:rPr>
                <w:rFonts w:cs="Arial"/>
                <w:b/>
              </w:rPr>
              <w:t>%</w:t>
            </w:r>
          </w:p>
        </w:tc>
        <w:tc>
          <w:tcPr>
            <w:tcW w:w="2409" w:type="dxa"/>
            <w:shd w:val="clear" w:color="auto" w:fill="auto"/>
            <w:vAlign w:val="bottom"/>
          </w:tcPr>
          <w:p w:rsidR="007F277C" w:rsidRPr="00D35E52" w:rsidRDefault="0062660D" w:rsidP="007F277C">
            <w:pPr>
              <w:jc w:val="center"/>
              <w:rPr>
                <w:rFonts w:cs="Arial"/>
                <w:b/>
              </w:rPr>
            </w:pPr>
            <w:r w:rsidRPr="00D35E52">
              <w:rPr>
                <w:rFonts w:cs="Arial"/>
                <w:b/>
              </w:rPr>
              <w:t>Total Contribution Rate %</w:t>
            </w:r>
          </w:p>
        </w:tc>
      </w:tr>
      <w:tr w:rsidR="006A2C17" w:rsidTr="00793165">
        <w:trPr>
          <w:cantSplit/>
        </w:trPr>
        <w:tc>
          <w:tcPr>
            <w:tcW w:w="3333" w:type="dxa"/>
            <w:shd w:val="clear" w:color="auto" w:fill="auto"/>
            <w:vAlign w:val="center"/>
          </w:tcPr>
          <w:p w:rsidR="007F277C" w:rsidRPr="00D35E52" w:rsidRDefault="0062660D" w:rsidP="00744F92">
            <w:pPr>
              <w:jc w:val="left"/>
              <w:rPr>
                <w:rFonts w:cs="Arial"/>
              </w:rPr>
            </w:pPr>
            <w:r w:rsidRPr="00D35E52">
              <w:rPr>
                <w:rFonts w:cs="Arial"/>
              </w:rPr>
              <w:t>Academy at Worden</w:t>
            </w:r>
          </w:p>
        </w:tc>
        <w:tc>
          <w:tcPr>
            <w:tcW w:w="1842" w:type="dxa"/>
            <w:shd w:val="clear" w:color="auto" w:fill="auto"/>
            <w:vAlign w:val="center"/>
          </w:tcPr>
          <w:p w:rsidR="007F277C" w:rsidRPr="00D35E52" w:rsidRDefault="0062660D" w:rsidP="007F277C">
            <w:pPr>
              <w:jc w:val="center"/>
              <w:rPr>
                <w:rFonts w:cs="Arial"/>
              </w:rPr>
            </w:pPr>
            <w:r w:rsidRPr="00D35E52">
              <w:rPr>
                <w:rFonts w:cs="Arial"/>
              </w:rPr>
              <w:t>1.4% plus £12,100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 xml:space="preserve">14.5% plus </w:t>
            </w:r>
            <w:r w:rsidRPr="00D35E52">
              <w:rPr>
                <w:rFonts w:cs="Arial"/>
              </w:rPr>
              <w:t>£12,100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1.4% plus £12,600</w:t>
            </w:r>
          </w:p>
        </w:tc>
        <w:tc>
          <w:tcPr>
            <w:tcW w:w="1984" w:type="dxa"/>
            <w:shd w:val="clear" w:color="auto" w:fill="auto"/>
            <w:vAlign w:val="center"/>
          </w:tcPr>
          <w:p w:rsidR="007F277C" w:rsidRPr="00D35E52" w:rsidRDefault="0062660D" w:rsidP="007F277C">
            <w:pPr>
              <w:jc w:val="center"/>
              <w:rPr>
                <w:rFonts w:cs="Arial"/>
              </w:rPr>
            </w:pPr>
            <w:r w:rsidRPr="00D35E52">
              <w:rPr>
                <w:rFonts w:cs="Arial"/>
              </w:rPr>
              <w:t>14.5% plus £12,600</w:t>
            </w:r>
          </w:p>
        </w:tc>
        <w:tc>
          <w:tcPr>
            <w:tcW w:w="2127" w:type="dxa"/>
            <w:shd w:val="clear" w:color="auto" w:fill="auto"/>
            <w:vAlign w:val="center"/>
          </w:tcPr>
          <w:p w:rsidR="007F277C" w:rsidRPr="00D35E52" w:rsidRDefault="0062660D" w:rsidP="007F277C">
            <w:pPr>
              <w:jc w:val="center"/>
              <w:rPr>
                <w:rFonts w:cs="Arial"/>
              </w:rPr>
            </w:pPr>
            <w:r w:rsidRPr="00D35E52">
              <w:rPr>
                <w:rFonts w:cs="Arial"/>
              </w:rPr>
              <w:t>1.4% plus £13,100</w:t>
            </w:r>
          </w:p>
        </w:tc>
        <w:tc>
          <w:tcPr>
            <w:tcW w:w="2409" w:type="dxa"/>
            <w:shd w:val="clear" w:color="auto" w:fill="auto"/>
            <w:vAlign w:val="center"/>
          </w:tcPr>
          <w:p w:rsidR="007F277C" w:rsidRPr="00D35E52" w:rsidRDefault="0062660D" w:rsidP="007F277C">
            <w:pPr>
              <w:jc w:val="center"/>
              <w:rPr>
                <w:rFonts w:cs="Arial"/>
              </w:rPr>
            </w:pPr>
            <w:r w:rsidRPr="00D35E52">
              <w:rPr>
                <w:rFonts w:cs="Arial"/>
              </w:rPr>
              <w:t>14.5% plus £13,100</w:t>
            </w:r>
          </w:p>
        </w:tc>
      </w:tr>
      <w:tr w:rsidR="006A2C17" w:rsidTr="00793165">
        <w:trPr>
          <w:cantSplit/>
        </w:trPr>
        <w:tc>
          <w:tcPr>
            <w:tcW w:w="3333" w:type="dxa"/>
            <w:shd w:val="clear" w:color="auto" w:fill="auto"/>
            <w:vAlign w:val="center"/>
          </w:tcPr>
          <w:p w:rsidR="007F277C" w:rsidRPr="00D35E52" w:rsidRDefault="0062660D" w:rsidP="00744F92">
            <w:pPr>
              <w:jc w:val="left"/>
              <w:rPr>
                <w:rFonts w:cs="Arial"/>
              </w:rPr>
            </w:pPr>
            <w:r w:rsidRPr="00D35E52">
              <w:rPr>
                <w:rFonts w:cs="Arial"/>
              </w:rPr>
              <w:t>Accrington &amp; Rossendale College</w:t>
            </w:r>
          </w:p>
        </w:tc>
        <w:tc>
          <w:tcPr>
            <w:tcW w:w="1842" w:type="dxa"/>
            <w:shd w:val="clear" w:color="auto" w:fill="auto"/>
            <w:vAlign w:val="center"/>
          </w:tcPr>
          <w:p w:rsidR="007F277C" w:rsidRPr="00D35E52" w:rsidRDefault="0062660D" w:rsidP="007F277C">
            <w:pPr>
              <w:jc w:val="center"/>
              <w:rPr>
                <w:rFonts w:cs="Arial"/>
              </w:rPr>
            </w:pPr>
            <w:r w:rsidRPr="00D35E52">
              <w:rPr>
                <w:rFonts w:cs="Arial"/>
              </w:rPr>
              <w:t>0.0% plus £254,200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13.1% plus £254,200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0.0% plus £285,700</w:t>
            </w:r>
          </w:p>
        </w:tc>
        <w:tc>
          <w:tcPr>
            <w:tcW w:w="1984" w:type="dxa"/>
            <w:shd w:val="clear" w:color="auto" w:fill="auto"/>
            <w:vAlign w:val="center"/>
          </w:tcPr>
          <w:p w:rsidR="007F277C" w:rsidRPr="00D35E52" w:rsidRDefault="0062660D" w:rsidP="007F277C">
            <w:pPr>
              <w:jc w:val="center"/>
              <w:rPr>
                <w:rFonts w:cs="Arial"/>
              </w:rPr>
            </w:pPr>
            <w:r w:rsidRPr="00D35E52">
              <w:rPr>
                <w:rFonts w:cs="Arial"/>
              </w:rPr>
              <w:t>13.1% plus £285,700</w:t>
            </w:r>
          </w:p>
        </w:tc>
        <w:tc>
          <w:tcPr>
            <w:tcW w:w="2127" w:type="dxa"/>
            <w:shd w:val="clear" w:color="auto" w:fill="auto"/>
            <w:vAlign w:val="center"/>
          </w:tcPr>
          <w:p w:rsidR="007F277C" w:rsidRPr="00D35E52" w:rsidRDefault="0062660D" w:rsidP="007F277C">
            <w:pPr>
              <w:jc w:val="center"/>
              <w:rPr>
                <w:rFonts w:cs="Arial"/>
              </w:rPr>
            </w:pPr>
            <w:r w:rsidRPr="00D35E52">
              <w:rPr>
                <w:rFonts w:cs="Arial"/>
              </w:rPr>
              <w:t>0.0% plus £317,600</w:t>
            </w:r>
          </w:p>
        </w:tc>
        <w:tc>
          <w:tcPr>
            <w:tcW w:w="2409" w:type="dxa"/>
            <w:shd w:val="clear" w:color="auto" w:fill="auto"/>
            <w:vAlign w:val="center"/>
          </w:tcPr>
          <w:p w:rsidR="007F277C" w:rsidRPr="00D35E52" w:rsidRDefault="0062660D" w:rsidP="007F277C">
            <w:pPr>
              <w:jc w:val="center"/>
              <w:rPr>
                <w:rFonts w:cs="Arial"/>
              </w:rPr>
            </w:pPr>
            <w:r w:rsidRPr="00D35E52">
              <w:rPr>
                <w:rFonts w:cs="Arial"/>
              </w:rPr>
              <w:t>13.1% plus £317,600</w:t>
            </w:r>
          </w:p>
        </w:tc>
      </w:tr>
      <w:tr w:rsidR="006A2C17" w:rsidTr="00793165">
        <w:trPr>
          <w:cantSplit/>
        </w:trPr>
        <w:tc>
          <w:tcPr>
            <w:tcW w:w="3333" w:type="dxa"/>
            <w:shd w:val="clear" w:color="auto" w:fill="auto"/>
            <w:vAlign w:val="center"/>
          </w:tcPr>
          <w:p w:rsidR="007F277C" w:rsidRPr="00D35E52" w:rsidRDefault="0062660D" w:rsidP="00744F92">
            <w:pPr>
              <w:jc w:val="left"/>
              <w:rPr>
                <w:rFonts w:cs="Arial"/>
              </w:rPr>
            </w:pPr>
            <w:r w:rsidRPr="00D35E52">
              <w:rPr>
                <w:rFonts w:cs="Arial"/>
              </w:rPr>
              <w:t>Accrington Academy</w:t>
            </w:r>
          </w:p>
        </w:tc>
        <w:tc>
          <w:tcPr>
            <w:tcW w:w="1842" w:type="dxa"/>
            <w:shd w:val="clear" w:color="auto" w:fill="auto"/>
            <w:vAlign w:val="center"/>
          </w:tcPr>
          <w:p w:rsidR="007F277C" w:rsidRPr="00D35E52" w:rsidRDefault="0062660D" w:rsidP="007F277C">
            <w:pPr>
              <w:jc w:val="center"/>
              <w:rPr>
                <w:rFonts w:cs="Arial"/>
              </w:rPr>
            </w:pPr>
            <w:r w:rsidRPr="00D35E52">
              <w:rPr>
                <w:rFonts w:cs="Arial"/>
              </w:rPr>
              <w:t>-2.6%</w:t>
            </w:r>
          </w:p>
        </w:tc>
        <w:tc>
          <w:tcPr>
            <w:tcW w:w="1843" w:type="dxa"/>
            <w:shd w:val="clear" w:color="auto" w:fill="auto"/>
            <w:vAlign w:val="center"/>
          </w:tcPr>
          <w:p w:rsidR="007F277C" w:rsidRPr="00D35E52" w:rsidRDefault="0062660D" w:rsidP="007F277C">
            <w:pPr>
              <w:jc w:val="center"/>
              <w:rPr>
                <w:rFonts w:cs="Arial"/>
              </w:rPr>
            </w:pPr>
            <w:r w:rsidRPr="00D35E52">
              <w:rPr>
                <w:rFonts w:cs="Arial"/>
              </w:rPr>
              <w:t>10.5%</w:t>
            </w:r>
          </w:p>
        </w:tc>
        <w:tc>
          <w:tcPr>
            <w:tcW w:w="1843" w:type="dxa"/>
            <w:shd w:val="clear" w:color="auto" w:fill="auto"/>
            <w:vAlign w:val="center"/>
          </w:tcPr>
          <w:p w:rsidR="007F277C" w:rsidRPr="00D35E52" w:rsidRDefault="0062660D" w:rsidP="007F277C">
            <w:pPr>
              <w:jc w:val="center"/>
              <w:rPr>
                <w:rFonts w:cs="Arial"/>
              </w:rPr>
            </w:pPr>
            <w:r w:rsidRPr="00D35E52">
              <w:rPr>
                <w:rFonts w:cs="Arial"/>
              </w:rPr>
              <w:t>-2.6%</w:t>
            </w:r>
          </w:p>
        </w:tc>
        <w:tc>
          <w:tcPr>
            <w:tcW w:w="1984" w:type="dxa"/>
            <w:shd w:val="clear" w:color="auto" w:fill="auto"/>
            <w:vAlign w:val="center"/>
          </w:tcPr>
          <w:p w:rsidR="007F277C" w:rsidRPr="00D35E52" w:rsidRDefault="0062660D" w:rsidP="007F277C">
            <w:pPr>
              <w:jc w:val="center"/>
              <w:rPr>
                <w:rFonts w:cs="Arial"/>
              </w:rPr>
            </w:pPr>
            <w:r w:rsidRPr="00D35E52">
              <w:rPr>
                <w:rFonts w:cs="Arial"/>
              </w:rPr>
              <w:t>10.5%</w:t>
            </w:r>
          </w:p>
        </w:tc>
        <w:tc>
          <w:tcPr>
            <w:tcW w:w="2127" w:type="dxa"/>
            <w:shd w:val="clear" w:color="auto" w:fill="auto"/>
            <w:vAlign w:val="center"/>
          </w:tcPr>
          <w:p w:rsidR="007F277C" w:rsidRPr="00D35E52" w:rsidRDefault="0062660D" w:rsidP="007F277C">
            <w:pPr>
              <w:jc w:val="center"/>
              <w:rPr>
                <w:rFonts w:cs="Arial"/>
              </w:rPr>
            </w:pPr>
            <w:r w:rsidRPr="00D35E52">
              <w:rPr>
                <w:rFonts w:cs="Arial"/>
              </w:rPr>
              <w:t>-2.6%</w:t>
            </w:r>
          </w:p>
        </w:tc>
        <w:tc>
          <w:tcPr>
            <w:tcW w:w="2409" w:type="dxa"/>
            <w:shd w:val="clear" w:color="auto" w:fill="auto"/>
            <w:vAlign w:val="center"/>
          </w:tcPr>
          <w:p w:rsidR="007F277C" w:rsidRPr="00D35E52" w:rsidRDefault="0062660D" w:rsidP="007F277C">
            <w:pPr>
              <w:jc w:val="center"/>
              <w:rPr>
                <w:rFonts w:cs="Arial"/>
              </w:rPr>
            </w:pPr>
            <w:r w:rsidRPr="00D35E52">
              <w:rPr>
                <w:rFonts w:cs="Arial"/>
              </w:rPr>
              <w:t>10.5%</w:t>
            </w:r>
          </w:p>
        </w:tc>
      </w:tr>
      <w:tr w:rsidR="006A2C17" w:rsidTr="00793165">
        <w:trPr>
          <w:cantSplit/>
        </w:trPr>
        <w:tc>
          <w:tcPr>
            <w:tcW w:w="3333" w:type="dxa"/>
            <w:shd w:val="clear" w:color="auto" w:fill="auto"/>
            <w:vAlign w:val="center"/>
          </w:tcPr>
          <w:p w:rsidR="007F277C" w:rsidRPr="00D35E52" w:rsidRDefault="0062660D" w:rsidP="00744F92">
            <w:pPr>
              <w:jc w:val="left"/>
              <w:rPr>
                <w:rFonts w:cs="Arial"/>
              </w:rPr>
            </w:pPr>
            <w:r w:rsidRPr="00D35E52">
              <w:rPr>
                <w:rFonts w:cs="Arial"/>
              </w:rPr>
              <w:t>Albany Academy</w:t>
            </w:r>
          </w:p>
        </w:tc>
        <w:tc>
          <w:tcPr>
            <w:tcW w:w="1842" w:type="dxa"/>
            <w:shd w:val="clear" w:color="auto" w:fill="auto"/>
            <w:vAlign w:val="center"/>
          </w:tcPr>
          <w:p w:rsidR="007F277C" w:rsidRPr="00D35E52" w:rsidRDefault="0062660D" w:rsidP="007F277C">
            <w:pPr>
              <w:jc w:val="center"/>
              <w:rPr>
                <w:rFonts w:cs="Arial"/>
              </w:rPr>
            </w:pPr>
            <w:r w:rsidRPr="00D35E52">
              <w:rPr>
                <w:rFonts w:cs="Arial"/>
              </w:rPr>
              <w:t>2.2% plus £21,800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15.3% plus £21,800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2.2% plus £22,700</w:t>
            </w:r>
          </w:p>
        </w:tc>
        <w:tc>
          <w:tcPr>
            <w:tcW w:w="1984" w:type="dxa"/>
            <w:shd w:val="clear" w:color="auto" w:fill="auto"/>
            <w:vAlign w:val="center"/>
          </w:tcPr>
          <w:p w:rsidR="007F277C" w:rsidRPr="00D35E52" w:rsidRDefault="0062660D" w:rsidP="007F277C">
            <w:pPr>
              <w:jc w:val="center"/>
              <w:rPr>
                <w:rFonts w:cs="Arial"/>
              </w:rPr>
            </w:pPr>
            <w:r w:rsidRPr="00D35E52">
              <w:rPr>
                <w:rFonts w:cs="Arial"/>
              </w:rPr>
              <w:t>15.3% plus £22,700</w:t>
            </w:r>
          </w:p>
        </w:tc>
        <w:tc>
          <w:tcPr>
            <w:tcW w:w="2127" w:type="dxa"/>
            <w:shd w:val="clear" w:color="auto" w:fill="auto"/>
            <w:vAlign w:val="center"/>
          </w:tcPr>
          <w:p w:rsidR="007F277C" w:rsidRPr="00D35E52" w:rsidRDefault="0062660D" w:rsidP="007F277C">
            <w:pPr>
              <w:jc w:val="center"/>
              <w:rPr>
                <w:rFonts w:cs="Arial"/>
              </w:rPr>
            </w:pPr>
            <w:r w:rsidRPr="00D35E52">
              <w:rPr>
                <w:rFonts w:cs="Arial"/>
              </w:rPr>
              <w:t>2.2% plus £23,600</w:t>
            </w:r>
          </w:p>
        </w:tc>
        <w:tc>
          <w:tcPr>
            <w:tcW w:w="2409" w:type="dxa"/>
            <w:shd w:val="clear" w:color="auto" w:fill="auto"/>
            <w:vAlign w:val="center"/>
          </w:tcPr>
          <w:p w:rsidR="007F277C" w:rsidRPr="00D35E52" w:rsidRDefault="0062660D" w:rsidP="007F277C">
            <w:pPr>
              <w:jc w:val="center"/>
              <w:rPr>
                <w:rFonts w:cs="Arial"/>
              </w:rPr>
            </w:pPr>
            <w:r w:rsidRPr="00D35E52">
              <w:rPr>
                <w:rFonts w:cs="Arial"/>
              </w:rPr>
              <w:t>15.3% plus £23,600</w:t>
            </w:r>
          </w:p>
        </w:tc>
      </w:tr>
      <w:tr w:rsidR="006A2C17" w:rsidTr="00793165">
        <w:trPr>
          <w:cantSplit/>
        </w:trPr>
        <w:tc>
          <w:tcPr>
            <w:tcW w:w="3333" w:type="dxa"/>
            <w:shd w:val="clear" w:color="auto" w:fill="auto"/>
            <w:vAlign w:val="center"/>
          </w:tcPr>
          <w:p w:rsidR="007F277C" w:rsidRPr="00D35E52" w:rsidRDefault="0062660D" w:rsidP="00744F92">
            <w:pPr>
              <w:jc w:val="left"/>
              <w:rPr>
                <w:rFonts w:cs="Arial"/>
              </w:rPr>
            </w:pPr>
            <w:r w:rsidRPr="00D35E52">
              <w:rPr>
                <w:rFonts w:cs="Arial"/>
              </w:rPr>
              <w:t>All Saints C.E. Primary School (Academy)</w:t>
            </w:r>
          </w:p>
        </w:tc>
        <w:tc>
          <w:tcPr>
            <w:tcW w:w="1842" w:type="dxa"/>
            <w:shd w:val="clear" w:color="auto" w:fill="auto"/>
            <w:vAlign w:val="center"/>
          </w:tcPr>
          <w:p w:rsidR="007F277C" w:rsidRPr="00D35E52" w:rsidRDefault="0062660D" w:rsidP="007F277C">
            <w:pPr>
              <w:jc w:val="center"/>
              <w:rPr>
                <w:rFonts w:cs="Arial"/>
              </w:rPr>
            </w:pPr>
            <w:r w:rsidRPr="00D35E52">
              <w:rPr>
                <w:rFonts w:cs="Arial"/>
              </w:rPr>
              <w:t>-2.5% plus £13,700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10.6% plus £13,700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 xml:space="preserve">-2.5% plus </w:t>
            </w:r>
            <w:r w:rsidRPr="00D35E52">
              <w:rPr>
                <w:rFonts w:cs="Arial"/>
              </w:rPr>
              <w:t>£14,300</w:t>
            </w:r>
          </w:p>
        </w:tc>
        <w:tc>
          <w:tcPr>
            <w:tcW w:w="1984" w:type="dxa"/>
            <w:shd w:val="clear" w:color="auto" w:fill="auto"/>
            <w:vAlign w:val="center"/>
          </w:tcPr>
          <w:p w:rsidR="007F277C" w:rsidRPr="00D35E52" w:rsidRDefault="0062660D" w:rsidP="007F277C">
            <w:pPr>
              <w:jc w:val="center"/>
              <w:rPr>
                <w:rFonts w:cs="Arial"/>
              </w:rPr>
            </w:pPr>
            <w:r w:rsidRPr="00D35E52">
              <w:rPr>
                <w:rFonts w:cs="Arial"/>
              </w:rPr>
              <w:t>10.6% plus £14,300</w:t>
            </w:r>
          </w:p>
        </w:tc>
        <w:tc>
          <w:tcPr>
            <w:tcW w:w="2127" w:type="dxa"/>
            <w:shd w:val="clear" w:color="auto" w:fill="auto"/>
            <w:vAlign w:val="center"/>
          </w:tcPr>
          <w:p w:rsidR="007F277C" w:rsidRPr="00D35E52" w:rsidRDefault="0062660D" w:rsidP="007F277C">
            <w:pPr>
              <w:jc w:val="center"/>
              <w:rPr>
                <w:rFonts w:cs="Arial"/>
              </w:rPr>
            </w:pPr>
            <w:r w:rsidRPr="00D35E52">
              <w:rPr>
                <w:rFonts w:cs="Arial"/>
              </w:rPr>
              <w:t>-2.5% plus £14,900</w:t>
            </w:r>
          </w:p>
        </w:tc>
        <w:tc>
          <w:tcPr>
            <w:tcW w:w="2409" w:type="dxa"/>
            <w:shd w:val="clear" w:color="auto" w:fill="auto"/>
            <w:vAlign w:val="center"/>
          </w:tcPr>
          <w:p w:rsidR="007F277C" w:rsidRPr="00D35E52" w:rsidRDefault="0062660D" w:rsidP="007F277C">
            <w:pPr>
              <w:jc w:val="center"/>
              <w:rPr>
                <w:rFonts w:cs="Arial"/>
              </w:rPr>
            </w:pPr>
            <w:r w:rsidRPr="00D35E52">
              <w:rPr>
                <w:rFonts w:cs="Arial"/>
              </w:rPr>
              <w:t>10.6% plus £14,900</w:t>
            </w:r>
          </w:p>
        </w:tc>
      </w:tr>
      <w:tr w:rsidR="006A2C17" w:rsidTr="00793165">
        <w:trPr>
          <w:cantSplit/>
        </w:trPr>
        <w:tc>
          <w:tcPr>
            <w:tcW w:w="3333" w:type="dxa"/>
            <w:shd w:val="clear" w:color="auto" w:fill="auto"/>
            <w:vAlign w:val="center"/>
          </w:tcPr>
          <w:p w:rsidR="007F277C" w:rsidRPr="00D35E52" w:rsidRDefault="0062660D" w:rsidP="00744F92">
            <w:pPr>
              <w:jc w:val="left"/>
              <w:rPr>
                <w:rFonts w:cs="Arial"/>
              </w:rPr>
            </w:pPr>
            <w:r w:rsidRPr="00D35E52">
              <w:rPr>
                <w:rFonts w:cs="Arial"/>
              </w:rPr>
              <w:t>Alternative Futures Group Ltd</w:t>
            </w:r>
          </w:p>
        </w:tc>
        <w:tc>
          <w:tcPr>
            <w:tcW w:w="1842" w:type="dxa"/>
            <w:shd w:val="clear" w:color="auto" w:fill="auto"/>
            <w:vAlign w:val="center"/>
          </w:tcPr>
          <w:p w:rsidR="007F277C" w:rsidRPr="00D35E52" w:rsidRDefault="0062660D" w:rsidP="007F277C">
            <w:pPr>
              <w:jc w:val="center"/>
              <w:rPr>
                <w:rFonts w:cs="Arial"/>
              </w:rPr>
            </w:pPr>
            <w:r w:rsidRPr="00D35E52">
              <w:rPr>
                <w:rFonts w:cs="Arial"/>
              </w:rPr>
              <w:t>-9.3%</w:t>
            </w:r>
          </w:p>
        </w:tc>
        <w:tc>
          <w:tcPr>
            <w:tcW w:w="1843" w:type="dxa"/>
            <w:shd w:val="clear" w:color="auto" w:fill="auto"/>
            <w:vAlign w:val="center"/>
          </w:tcPr>
          <w:p w:rsidR="007F277C" w:rsidRPr="00D35E52" w:rsidRDefault="0062660D" w:rsidP="007F277C">
            <w:pPr>
              <w:jc w:val="center"/>
              <w:rPr>
                <w:rFonts w:cs="Arial"/>
              </w:rPr>
            </w:pPr>
            <w:r w:rsidRPr="00D35E52">
              <w:rPr>
                <w:rFonts w:cs="Arial"/>
              </w:rPr>
              <w:t>3.8%</w:t>
            </w:r>
          </w:p>
        </w:tc>
        <w:tc>
          <w:tcPr>
            <w:tcW w:w="1843" w:type="dxa"/>
            <w:shd w:val="clear" w:color="auto" w:fill="auto"/>
            <w:vAlign w:val="center"/>
          </w:tcPr>
          <w:p w:rsidR="007F277C" w:rsidRPr="00D35E52" w:rsidRDefault="0062660D" w:rsidP="007F277C">
            <w:pPr>
              <w:jc w:val="center"/>
              <w:rPr>
                <w:rFonts w:cs="Arial"/>
              </w:rPr>
            </w:pPr>
            <w:r w:rsidRPr="00D35E52">
              <w:rPr>
                <w:rFonts w:cs="Arial"/>
              </w:rPr>
              <w:t>-9.3%</w:t>
            </w:r>
          </w:p>
        </w:tc>
        <w:tc>
          <w:tcPr>
            <w:tcW w:w="1984" w:type="dxa"/>
            <w:shd w:val="clear" w:color="auto" w:fill="auto"/>
            <w:vAlign w:val="center"/>
          </w:tcPr>
          <w:p w:rsidR="007F277C" w:rsidRPr="00D35E52" w:rsidRDefault="0062660D" w:rsidP="007F277C">
            <w:pPr>
              <w:jc w:val="center"/>
              <w:rPr>
                <w:rFonts w:cs="Arial"/>
              </w:rPr>
            </w:pPr>
            <w:r w:rsidRPr="00D35E52">
              <w:rPr>
                <w:rFonts w:cs="Arial"/>
              </w:rPr>
              <w:t>3.8%</w:t>
            </w:r>
          </w:p>
        </w:tc>
        <w:tc>
          <w:tcPr>
            <w:tcW w:w="2127" w:type="dxa"/>
            <w:shd w:val="clear" w:color="auto" w:fill="auto"/>
            <w:vAlign w:val="center"/>
          </w:tcPr>
          <w:p w:rsidR="007F277C" w:rsidRPr="00D35E52" w:rsidRDefault="0062660D" w:rsidP="007F277C">
            <w:pPr>
              <w:jc w:val="center"/>
              <w:rPr>
                <w:rFonts w:cs="Arial"/>
              </w:rPr>
            </w:pPr>
            <w:r w:rsidRPr="00D35E52">
              <w:rPr>
                <w:rFonts w:cs="Arial"/>
              </w:rPr>
              <w:t>-9.3%</w:t>
            </w:r>
          </w:p>
        </w:tc>
        <w:tc>
          <w:tcPr>
            <w:tcW w:w="2409" w:type="dxa"/>
            <w:shd w:val="clear" w:color="auto" w:fill="auto"/>
            <w:vAlign w:val="center"/>
          </w:tcPr>
          <w:p w:rsidR="007F277C" w:rsidRPr="00D35E52" w:rsidRDefault="0062660D" w:rsidP="007F277C">
            <w:pPr>
              <w:jc w:val="center"/>
              <w:rPr>
                <w:rFonts w:cs="Arial"/>
              </w:rPr>
            </w:pPr>
            <w:r w:rsidRPr="00D35E52">
              <w:rPr>
                <w:rFonts w:cs="Arial"/>
              </w:rPr>
              <w:t>3.8%</w:t>
            </w:r>
          </w:p>
        </w:tc>
      </w:tr>
      <w:tr w:rsidR="006A2C17" w:rsidTr="00793165">
        <w:trPr>
          <w:cantSplit/>
        </w:trPr>
        <w:tc>
          <w:tcPr>
            <w:tcW w:w="3333" w:type="dxa"/>
            <w:shd w:val="clear" w:color="auto" w:fill="auto"/>
            <w:vAlign w:val="center"/>
          </w:tcPr>
          <w:p w:rsidR="007F277C" w:rsidRPr="00D35E52" w:rsidRDefault="0062660D" w:rsidP="00744F92">
            <w:pPr>
              <w:jc w:val="left"/>
              <w:rPr>
                <w:rFonts w:cs="Arial"/>
              </w:rPr>
            </w:pPr>
            <w:proofErr w:type="spellStart"/>
            <w:r w:rsidRPr="00D35E52">
              <w:rPr>
                <w:rFonts w:cs="Arial"/>
              </w:rPr>
              <w:t>Andron</w:t>
            </w:r>
            <w:proofErr w:type="spellEnd"/>
          </w:p>
        </w:tc>
        <w:tc>
          <w:tcPr>
            <w:tcW w:w="1842" w:type="dxa"/>
            <w:shd w:val="clear" w:color="auto" w:fill="auto"/>
            <w:vAlign w:val="center"/>
          </w:tcPr>
          <w:p w:rsidR="007F277C" w:rsidRPr="00D35E52" w:rsidRDefault="0062660D" w:rsidP="007F277C">
            <w:pPr>
              <w:jc w:val="center"/>
              <w:rPr>
                <w:rFonts w:cs="Arial"/>
              </w:rPr>
            </w:pPr>
            <w:r w:rsidRPr="00D35E52">
              <w:rPr>
                <w:rFonts w:cs="Arial"/>
              </w:rPr>
              <w:t>0.8%</w:t>
            </w:r>
          </w:p>
        </w:tc>
        <w:tc>
          <w:tcPr>
            <w:tcW w:w="1843" w:type="dxa"/>
            <w:shd w:val="clear" w:color="auto" w:fill="auto"/>
            <w:vAlign w:val="center"/>
          </w:tcPr>
          <w:p w:rsidR="007F277C" w:rsidRPr="00D35E52" w:rsidRDefault="0062660D" w:rsidP="007F277C">
            <w:pPr>
              <w:jc w:val="center"/>
              <w:rPr>
                <w:rFonts w:cs="Arial"/>
              </w:rPr>
            </w:pPr>
            <w:r w:rsidRPr="00D35E52">
              <w:rPr>
                <w:rFonts w:cs="Arial"/>
              </w:rPr>
              <w:t>13.9%</w:t>
            </w:r>
          </w:p>
        </w:tc>
        <w:tc>
          <w:tcPr>
            <w:tcW w:w="1843" w:type="dxa"/>
            <w:shd w:val="clear" w:color="auto" w:fill="auto"/>
            <w:vAlign w:val="center"/>
          </w:tcPr>
          <w:p w:rsidR="007F277C" w:rsidRPr="00D35E52" w:rsidRDefault="0062660D" w:rsidP="007F277C">
            <w:pPr>
              <w:jc w:val="center"/>
              <w:rPr>
                <w:rFonts w:cs="Arial"/>
              </w:rPr>
            </w:pPr>
            <w:r w:rsidRPr="00D35E52">
              <w:rPr>
                <w:rFonts w:cs="Arial"/>
              </w:rPr>
              <w:t>0.8%</w:t>
            </w:r>
          </w:p>
        </w:tc>
        <w:tc>
          <w:tcPr>
            <w:tcW w:w="1984" w:type="dxa"/>
            <w:shd w:val="clear" w:color="auto" w:fill="auto"/>
            <w:vAlign w:val="center"/>
          </w:tcPr>
          <w:p w:rsidR="007F277C" w:rsidRPr="00D35E52" w:rsidRDefault="0062660D" w:rsidP="007F277C">
            <w:pPr>
              <w:jc w:val="center"/>
              <w:rPr>
                <w:rFonts w:cs="Arial"/>
              </w:rPr>
            </w:pPr>
            <w:r w:rsidRPr="00D35E52">
              <w:rPr>
                <w:rFonts w:cs="Arial"/>
              </w:rPr>
              <w:t>13.9%</w:t>
            </w:r>
          </w:p>
        </w:tc>
        <w:tc>
          <w:tcPr>
            <w:tcW w:w="2127" w:type="dxa"/>
            <w:shd w:val="clear" w:color="auto" w:fill="auto"/>
            <w:vAlign w:val="center"/>
          </w:tcPr>
          <w:p w:rsidR="007F277C" w:rsidRPr="00D35E52" w:rsidRDefault="0062660D" w:rsidP="007F277C">
            <w:pPr>
              <w:jc w:val="center"/>
              <w:rPr>
                <w:rFonts w:cs="Arial"/>
              </w:rPr>
            </w:pPr>
            <w:r w:rsidRPr="00D35E52">
              <w:rPr>
                <w:rFonts w:cs="Arial"/>
              </w:rPr>
              <w:t>0.8%</w:t>
            </w:r>
          </w:p>
        </w:tc>
        <w:tc>
          <w:tcPr>
            <w:tcW w:w="2409" w:type="dxa"/>
            <w:shd w:val="clear" w:color="auto" w:fill="auto"/>
            <w:vAlign w:val="center"/>
          </w:tcPr>
          <w:p w:rsidR="007F277C" w:rsidRPr="00D35E52" w:rsidRDefault="0062660D" w:rsidP="007F277C">
            <w:pPr>
              <w:jc w:val="center"/>
              <w:rPr>
                <w:rFonts w:cs="Arial"/>
              </w:rPr>
            </w:pPr>
            <w:r w:rsidRPr="00D35E52">
              <w:rPr>
                <w:rFonts w:cs="Arial"/>
              </w:rPr>
              <w:t>13.9%</w:t>
            </w:r>
          </w:p>
        </w:tc>
      </w:tr>
      <w:tr w:rsidR="006A2C17" w:rsidTr="00793165">
        <w:trPr>
          <w:cantSplit/>
        </w:trPr>
        <w:tc>
          <w:tcPr>
            <w:tcW w:w="3333" w:type="dxa"/>
            <w:shd w:val="clear" w:color="auto" w:fill="auto"/>
            <w:vAlign w:val="center"/>
          </w:tcPr>
          <w:p w:rsidR="007F277C" w:rsidRPr="00D35E52" w:rsidRDefault="0062660D" w:rsidP="00744F92">
            <w:pPr>
              <w:jc w:val="left"/>
              <w:rPr>
                <w:rFonts w:cs="Arial"/>
              </w:rPr>
            </w:pPr>
            <w:proofErr w:type="spellStart"/>
            <w:r w:rsidRPr="00D35E52">
              <w:rPr>
                <w:rFonts w:cs="Arial"/>
              </w:rPr>
              <w:t>Andron</w:t>
            </w:r>
            <w:proofErr w:type="spellEnd"/>
            <w:r w:rsidRPr="00D35E52">
              <w:rPr>
                <w:rFonts w:cs="Arial"/>
              </w:rPr>
              <w:t xml:space="preserve"> (Kennington Primary School)</w:t>
            </w:r>
          </w:p>
        </w:tc>
        <w:tc>
          <w:tcPr>
            <w:tcW w:w="1842" w:type="dxa"/>
            <w:shd w:val="clear" w:color="auto" w:fill="auto"/>
            <w:vAlign w:val="center"/>
          </w:tcPr>
          <w:p w:rsidR="007F277C" w:rsidRPr="00D35E52" w:rsidRDefault="0062660D" w:rsidP="007F277C">
            <w:pPr>
              <w:jc w:val="center"/>
              <w:rPr>
                <w:rFonts w:cs="Arial"/>
              </w:rPr>
            </w:pPr>
            <w:r w:rsidRPr="00D35E52">
              <w:rPr>
                <w:rFonts w:cs="Arial"/>
              </w:rPr>
              <w:t>-13.1%</w:t>
            </w:r>
          </w:p>
        </w:tc>
        <w:tc>
          <w:tcPr>
            <w:tcW w:w="1843" w:type="dxa"/>
            <w:shd w:val="clear" w:color="auto" w:fill="auto"/>
            <w:vAlign w:val="center"/>
          </w:tcPr>
          <w:p w:rsidR="007F277C" w:rsidRPr="00D35E52" w:rsidRDefault="0062660D" w:rsidP="007F277C">
            <w:pPr>
              <w:jc w:val="center"/>
              <w:rPr>
                <w:rFonts w:cs="Arial"/>
              </w:rPr>
            </w:pPr>
            <w:r w:rsidRPr="00D35E52">
              <w:rPr>
                <w:rFonts w:cs="Arial"/>
              </w:rPr>
              <w:t>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-13.1%</w:t>
            </w:r>
          </w:p>
        </w:tc>
        <w:tc>
          <w:tcPr>
            <w:tcW w:w="1984" w:type="dxa"/>
            <w:shd w:val="clear" w:color="auto" w:fill="auto"/>
            <w:vAlign w:val="center"/>
          </w:tcPr>
          <w:p w:rsidR="007F277C" w:rsidRPr="00D35E52" w:rsidRDefault="0062660D" w:rsidP="007F277C">
            <w:pPr>
              <w:jc w:val="center"/>
              <w:rPr>
                <w:rFonts w:cs="Arial"/>
              </w:rPr>
            </w:pPr>
            <w:r w:rsidRPr="00D35E52">
              <w:rPr>
                <w:rFonts w:cs="Arial"/>
              </w:rPr>
              <w:t>0.0%</w:t>
            </w:r>
          </w:p>
        </w:tc>
        <w:tc>
          <w:tcPr>
            <w:tcW w:w="2127" w:type="dxa"/>
            <w:shd w:val="clear" w:color="auto" w:fill="auto"/>
            <w:vAlign w:val="center"/>
          </w:tcPr>
          <w:p w:rsidR="007F277C" w:rsidRPr="00D35E52" w:rsidRDefault="0062660D" w:rsidP="007F277C">
            <w:pPr>
              <w:jc w:val="center"/>
              <w:rPr>
                <w:rFonts w:cs="Arial"/>
              </w:rPr>
            </w:pPr>
            <w:r w:rsidRPr="00D35E52">
              <w:rPr>
                <w:rFonts w:cs="Arial"/>
              </w:rPr>
              <w:t>-13.1%</w:t>
            </w:r>
          </w:p>
        </w:tc>
        <w:tc>
          <w:tcPr>
            <w:tcW w:w="2409" w:type="dxa"/>
            <w:shd w:val="clear" w:color="auto" w:fill="auto"/>
            <w:vAlign w:val="center"/>
          </w:tcPr>
          <w:p w:rsidR="007F277C" w:rsidRPr="00D35E52" w:rsidRDefault="0062660D" w:rsidP="007F277C">
            <w:pPr>
              <w:jc w:val="center"/>
              <w:rPr>
                <w:rFonts w:cs="Arial"/>
              </w:rPr>
            </w:pPr>
            <w:r w:rsidRPr="00D35E52">
              <w:rPr>
                <w:rFonts w:cs="Arial"/>
              </w:rPr>
              <w:t>0.0%</w:t>
            </w:r>
          </w:p>
        </w:tc>
      </w:tr>
      <w:tr w:rsidR="006A2C17" w:rsidTr="00793165">
        <w:trPr>
          <w:cantSplit/>
        </w:trPr>
        <w:tc>
          <w:tcPr>
            <w:tcW w:w="3333" w:type="dxa"/>
            <w:shd w:val="clear" w:color="auto" w:fill="auto"/>
            <w:vAlign w:val="center"/>
          </w:tcPr>
          <w:p w:rsidR="007F277C" w:rsidRPr="00D35E52" w:rsidRDefault="0062660D" w:rsidP="00744F92">
            <w:pPr>
              <w:jc w:val="left"/>
              <w:rPr>
                <w:rFonts w:cs="Arial"/>
              </w:rPr>
            </w:pPr>
            <w:proofErr w:type="spellStart"/>
            <w:r w:rsidRPr="00D35E52">
              <w:rPr>
                <w:rFonts w:cs="Arial"/>
              </w:rPr>
              <w:t>Andron</w:t>
            </w:r>
            <w:proofErr w:type="spellEnd"/>
            <w:r w:rsidRPr="00D35E52">
              <w:rPr>
                <w:rFonts w:cs="Arial"/>
              </w:rPr>
              <w:t xml:space="preserve"> </w:t>
            </w:r>
            <w:r w:rsidRPr="00D35E52">
              <w:rPr>
                <w:rFonts w:cs="Arial"/>
              </w:rPr>
              <w:t>(Ribblesdale High Schoo</w:t>
            </w:r>
            <w:r>
              <w:rPr>
                <w:rFonts w:cs="Arial"/>
              </w:rPr>
              <w:t>l</w:t>
            </w:r>
            <w:r w:rsidRPr="00D35E52">
              <w:rPr>
                <w:rFonts w:cs="Arial"/>
              </w:rPr>
              <w:t>)</w:t>
            </w:r>
          </w:p>
        </w:tc>
        <w:tc>
          <w:tcPr>
            <w:tcW w:w="1842" w:type="dxa"/>
            <w:shd w:val="clear" w:color="auto" w:fill="auto"/>
            <w:vAlign w:val="center"/>
          </w:tcPr>
          <w:p w:rsidR="007F277C" w:rsidRPr="00D35E52" w:rsidRDefault="0062660D" w:rsidP="007F277C">
            <w:pPr>
              <w:jc w:val="center"/>
              <w:rPr>
                <w:rFonts w:cs="Arial"/>
              </w:rPr>
            </w:pPr>
            <w:r w:rsidRPr="00D35E52">
              <w:rPr>
                <w:rFonts w:cs="Arial"/>
              </w:rPr>
              <w:t>-13.1%</w:t>
            </w:r>
          </w:p>
        </w:tc>
        <w:tc>
          <w:tcPr>
            <w:tcW w:w="1843" w:type="dxa"/>
            <w:shd w:val="clear" w:color="auto" w:fill="auto"/>
            <w:vAlign w:val="center"/>
          </w:tcPr>
          <w:p w:rsidR="007F277C" w:rsidRPr="00D35E52" w:rsidRDefault="0062660D" w:rsidP="007F277C">
            <w:pPr>
              <w:jc w:val="center"/>
              <w:rPr>
                <w:rFonts w:cs="Arial"/>
              </w:rPr>
            </w:pPr>
            <w:r w:rsidRPr="00D35E52">
              <w:rPr>
                <w:rFonts w:cs="Arial"/>
              </w:rPr>
              <w:t>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-13.1%</w:t>
            </w:r>
          </w:p>
        </w:tc>
        <w:tc>
          <w:tcPr>
            <w:tcW w:w="1984" w:type="dxa"/>
            <w:shd w:val="clear" w:color="auto" w:fill="auto"/>
            <w:vAlign w:val="center"/>
          </w:tcPr>
          <w:p w:rsidR="007F277C" w:rsidRPr="00D35E52" w:rsidRDefault="0062660D" w:rsidP="007F277C">
            <w:pPr>
              <w:jc w:val="center"/>
              <w:rPr>
                <w:rFonts w:cs="Arial"/>
              </w:rPr>
            </w:pPr>
            <w:r w:rsidRPr="00D35E52">
              <w:rPr>
                <w:rFonts w:cs="Arial"/>
              </w:rPr>
              <w:t>0.0%</w:t>
            </w:r>
          </w:p>
        </w:tc>
        <w:tc>
          <w:tcPr>
            <w:tcW w:w="2127" w:type="dxa"/>
            <w:shd w:val="clear" w:color="auto" w:fill="auto"/>
            <w:vAlign w:val="center"/>
          </w:tcPr>
          <w:p w:rsidR="007F277C" w:rsidRPr="00D35E52" w:rsidRDefault="0062660D" w:rsidP="007F277C">
            <w:pPr>
              <w:jc w:val="center"/>
              <w:rPr>
                <w:rFonts w:cs="Arial"/>
              </w:rPr>
            </w:pPr>
            <w:r w:rsidRPr="00D35E52">
              <w:rPr>
                <w:rFonts w:cs="Arial"/>
              </w:rPr>
              <w:t>-13.1%</w:t>
            </w:r>
          </w:p>
        </w:tc>
        <w:tc>
          <w:tcPr>
            <w:tcW w:w="2409" w:type="dxa"/>
            <w:shd w:val="clear" w:color="auto" w:fill="auto"/>
            <w:vAlign w:val="center"/>
          </w:tcPr>
          <w:p w:rsidR="007F277C" w:rsidRPr="00D35E52" w:rsidRDefault="0062660D" w:rsidP="007F277C">
            <w:pPr>
              <w:jc w:val="center"/>
              <w:rPr>
                <w:rFonts w:cs="Arial"/>
              </w:rPr>
            </w:pPr>
            <w:r w:rsidRPr="00D35E52">
              <w:rPr>
                <w:rFonts w:cs="Arial"/>
              </w:rPr>
              <w:t>0.0%</w:t>
            </w:r>
          </w:p>
        </w:tc>
      </w:tr>
      <w:tr w:rsidR="006A2C17" w:rsidTr="00793165">
        <w:trPr>
          <w:cantSplit/>
        </w:trPr>
        <w:tc>
          <w:tcPr>
            <w:tcW w:w="3333" w:type="dxa"/>
            <w:shd w:val="clear" w:color="auto" w:fill="auto"/>
            <w:vAlign w:val="center"/>
          </w:tcPr>
          <w:p w:rsidR="007F277C" w:rsidRPr="00D35E52" w:rsidRDefault="0062660D" w:rsidP="00744F92">
            <w:pPr>
              <w:jc w:val="left"/>
              <w:rPr>
                <w:rFonts w:cs="Arial"/>
              </w:rPr>
            </w:pPr>
            <w:r w:rsidRPr="00D35E52">
              <w:rPr>
                <w:rFonts w:cs="Arial"/>
              </w:rPr>
              <w:t>Arnold Schools Ltd</w:t>
            </w:r>
          </w:p>
        </w:tc>
        <w:tc>
          <w:tcPr>
            <w:tcW w:w="1842" w:type="dxa"/>
            <w:shd w:val="clear" w:color="auto" w:fill="auto"/>
            <w:vAlign w:val="center"/>
          </w:tcPr>
          <w:p w:rsidR="007F277C" w:rsidRPr="00D35E52" w:rsidRDefault="0062660D" w:rsidP="007F277C">
            <w:pPr>
              <w:jc w:val="center"/>
              <w:rPr>
                <w:rFonts w:cs="Arial"/>
              </w:rPr>
            </w:pPr>
            <w:r w:rsidRPr="00D35E52">
              <w:rPr>
                <w:rFonts w:cs="Arial"/>
              </w:rPr>
              <w:t>6.5% plus £22,900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19.6% plus £22,900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6.5% plus £23,800</w:t>
            </w:r>
          </w:p>
        </w:tc>
        <w:tc>
          <w:tcPr>
            <w:tcW w:w="1984" w:type="dxa"/>
            <w:shd w:val="clear" w:color="auto" w:fill="auto"/>
            <w:vAlign w:val="center"/>
          </w:tcPr>
          <w:p w:rsidR="007F277C" w:rsidRPr="00D35E52" w:rsidRDefault="0062660D" w:rsidP="007F277C">
            <w:pPr>
              <w:jc w:val="center"/>
              <w:rPr>
                <w:rFonts w:cs="Arial"/>
              </w:rPr>
            </w:pPr>
            <w:r w:rsidRPr="00D35E52">
              <w:rPr>
                <w:rFonts w:cs="Arial"/>
              </w:rPr>
              <w:t>19.6% plus £23,800</w:t>
            </w:r>
          </w:p>
        </w:tc>
        <w:tc>
          <w:tcPr>
            <w:tcW w:w="2127" w:type="dxa"/>
            <w:shd w:val="clear" w:color="auto" w:fill="auto"/>
            <w:vAlign w:val="center"/>
          </w:tcPr>
          <w:p w:rsidR="007F277C" w:rsidRPr="00D35E52" w:rsidRDefault="0062660D" w:rsidP="007F277C">
            <w:pPr>
              <w:jc w:val="center"/>
              <w:rPr>
                <w:rFonts w:cs="Arial"/>
              </w:rPr>
            </w:pPr>
            <w:r w:rsidRPr="00D35E52">
              <w:rPr>
                <w:rFonts w:cs="Arial"/>
              </w:rPr>
              <w:t>6.5% plus £24,800</w:t>
            </w:r>
          </w:p>
        </w:tc>
        <w:tc>
          <w:tcPr>
            <w:tcW w:w="2409" w:type="dxa"/>
            <w:shd w:val="clear" w:color="auto" w:fill="auto"/>
            <w:vAlign w:val="center"/>
          </w:tcPr>
          <w:p w:rsidR="007F277C" w:rsidRPr="00D35E52" w:rsidRDefault="0062660D" w:rsidP="007F277C">
            <w:pPr>
              <w:jc w:val="center"/>
              <w:rPr>
                <w:rFonts w:cs="Arial"/>
              </w:rPr>
            </w:pPr>
            <w:r w:rsidRPr="00D35E52">
              <w:rPr>
                <w:rFonts w:cs="Arial"/>
              </w:rPr>
              <w:t>19.6% plus £24,800</w:t>
            </w:r>
          </w:p>
        </w:tc>
      </w:tr>
    </w:tbl>
    <w:p w:rsidR="007F277C" w:rsidRDefault="0062660D">
      <w:pPr>
        <w:autoSpaceDE/>
        <w:autoSpaceDN/>
        <w:adjustRightInd/>
        <w:spacing w:after="0"/>
        <w:jc w:val="left"/>
      </w:pPr>
      <w:r>
        <w:br w:type="page"/>
      </w:r>
    </w:p>
    <w:p w:rsidR="007F277C" w:rsidRDefault="0062660D">
      <w:pPr>
        <w:autoSpaceDE/>
        <w:autoSpaceDN/>
        <w:adjustRightInd/>
        <w:spacing w:after="0"/>
        <w:jc w:val="left"/>
      </w:pPr>
    </w:p>
    <w:tbl>
      <w:tblPr>
        <w:tblW w:w="153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2" w:type="dxa"/>
          <w:right w:w="72" w:type="dxa"/>
        </w:tblCellMar>
        <w:tblLook w:val="01E0" w:firstRow="1" w:lastRow="1" w:firstColumn="1" w:lastColumn="1" w:noHBand="0" w:noVBand="0"/>
      </w:tblPr>
      <w:tblGrid>
        <w:gridCol w:w="3333"/>
        <w:gridCol w:w="1842"/>
        <w:gridCol w:w="1843"/>
        <w:gridCol w:w="1843"/>
        <w:gridCol w:w="1984"/>
        <w:gridCol w:w="2127"/>
        <w:gridCol w:w="2409"/>
      </w:tblGrid>
      <w:tr w:rsidR="006A2C17" w:rsidTr="00793165">
        <w:trPr>
          <w:cantSplit/>
          <w:tblHeader/>
        </w:trPr>
        <w:tc>
          <w:tcPr>
            <w:tcW w:w="3333" w:type="dxa"/>
            <w:vMerge w:val="restart"/>
            <w:shd w:val="clear" w:color="auto" w:fill="auto"/>
            <w:vAlign w:val="bottom"/>
          </w:tcPr>
          <w:p w:rsidR="007F277C" w:rsidRPr="00D35E52" w:rsidRDefault="0062660D" w:rsidP="007F277C">
            <w:pPr>
              <w:autoSpaceDE/>
              <w:autoSpaceDN/>
              <w:adjustRightInd/>
              <w:spacing w:before="40" w:after="40"/>
              <w:jc w:val="left"/>
              <w:rPr>
                <w:rFonts w:eastAsia="Times New Roman" w:cs="Arial"/>
                <w:b/>
                <w:color w:val="auto"/>
              </w:rPr>
            </w:pPr>
            <w:r w:rsidRPr="00D35E52">
              <w:rPr>
                <w:rFonts w:eastAsia="Times New Roman" w:cs="Arial"/>
                <w:b/>
                <w:color w:val="auto"/>
              </w:rPr>
              <w:t>Employers</w:t>
            </w:r>
          </w:p>
        </w:tc>
        <w:tc>
          <w:tcPr>
            <w:tcW w:w="3685" w:type="dxa"/>
            <w:gridSpan w:val="2"/>
            <w:shd w:val="clear" w:color="auto" w:fill="auto"/>
            <w:vAlign w:val="bottom"/>
          </w:tcPr>
          <w:p w:rsidR="007F277C" w:rsidRPr="00D35E52" w:rsidRDefault="0062660D" w:rsidP="007F277C">
            <w:pPr>
              <w:autoSpaceDE/>
              <w:autoSpaceDN/>
              <w:adjustRightInd/>
              <w:spacing w:after="0" w:line="260" w:lineRule="atLeast"/>
              <w:jc w:val="center"/>
              <w:rPr>
                <w:rFonts w:eastAsia="Times New Roman" w:cs="Arial"/>
                <w:b/>
                <w:color w:val="auto"/>
              </w:rPr>
            </w:pPr>
            <w:r w:rsidRPr="00D35E52">
              <w:rPr>
                <w:rFonts w:eastAsia="Times New Roman" w:cs="Arial"/>
                <w:b/>
                <w:color w:val="auto"/>
              </w:rPr>
              <w:t>2014/15</w:t>
            </w:r>
          </w:p>
        </w:tc>
        <w:tc>
          <w:tcPr>
            <w:tcW w:w="3827" w:type="dxa"/>
            <w:gridSpan w:val="2"/>
            <w:shd w:val="clear" w:color="auto" w:fill="auto"/>
            <w:vAlign w:val="bottom"/>
          </w:tcPr>
          <w:p w:rsidR="007F277C" w:rsidRPr="00D35E52" w:rsidRDefault="0062660D" w:rsidP="007F277C">
            <w:pPr>
              <w:autoSpaceDE/>
              <w:autoSpaceDN/>
              <w:adjustRightInd/>
              <w:spacing w:after="0" w:line="260" w:lineRule="atLeast"/>
              <w:jc w:val="center"/>
              <w:rPr>
                <w:rFonts w:eastAsia="Times New Roman" w:cs="Arial"/>
                <w:b/>
                <w:color w:val="auto"/>
              </w:rPr>
            </w:pPr>
            <w:r w:rsidRPr="00D35E52">
              <w:rPr>
                <w:rFonts w:eastAsia="Times New Roman" w:cs="Arial"/>
                <w:b/>
                <w:color w:val="auto"/>
              </w:rPr>
              <w:t>2015/16</w:t>
            </w:r>
          </w:p>
        </w:tc>
        <w:tc>
          <w:tcPr>
            <w:tcW w:w="4536" w:type="dxa"/>
            <w:gridSpan w:val="2"/>
            <w:shd w:val="clear" w:color="auto" w:fill="auto"/>
            <w:vAlign w:val="bottom"/>
          </w:tcPr>
          <w:p w:rsidR="007F277C" w:rsidRPr="00D35E52" w:rsidRDefault="0062660D" w:rsidP="007F277C">
            <w:pPr>
              <w:autoSpaceDE/>
              <w:autoSpaceDN/>
              <w:adjustRightInd/>
              <w:spacing w:after="0" w:line="260" w:lineRule="atLeast"/>
              <w:jc w:val="center"/>
              <w:rPr>
                <w:rFonts w:eastAsia="Times New Roman" w:cs="Arial"/>
                <w:b/>
                <w:color w:val="auto"/>
              </w:rPr>
            </w:pPr>
            <w:r w:rsidRPr="00D35E52">
              <w:rPr>
                <w:rFonts w:eastAsia="Times New Roman" w:cs="Arial"/>
                <w:b/>
                <w:color w:val="auto"/>
              </w:rPr>
              <w:t>2016/17</w:t>
            </w:r>
          </w:p>
        </w:tc>
      </w:tr>
      <w:tr w:rsidR="006A2C17" w:rsidTr="00793165">
        <w:trPr>
          <w:cantSplit/>
          <w:tblHeader/>
        </w:trPr>
        <w:tc>
          <w:tcPr>
            <w:tcW w:w="3333" w:type="dxa"/>
            <w:vMerge/>
            <w:shd w:val="clear" w:color="auto" w:fill="auto"/>
          </w:tcPr>
          <w:p w:rsidR="007F277C" w:rsidRPr="00D35E52" w:rsidRDefault="0062660D" w:rsidP="007F277C">
            <w:pPr>
              <w:autoSpaceDE/>
              <w:autoSpaceDN/>
              <w:adjustRightInd/>
              <w:spacing w:after="0"/>
              <w:jc w:val="left"/>
              <w:rPr>
                <w:rFonts w:eastAsia="Times New Roman" w:cs="Arial"/>
                <w:color w:val="auto"/>
              </w:rPr>
            </w:pPr>
          </w:p>
        </w:tc>
        <w:tc>
          <w:tcPr>
            <w:tcW w:w="1842" w:type="dxa"/>
            <w:shd w:val="clear" w:color="auto" w:fill="auto"/>
            <w:vAlign w:val="bottom"/>
          </w:tcPr>
          <w:p w:rsidR="007F277C" w:rsidRPr="00D35E52" w:rsidRDefault="0062660D" w:rsidP="007F277C">
            <w:pPr>
              <w:autoSpaceDE/>
              <w:autoSpaceDN/>
              <w:adjustRightInd/>
              <w:spacing w:after="0" w:line="260" w:lineRule="atLeast"/>
              <w:jc w:val="center"/>
              <w:rPr>
                <w:rFonts w:eastAsia="Times New Roman" w:cs="Arial"/>
                <w:b/>
                <w:color w:val="auto"/>
              </w:rPr>
            </w:pPr>
            <w:r w:rsidRPr="00D35E52">
              <w:rPr>
                <w:rFonts w:eastAsia="Times New Roman" w:cs="Arial"/>
                <w:b/>
                <w:color w:val="auto"/>
              </w:rPr>
              <w:t>Individual Adjustment</w:t>
            </w:r>
          </w:p>
          <w:p w:rsidR="007F277C" w:rsidRPr="00D35E52" w:rsidRDefault="0062660D" w:rsidP="007F277C">
            <w:pPr>
              <w:autoSpaceDE/>
              <w:autoSpaceDN/>
              <w:adjustRightInd/>
              <w:spacing w:after="0" w:line="260" w:lineRule="atLeast"/>
              <w:jc w:val="center"/>
              <w:rPr>
                <w:rFonts w:eastAsia="Times New Roman" w:cs="Arial"/>
                <w:b/>
                <w:color w:val="auto"/>
              </w:rPr>
            </w:pPr>
            <w:r w:rsidRPr="00D35E52">
              <w:rPr>
                <w:rFonts w:eastAsia="Times New Roman" w:cs="Arial"/>
                <w:b/>
                <w:color w:val="auto"/>
              </w:rPr>
              <w:t>%</w:t>
            </w:r>
          </w:p>
        </w:tc>
        <w:tc>
          <w:tcPr>
            <w:tcW w:w="1843" w:type="dxa"/>
            <w:shd w:val="clear" w:color="auto" w:fill="auto"/>
            <w:vAlign w:val="bottom"/>
          </w:tcPr>
          <w:p w:rsidR="007F277C" w:rsidRPr="00D35E52" w:rsidRDefault="0062660D" w:rsidP="007F277C">
            <w:pPr>
              <w:autoSpaceDE/>
              <w:autoSpaceDN/>
              <w:adjustRightInd/>
              <w:spacing w:after="0" w:line="260" w:lineRule="atLeast"/>
              <w:jc w:val="center"/>
              <w:rPr>
                <w:rFonts w:eastAsia="Times New Roman" w:cs="Arial"/>
                <w:b/>
                <w:color w:val="auto"/>
              </w:rPr>
            </w:pPr>
            <w:r w:rsidRPr="00D35E52">
              <w:rPr>
                <w:rFonts w:eastAsia="Times New Roman" w:cs="Arial"/>
                <w:b/>
                <w:color w:val="auto"/>
              </w:rPr>
              <w:t>Total Contribution Rate %</w:t>
            </w:r>
          </w:p>
        </w:tc>
        <w:tc>
          <w:tcPr>
            <w:tcW w:w="1843" w:type="dxa"/>
            <w:shd w:val="clear" w:color="auto" w:fill="auto"/>
            <w:vAlign w:val="bottom"/>
          </w:tcPr>
          <w:p w:rsidR="007F277C" w:rsidRPr="00D35E52" w:rsidRDefault="0062660D" w:rsidP="007F277C">
            <w:pPr>
              <w:autoSpaceDE/>
              <w:autoSpaceDN/>
              <w:adjustRightInd/>
              <w:spacing w:after="0" w:line="260" w:lineRule="atLeast"/>
              <w:jc w:val="center"/>
              <w:rPr>
                <w:rFonts w:eastAsia="Times New Roman" w:cs="Arial"/>
                <w:b/>
                <w:color w:val="auto"/>
              </w:rPr>
            </w:pPr>
            <w:r w:rsidRPr="00D35E52">
              <w:rPr>
                <w:rFonts w:eastAsia="Times New Roman" w:cs="Arial"/>
                <w:b/>
                <w:color w:val="auto"/>
              </w:rPr>
              <w:t xml:space="preserve">Individual Adjustment </w:t>
            </w:r>
          </w:p>
          <w:p w:rsidR="007F277C" w:rsidRPr="00D35E52" w:rsidRDefault="0062660D" w:rsidP="007F277C">
            <w:pPr>
              <w:autoSpaceDE/>
              <w:autoSpaceDN/>
              <w:adjustRightInd/>
              <w:spacing w:after="0" w:line="260" w:lineRule="atLeast"/>
              <w:jc w:val="center"/>
              <w:rPr>
                <w:rFonts w:eastAsia="Times New Roman" w:cs="Arial"/>
                <w:b/>
                <w:color w:val="auto"/>
              </w:rPr>
            </w:pPr>
            <w:r w:rsidRPr="00D35E52">
              <w:rPr>
                <w:rFonts w:eastAsia="Times New Roman" w:cs="Arial"/>
                <w:b/>
                <w:color w:val="auto"/>
              </w:rPr>
              <w:t>%</w:t>
            </w:r>
          </w:p>
        </w:tc>
        <w:tc>
          <w:tcPr>
            <w:tcW w:w="1984" w:type="dxa"/>
            <w:shd w:val="clear" w:color="auto" w:fill="auto"/>
            <w:vAlign w:val="bottom"/>
          </w:tcPr>
          <w:p w:rsidR="007F277C" w:rsidRPr="00D35E52" w:rsidRDefault="0062660D" w:rsidP="007F277C">
            <w:pPr>
              <w:autoSpaceDE/>
              <w:autoSpaceDN/>
              <w:adjustRightInd/>
              <w:spacing w:after="0" w:line="260" w:lineRule="atLeast"/>
              <w:jc w:val="center"/>
              <w:rPr>
                <w:rFonts w:eastAsia="Times New Roman" w:cs="Arial"/>
                <w:b/>
                <w:color w:val="auto"/>
              </w:rPr>
            </w:pPr>
            <w:r w:rsidRPr="00D35E52">
              <w:rPr>
                <w:rFonts w:eastAsia="Times New Roman" w:cs="Arial"/>
                <w:b/>
                <w:color w:val="auto"/>
              </w:rPr>
              <w:t>Total Contribution Rate %</w:t>
            </w:r>
          </w:p>
        </w:tc>
        <w:tc>
          <w:tcPr>
            <w:tcW w:w="2127" w:type="dxa"/>
            <w:shd w:val="clear" w:color="auto" w:fill="auto"/>
            <w:vAlign w:val="bottom"/>
          </w:tcPr>
          <w:p w:rsidR="007F277C" w:rsidRPr="00D35E52" w:rsidRDefault="0062660D" w:rsidP="007F277C">
            <w:pPr>
              <w:autoSpaceDE/>
              <w:autoSpaceDN/>
              <w:adjustRightInd/>
              <w:spacing w:after="0" w:line="260" w:lineRule="atLeast"/>
              <w:jc w:val="center"/>
              <w:rPr>
                <w:rFonts w:eastAsia="Times New Roman" w:cs="Arial"/>
                <w:b/>
                <w:color w:val="auto"/>
              </w:rPr>
            </w:pPr>
            <w:r w:rsidRPr="00D35E52">
              <w:rPr>
                <w:rFonts w:eastAsia="Times New Roman" w:cs="Arial"/>
                <w:b/>
                <w:color w:val="auto"/>
              </w:rPr>
              <w:t>Individual Adjustment</w:t>
            </w:r>
          </w:p>
          <w:p w:rsidR="007F277C" w:rsidRPr="00D35E52" w:rsidRDefault="0062660D" w:rsidP="007F277C">
            <w:pPr>
              <w:autoSpaceDE/>
              <w:autoSpaceDN/>
              <w:adjustRightInd/>
              <w:spacing w:after="0" w:line="260" w:lineRule="atLeast"/>
              <w:jc w:val="center"/>
              <w:rPr>
                <w:rFonts w:eastAsia="Times New Roman" w:cs="Arial"/>
                <w:b/>
                <w:color w:val="auto"/>
              </w:rPr>
            </w:pPr>
            <w:r w:rsidRPr="00D35E52">
              <w:rPr>
                <w:rFonts w:eastAsia="Times New Roman" w:cs="Arial"/>
                <w:b/>
                <w:color w:val="auto"/>
              </w:rPr>
              <w:t>%</w:t>
            </w:r>
          </w:p>
        </w:tc>
        <w:tc>
          <w:tcPr>
            <w:tcW w:w="2409" w:type="dxa"/>
            <w:shd w:val="clear" w:color="auto" w:fill="auto"/>
            <w:vAlign w:val="bottom"/>
          </w:tcPr>
          <w:p w:rsidR="007F277C" w:rsidRPr="00D35E52" w:rsidRDefault="0062660D" w:rsidP="007F277C">
            <w:pPr>
              <w:autoSpaceDE/>
              <w:autoSpaceDN/>
              <w:adjustRightInd/>
              <w:spacing w:after="0" w:line="260" w:lineRule="atLeast"/>
              <w:jc w:val="center"/>
              <w:rPr>
                <w:rFonts w:eastAsia="Times New Roman" w:cs="Arial"/>
                <w:b/>
                <w:color w:val="auto"/>
              </w:rPr>
            </w:pPr>
            <w:r w:rsidRPr="00D35E52">
              <w:rPr>
                <w:rFonts w:eastAsia="Times New Roman" w:cs="Arial"/>
                <w:b/>
                <w:color w:val="auto"/>
              </w:rPr>
              <w:t>Total Contribution Rate %</w:t>
            </w:r>
          </w:p>
        </w:tc>
      </w:tr>
      <w:tr w:rsidR="006A2C17" w:rsidTr="00793165">
        <w:trPr>
          <w:cantSplit/>
        </w:trPr>
        <w:tc>
          <w:tcPr>
            <w:tcW w:w="3333" w:type="dxa"/>
            <w:shd w:val="clear" w:color="auto" w:fill="auto"/>
            <w:vAlign w:val="center"/>
          </w:tcPr>
          <w:p w:rsidR="007F277C" w:rsidRPr="00D35E52" w:rsidRDefault="0062660D" w:rsidP="00793165">
            <w:pPr>
              <w:jc w:val="left"/>
              <w:rPr>
                <w:rFonts w:cs="Arial"/>
              </w:rPr>
            </w:pPr>
            <w:r w:rsidRPr="00D35E52">
              <w:rPr>
                <w:rFonts w:cs="Arial"/>
              </w:rPr>
              <w:t>Bacup Rawtenstall GS (Academy)</w:t>
            </w:r>
          </w:p>
        </w:tc>
        <w:tc>
          <w:tcPr>
            <w:tcW w:w="1842" w:type="dxa"/>
            <w:shd w:val="clear" w:color="auto" w:fill="auto"/>
            <w:vAlign w:val="center"/>
          </w:tcPr>
          <w:p w:rsidR="007F277C" w:rsidRPr="00D35E52" w:rsidRDefault="0062660D" w:rsidP="007F277C">
            <w:pPr>
              <w:jc w:val="center"/>
              <w:rPr>
                <w:rFonts w:cs="Arial"/>
              </w:rPr>
            </w:pPr>
            <w:r w:rsidRPr="00D35E52">
              <w:rPr>
                <w:rFonts w:cs="Arial"/>
              </w:rPr>
              <w:t>0.6% plus £20,500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13.7% plus £20,500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0.6% plus £21,300</w:t>
            </w:r>
          </w:p>
        </w:tc>
        <w:tc>
          <w:tcPr>
            <w:tcW w:w="1984" w:type="dxa"/>
            <w:shd w:val="clear" w:color="auto" w:fill="auto"/>
            <w:vAlign w:val="center"/>
          </w:tcPr>
          <w:p w:rsidR="007F277C" w:rsidRPr="00D35E52" w:rsidRDefault="0062660D" w:rsidP="007F277C">
            <w:pPr>
              <w:jc w:val="center"/>
              <w:rPr>
                <w:rFonts w:cs="Arial"/>
              </w:rPr>
            </w:pPr>
            <w:r w:rsidRPr="00D35E52">
              <w:rPr>
                <w:rFonts w:cs="Arial"/>
              </w:rPr>
              <w:t>13.7% plus £21,300</w:t>
            </w:r>
          </w:p>
        </w:tc>
        <w:tc>
          <w:tcPr>
            <w:tcW w:w="2127" w:type="dxa"/>
            <w:shd w:val="clear" w:color="auto" w:fill="auto"/>
            <w:vAlign w:val="center"/>
          </w:tcPr>
          <w:p w:rsidR="007F277C" w:rsidRPr="00D35E52" w:rsidRDefault="0062660D" w:rsidP="007F277C">
            <w:pPr>
              <w:jc w:val="center"/>
              <w:rPr>
                <w:rFonts w:cs="Arial"/>
              </w:rPr>
            </w:pPr>
            <w:r w:rsidRPr="00D35E52">
              <w:rPr>
                <w:rFonts w:cs="Arial"/>
              </w:rPr>
              <w:t>0.6% plus £22,200</w:t>
            </w:r>
          </w:p>
        </w:tc>
        <w:tc>
          <w:tcPr>
            <w:tcW w:w="2409" w:type="dxa"/>
            <w:shd w:val="clear" w:color="auto" w:fill="auto"/>
            <w:vAlign w:val="center"/>
          </w:tcPr>
          <w:p w:rsidR="007F277C" w:rsidRPr="00D35E52" w:rsidRDefault="0062660D" w:rsidP="007F277C">
            <w:pPr>
              <w:jc w:val="center"/>
              <w:rPr>
                <w:rFonts w:cs="Arial"/>
              </w:rPr>
            </w:pPr>
            <w:r w:rsidRPr="00D35E52">
              <w:rPr>
                <w:rFonts w:cs="Arial"/>
              </w:rPr>
              <w:t>13.7% plus £22,200</w:t>
            </w:r>
          </w:p>
        </w:tc>
      </w:tr>
      <w:tr w:rsidR="006A2C17" w:rsidTr="00793165">
        <w:trPr>
          <w:cantSplit/>
        </w:trPr>
        <w:tc>
          <w:tcPr>
            <w:tcW w:w="3333" w:type="dxa"/>
            <w:shd w:val="clear" w:color="auto" w:fill="auto"/>
            <w:vAlign w:val="center"/>
          </w:tcPr>
          <w:p w:rsidR="007F277C" w:rsidRPr="00D35E52" w:rsidRDefault="0062660D" w:rsidP="00793165">
            <w:pPr>
              <w:jc w:val="left"/>
              <w:rPr>
                <w:rFonts w:cs="Arial"/>
              </w:rPr>
            </w:pPr>
            <w:r w:rsidRPr="00D35E52">
              <w:rPr>
                <w:rFonts w:cs="Arial"/>
              </w:rPr>
              <w:t>Balfour Beatty (</w:t>
            </w:r>
            <w:proofErr w:type="spellStart"/>
            <w:r w:rsidRPr="00D35E52">
              <w:rPr>
                <w:rFonts w:cs="Arial"/>
              </w:rPr>
              <w:t>Blakewater</w:t>
            </w:r>
            <w:proofErr w:type="spellEnd"/>
            <w:r w:rsidRPr="00D35E52">
              <w:rPr>
                <w:rFonts w:cs="Arial"/>
              </w:rPr>
              <w:t>/</w:t>
            </w:r>
            <w:proofErr w:type="spellStart"/>
            <w:r w:rsidRPr="00D35E52">
              <w:rPr>
                <w:rFonts w:cs="Arial"/>
              </w:rPr>
              <w:t>Crosshill</w:t>
            </w:r>
            <w:proofErr w:type="spellEnd"/>
            <w:r w:rsidRPr="00D35E52">
              <w:rPr>
                <w:rFonts w:cs="Arial"/>
              </w:rPr>
              <w:t>)</w:t>
            </w:r>
          </w:p>
        </w:tc>
        <w:tc>
          <w:tcPr>
            <w:tcW w:w="1842" w:type="dxa"/>
            <w:shd w:val="clear" w:color="auto" w:fill="auto"/>
            <w:vAlign w:val="center"/>
          </w:tcPr>
          <w:p w:rsidR="007F277C" w:rsidRPr="00D35E52" w:rsidRDefault="0062660D" w:rsidP="007F277C">
            <w:pPr>
              <w:jc w:val="center"/>
              <w:rPr>
                <w:rFonts w:cs="Arial"/>
              </w:rPr>
            </w:pPr>
            <w:r w:rsidRPr="00D35E52">
              <w:rPr>
                <w:rFonts w:cs="Arial"/>
              </w:rPr>
              <w:t>6.6%</w:t>
            </w:r>
          </w:p>
        </w:tc>
        <w:tc>
          <w:tcPr>
            <w:tcW w:w="1843" w:type="dxa"/>
            <w:shd w:val="clear" w:color="auto" w:fill="auto"/>
            <w:vAlign w:val="center"/>
          </w:tcPr>
          <w:p w:rsidR="007F277C" w:rsidRPr="00D35E52" w:rsidRDefault="0062660D" w:rsidP="007F277C">
            <w:pPr>
              <w:jc w:val="center"/>
              <w:rPr>
                <w:rFonts w:cs="Arial"/>
              </w:rPr>
            </w:pPr>
            <w:r w:rsidRPr="00D35E52">
              <w:rPr>
                <w:rFonts w:cs="Arial"/>
              </w:rPr>
              <w:t>19.7%</w:t>
            </w:r>
          </w:p>
        </w:tc>
        <w:tc>
          <w:tcPr>
            <w:tcW w:w="1843" w:type="dxa"/>
            <w:shd w:val="clear" w:color="auto" w:fill="auto"/>
            <w:vAlign w:val="center"/>
          </w:tcPr>
          <w:p w:rsidR="007F277C" w:rsidRPr="00D35E52" w:rsidRDefault="0062660D" w:rsidP="007F277C">
            <w:pPr>
              <w:jc w:val="center"/>
              <w:rPr>
                <w:rFonts w:cs="Arial"/>
              </w:rPr>
            </w:pPr>
            <w:r w:rsidRPr="00D35E52">
              <w:rPr>
                <w:rFonts w:cs="Arial"/>
              </w:rPr>
              <w:t>6.6%</w:t>
            </w:r>
          </w:p>
        </w:tc>
        <w:tc>
          <w:tcPr>
            <w:tcW w:w="1984" w:type="dxa"/>
            <w:shd w:val="clear" w:color="auto" w:fill="auto"/>
            <w:vAlign w:val="center"/>
          </w:tcPr>
          <w:p w:rsidR="007F277C" w:rsidRPr="00D35E52" w:rsidRDefault="0062660D" w:rsidP="007F277C">
            <w:pPr>
              <w:jc w:val="center"/>
              <w:rPr>
                <w:rFonts w:cs="Arial"/>
              </w:rPr>
            </w:pPr>
            <w:r w:rsidRPr="00D35E52">
              <w:rPr>
                <w:rFonts w:cs="Arial"/>
              </w:rPr>
              <w:t>19.7%</w:t>
            </w:r>
          </w:p>
        </w:tc>
        <w:tc>
          <w:tcPr>
            <w:tcW w:w="2127" w:type="dxa"/>
            <w:shd w:val="clear" w:color="auto" w:fill="auto"/>
            <w:vAlign w:val="center"/>
          </w:tcPr>
          <w:p w:rsidR="007F277C" w:rsidRPr="00D35E52" w:rsidRDefault="0062660D" w:rsidP="007F277C">
            <w:pPr>
              <w:jc w:val="center"/>
              <w:rPr>
                <w:rFonts w:cs="Arial"/>
              </w:rPr>
            </w:pPr>
            <w:r w:rsidRPr="00D35E52">
              <w:rPr>
                <w:rFonts w:cs="Arial"/>
              </w:rPr>
              <w:t>6.6%</w:t>
            </w:r>
          </w:p>
        </w:tc>
        <w:tc>
          <w:tcPr>
            <w:tcW w:w="2409" w:type="dxa"/>
            <w:shd w:val="clear" w:color="auto" w:fill="auto"/>
            <w:vAlign w:val="center"/>
          </w:tcPr>
          <w:p w:rsidR="007F277C" w:rsidRPr="00D35E52" w:rsidRDefault="0062660D" w:rsidP="007F277C">
            <w:pPr>
              <w:jc w:val="center"/>
              <w:rPr>
                <w:rFonts w:cs="Arial"/>
              </w:rPr>
            </w:pPr>
            <w:r w:rsidRPr="00D35E52">
              <w:rPr>
                <w:rFonts w:cs="Arial"/>
              </w:rPr>
              <w:t>19.7%</w:t>
            </w:r>
          </w:p>
        </w:tc>
      </w:tr>
      <w:tr w:rsidR="006A2C17" w:rsidTr="00793165">
        <w:trPr>
          <w:cantSplit/>
        </w:trPr>
        <w:tc>
          <w:tcPr>
            <w:tcW w:w="3333" w:type="dxa"/>
            <w:shd w:val="clear" w:color="auto" w:fill="auto"/>
            <w:vAlign w:val="center"/>
          </w:tcPr>
          <w:p w:rsidR="007F277C" w:rsidRPr="00D35E52" w:rsidRDefault="0062660D" w:rsidP="00793165">
            <w:pPr>
              <w:jc w:val="left"/>
              <w:rPr>
                <w:rFonts w:cs="Arial"/>
              </w:rPr>
            </w:pPr>
            <w:r w:rsidRPr="00D35E52">
              <w:rPr>
                <w:rFonts w:cs="Arial"/>
              </w:rPr>
              <w:t>Balfour Beatty (</w:t>
            </w:r>
            <w:proofErr w:type="spellStart"/>
            <w:r w:rsidRPr="00D35E52">
              <w:rPr>
                <w:rFonts w:cs="Arial"/>
              </w:rPr>
              <w:t>Pleckgate</w:t>
            </w:r>
            <w:proofErr w:type="spellEnd"/>
            <w:r w:rsidRPr="00D35E52">
              <w:rPr>
                <w:rFonts w:cs="Arial"/>
              </w:rPr>
              <w:t xml:space="preserve"> School)</w:t>
            </w:r>
          </w:p>
        </w:tc>
        <w:tc>
          <w:tcPr>
            <w:tcW w:w="1842" w:type="dxa"/>
            <w:shd w:val="clear" w:color="auto" w:fill="auto"/>
            <w:vAlign w:val="center"/>
          </w:tcPr>
          <w:p w:rsidR="007F277C" w:rsidRPr="00D35E52" w:rsidRDefault="0062660D" w:rsidP="007F277C">
            <w:pPr>
              <w:jc w:val="center"/>
              <w:rPr>
                <w:rFonts w:cs="Arial"/>
              </w:rPr>
            </w:pPr>
            <w:r w:rsidRPr="00D35E52">
              <w:rPr>
                <w:rFonts w:cs="Arial"/>
              </w:rPr>
              <w:t>0.5%</w:t>
            </w:r>
          </w:p>
        </w:tc>
        <w:tc>
          <w:tcPr>
            <w:tcW w:w="1843" w:type="dxa"/>
            <w:shd w:val="clear" w:color="auto" w:fill="auto"/>
            <w:vAlign w:val="center"/>
          </w:tcPr>
          <w:p w:rsidR="007F277C" w:rsidRPr="00D35E52" w:rsidRDefault="0062660D" w:rsidP="007F277C">
            <w:pPr>
              <w:jc w:val="center"/>
              <w:rPr>
                <w:rFonts w:cs="Arial"/>
              </w:rPr>
            </w:pPr>
            <w:r w:rsidRPr="00D35E52">
              <w:rPr>
                <w:rFonts w:cs="Arial"/>
              </w:rPr>
              <w:t>13.6%</w:t>
            </w:r>
          </w:p>
        </w:tc>
        <w:tc>
          <w:tcPr>
            <w:tcW w:w="1843" w:type="dxa"/>
            <w:shd w:val="clear" w:color="auto" w:fill="auto"/>
            <w:vAlign w:val="center"/>
          </w:tcPr>
          <w:p w:rsidR="007F277C" w:rsidRPr="00D35E52" w:rsidRDefault="0062660D" w:rsidP="007F277C">
            <w:pPr>
              <w:jc w:val="center"/>
              <w:rPr>
                <w:rFonts w:cs="Arial"/>
              </w:rPr>
            </w:pPr>
            <w:r w:rsidRPr="00D35E52">
              <w:rPr>
                <w:rFonts w:cs="Arial"/>
              </w:rPr>
              <w:t>0.5%</w:t>
            </w:r>
          </w:p>
        </w:tc>
        <w:tc>
          <w:tcPr>
            <w:tcW w:w="1984" w:type="dxa"/>
            <w:shd w:val="clear" w:color="auto" w:fill="auto"/>
            <w:vAlign w:val="center"/>
          </w:tcPr>
          <w:p w:rsidR="007F277C" w:rsidRPr="00D35E52" w:rsidRDefault="0062660D" w:rsidP="007F277C">
            <w:pPr>
              <w:jc w:val="center"/>
              <w:rPr>
                <w:rFonts w:cs="Arial"/>
              </w:rPr>
            </w:pPr>
            <w:r w:rsidRPr="00D35E52">
              <w:rPr>
                <w:rFonts w:cs="Arial"/>
              </w:rPr>
              <w:t>13.6%</w:t>
            </w:r>
          </w:p>
        </w:tc>
        <w:tc>
          <w:tcPr>
            <w:tcW w:w="2127" w:type="dxa"/>
            <w:shd w:val="clear" w:color="auto" w:fill="auto"/>
            <w:vAlign w:val="center"/>
          </w:tcPr>
          <w:p w:rsidR="007F277C" w:rsidRPr="00D35E52" w:rsidRDefault="0062660D" w:rsidP="007F277C">
            <w:pPr>
              <w:jc w:val="center"/>
              <w:rPr>
                <w:rFonts w:cs="Arial"/>
              </w:rPr>
            </w:pPr>
            <w:r w:rsidRPr="00D35E52">
              <w:rPr>
                <w:rFonts w:cs="Arial"/>
              </w:rPr>
              <w:t>0.5%</w:t>
            </w:r>
          </w:p>
        </w:tc>
        <w:tc>
          <w:tcPr>
            <w:tcW w:w="2409" w:type="dxa"/>
            <w:shd w:val="clear" w:color="auto" w:fill="auto"/>
            <w:vAlign w:val="center"/>
          </w:tcPr>
          <w:p w:rsidR="007F277C" w:rsidRPr="00D35E52" w:rsidRDefault="0062660D" w:rsidP="007F277C">
            <w:pPr>
              <w:jc w:val="center"/>
              <w:rPr>
                <w:rFonts w:cs="Arial"/>
              </w:rPr>
            </w:pPr>
            <w:r w:rsidRPr="00D35E52">
              <w:rPr>
                <w:rFonts w:cs="Arial"/>
              </w:rPr>
              <w:t>13.6%</w:t>
            </w:r>
          </w:p>
        </w:tc>
      </w:tr>
      <w:tr w:rsidR="006A2C17" w:rsidTr="00793165">
        <w:trPr>
          <w:cantSplit/>
        </w:trPr>
        <w:tc>
          <w:tcPr>
            <w:tcW w:w="3333" w:type="dxa"/>
            <w:shd w:val="clear" w:color="auto" w:fill="auto"/>
            <w:vAlign w:val="center"/>
          </w:tcPr>
          <w:p w:rsidR="007F277C" w:rsidRPr="00D35E52" w:rsidRDefault="0062660D" w:rsidP="00793165">
            <w:pPr>
              <w:jc w:val="left"/>
              <w:rPr>
                <w:rFonts w:cs="Arial"/>
              </w:rPr>
            </w:pPr>
            <w:r w:rsidRPr="00D35E52">
              <w:rPr>
                <w:rFonts w:cs="Arial"/>
              </w:rPr>
              <w:t>Balfour Beatty Ltd (Darwen Vale)</w:t>
            </w:r>
          </w:p>
        </w:tc>
        <w:tc>
          <w:tcPr>
            <w:tcW w:w="1842" w:type="dxa"/>
            <w:shd w:val="clear" w:color="auto" w:fill="auto"/>
            <w:vAlign w:val="center"/>
          </w:tcPr>
          <w:p w:rsidR="007F277C" w:rsidRPr="00D35E52" w:rsidRDefault="0062660D" w:rsidP="007F277C">
            <w:pPr>
              <w:jc w:val="center"/>
              <w:rPr>
                <w:rFonts w:cs="Arial"/>
              </w:rPr>
            </w:pPr>
            <w:r w:rsidRPr="00D35E52">
              <w:rPr>
                <w:rFonts w:cs="Arial"/>
              </w:rPr>
              <w:t>6.6%</w:t>
            </w:r>
          </w:p>
        </w:tc>
        <w:tc>
          <w:tcPr>
            <w:tcW w:w="1843" w:type="dxa"/>
            <w:shd w:val="clear" w:color="auto" w:fill="auto"/>
            <w:vAlign w:val="center"/>
          </w:tcPr>
          <w:p w:rsidR="007F277C" w:rsidRPr="00D35E52" w:rsidRDefault="0062660D" w:rsidP="007F277C">
            <w:pPr>
              <w:jc w:val="center"/>
              <w:rPr>
                <w:rFonts w:cs="Arial"/>
              </w:rPr>
            </w:pPr>
            <w:r w:rsidRPr="00D35E52">
              <w:rPr>
                <w:rFonts w:cs="Arial"/>
              </w:rPr>
              <w:t>19.7%</w:t>
            </w:r>
          </w:p>
        </w:tc>
        <w:tc>
          <w:tcPr>
            <w:tcW w:w="1843" w:type="dxa"/>
            <w:shd w:val="clear" w:color="auto" w:fill="auto"/>
            <w:vAlign w:val="center"/>
          </w:tcPr>
          <w:p w:rsidR="007F277C" w:rsidRPr="00D35E52" w:rsidRDefault="0062660D" w:rsidP="007F277C">
            <w:pPr>
              <w:jc w:val="center"/>
              <w:rPr>
                <w:rFonts w:cs="Arial"/>
              </w:rPr>
            </w:pPr>
            <w:r w:rsidRPr="00D35E52">
              <w:rPr>
                <w:rFonts w:cs="Arial"/>
              </w:rPr>
              <w:t>6.6%</w:t>
            </w:r>
          </w:p>
        </w:tc>
        <w:tc>
          <w:tcPr>
            <w:tcW w:w="1984" w:type="dxa"/>
            <w:shd w:val="clear" w:color="auto" w:fill="auto"/>
            <w:vAlign w:val="center"/>
          </w:tcPr>
          <w:p w:rsidR="007F277C" w:rsidRPr="00D35E52" w:rsidRDefault="0062660D" w:rsidP="007F277C">
            <w:pPr>
              <w:jc w:val="center"/>
              <w:rPr>
                <w:rFonts w:cs="Arial"/>
              </w:rPr>
            </w:pPr>
            <w:r w:rsidRPr="00D35E52">
              <w:rPr>
                <w:rFonts w:cs="Arial"/>
              </w:rPr>
              <w:t>19.7%</w:t>
            </w:r>
          </w:p>
        </w:tc>
        <w:tc>
          <w:tcPr>
            <w:tcW w:w="2127" w:type="dxa"/>
            <w:shd w:val="clear" w:color="auto" w:fill="auto"/>
            <w:vAlign w:val="center"/>
          </w:tcPr>
          <w:p w:rsidR="007F277C" w:rsidRPr="00D35E52" w:rsidRDefault="0062660D" w:rsidP="007F277C">
            <w:pPr>
              <w:jc w:val="center"/>
              <w:rPr>
                <w:rFonts w:cs="Arial"/>
              </w:rPr>
            </w:pPr>
            <w:r w:rsidRPr="00D35E52">
              <w:rPr>
                <w:rFonts w:cs="Arial"/>
              </w:rPr>
              <w:t>6.6%</w:t>
            </w:r>
          </w:p>
        </w:tc>
        <w:tc>
          <w:tcPr>
            <w:tcW w:w="2409" w:type="dxa"/>
            <w:shd w:val="clear" w:color="auto" w:fill="auto"/>
            <w:vAlign w:val="center"/>
          </w:tcPr>
          <w:p w:rsidR="007F277C" w:rsidRPr="00D35E52" w:rsidRDefault="0062660D" w:rsidP="007F277C">
            <w:pPr>
              <w:jc w:val="center"/>
              <w:rPr>
                <w:rFonts w:cs="Arial"/>
              </w:rPr>
            </w:pPr>
            <w:r w:rsidRPr="00D35E52">
              <w:rPr>
                <w:rFonts w:cs="Arial"/>
              </w:rPr>
              <w:t>19.7%</w:t>
            </w:r>
          </w:p>
        </w:tc>
      </w:tr>
      <w:tr w:rsidR="006A2C17" w:rsidTr="00793165">
        <w:trPr>
          <w:cantSplit/>
        </w:trPr>
        <w:tc>
          <w:tcPr>
            <w:tcW w:w="3333" w:type="dxa"/>
            <w:shd w:val="clear" w:color="auto" w:fill="auto"/>
            <w:vAlign w:val="center"/>
          </w:tcPr>
          <w:p w:rsidR="007F277C" w:rsidRPr="00D35E52" w:rsidRDefault="0062660D" w:rsidP="00793165">
            <w:pPr>
              <w:jc w:val="left"/>
              <w:rPr>
                <w:rFonts w:cs="Arial"/>
              </w:rPr>
            </w:pPr>
            <w:r w:rsidRPr="00D35E52">
              <w:rPr>
                <w:rFonts w:cs="Arial"/>
              </w:rPr>
              <w:t xml:space="preserve">Balfour Beatty Ltd (Witton </w:t>
            </w:r>
            <w:r w:rsidRPr="00D35E52">
              <w:rPr>
                <w:rFonts w:cs="Arial"/>
              </w:rPr>
              <w:t>Park Cleaning)</w:t>
            </w:r>
          </w:p>
        </w:tc>
        <w:tc>
          <w:tcPr>
            <w:tcW w:w="1842" w:type="dxa"/>
            <w:shd w:val="clear" w:color="auto" w:fill="auto"/>
            <w:vAlign w:val="center"/>
          </w:tcPr>
          <w:p w:rsidR="007F277C" w:rsidRPr="00D35E52" w:rsidRDefault="0062660D" w:rsidP="007F277C">
            <w:pPr>
              <w:jc w:val="center"/>
              <w:rPr>
                <w:rFonts w:cs="Arial"/>
              </w:rPr>
            </w:pPr>
            <w:r w:rsidRPr="00D35E52">
              <w:rPr>
                <w:rFonts w:cs="Arial"/>
              </w:rPr>
              <w:t>6.6%</w:t>
            </w:r>
          </w:p>
        </w:tc>
        <w:tc>
          <w:tcPr>
            <w:tcW w:w="1843" w:type="dxa"/>
            <w:shd w:val="clear" w:color="auto" w:fill="auto"/>
            <w:vAlign w:val="center"/>
          </w:tcPr>
          <w:p w:rsidR="007F277C" w:rsidRPr="00D35E52" w:rsidRDefault="0062660D" w:rsidP="007F277C">
            <w:pPr>
              <w:jc w:val="center"/>
              <w:rPr>
                <w:rFonts w:cs="Arial"/>
              </w:rPr>
            </w:pPr>
            <w:r w:rsidRPr="00D35E52">
              <w:rPr>
                <w:rFonts w:cs="Arial"/>
              </w:rPr>
              <w:t>19.7%</w:t>
            </w:r>
          </w:p>
        </w:tc>
        <w:tc>
          <w:tcPr>
            <w:tcW w:w="1843" w:type="dxa"/>
            <w:shd w:val="clear" w:color="auto" w:fill="auto"/>
            <w:vAlign w:val="center"/>
          </w:tcPr>
          <w:p w:rsidR="007F277C" w:rsidRPr="00D35E52" w:rsidRDefault="0062660D" w:rsidP="007F277C">
            <w:pPr>
              <w:jc w:val="center"/>
              <w:rPr>
                <w:rFonts w:cs="Arial"/>
              </w:rPr>
            </w:pPr>
            <w:r w:rsidRPr="00D35E52">
              <w:rPr>
                <w:rFonts w:cs="Arial"/>
              </w:rPr>
              <w:t>6.6%</w:t>
            </w:r>
          </w:p>
        </w:tc>
        <w:tc>
          <w:tcPr>
            <w:tcW w:w="1984" w:type="dxa"/>
            <w:shd w:val="clear" w:color="auto" w:fill="auto"/>
            <w:vAlign w:val="center"/>
          </w:tcPr>
          <w:p w:rsidR="007F277C" w:rsidRPr="00D35E52" w:rsidRDefault="0062660D" w:rsidP="007F277C">
            <w:pPr>
              <w:jc w:val="center"/>
              <w:rPr>
                <w:rFonts w:cs="Arial"/>
              </w:rPr>
            </w:pPr>
            <w:r w:rsidRPr="00D35E52">
              <w:rPr>
                <w:rFonts w:cs="Arial"/>
              </w:rPr>
              <w:t>19.7%</w:t>
            </w:r>
          </w:p>
        </w:tc>
        <w:tc>
          <w:tcPr>
            <w:tcW w:w="2127" w:type="dxa"/>
            <w:shd w:val="clear" w:color="auto" w:fill="auto"/>
            <w:vAlign w:val="center"/>
          </w:tcPr>
          <w:p w:rsidR="007F277C" w:rsidRPr="00D35E52" w:rsidRDefault="0062660D" w:rsidP="007F277C">
            <w:pPr>
              <w:jc w:val="center"/>
              <w:rPr>
                <w:rFonts w:cs="Arial"/>
              </w:rPr>
            </w:pPr>
            <w:r w:rsidRPr="00D35E52">
              <w:rPr>
                <w:rFonts w:cs="Arial"/>
              </w:rPr>
              <w:t>6.6%</w:t>
            </w:r>
          </w:p>
        </w:tc>
        <w:tc>
          <w:tcPr>
            <w:tcW w:w="2409" w:type="dxa"/>
            <w:shd w:val="clear" w:color="auto" w:fill="auto"/>
            <w:vAlign w:val="center"/>
          </w:tcPr>
          <w:p w:rsidR="007F277C" w:rsidRPr="00D35E52" w:rsidRDefault="0062660D" w:rsidP="007F277C">
            <w:pPr>
              <w:jc w:val="center"/>
              <w:rPr>
                <w:rFonts w:cs="Arial"/>
              </w:rPr>
            </w:pPr>
            <w:r w:rsidRPr="00D35E52">
              <w:rPr>
                <w:rFonts w:cs="Arial"/>
              </w:rPr>
              <w:t>19.7%</w:t>
            </w:r>
          </w:p>
        </w:tc>
      </w:tr>
      <w:tr w:rsidR="006A2C17" w:rsidTr="00793165">
        <w:trPr>
          <w:cantSplit/>
        </w:trPr>
        <w:tc>
          <w:tcPr>
            <w:tcW w:w="3333" w:type="dxa"/>
            <w:shd w:val="clear" w:color="auto" w:fill="auto"/>
            <w:vAlign w:val="center"/>
          </w:tcPr>
          <w:p w:rsidR="007F277C" w:rsidRPr="00D35E52" w:rsidRDefault="0062660D" w:rsidP="00793165">
            <w:pPr>
              <w:jc w:val="left"/>
              <w:rPr>
                <w:rFonts w:cs="Arial"/>
              </w:rPr>
            </w:pPr>
            <w:proofErr w:type="spellStart"/>
            <w:r w:rsidRPr="00D35E52">
              <w:rPr>
                <w:rFonts w:cs="Arial"/>
              </w:rPr>
              <w:t>Belthorn</w:t>
            </w:r>
            <w:proofErr w:type="spellEnd"/>
            <w:r w:rsidRPr="00D35E52">
              <w:rPr>
                <w:rFonts w:cs="Arial"/>
              </w:rPr>
              <w:t xml:space="preserve"> Primary Academy</w:t>
            </w:r>
          </w:p>
        </w:tc>
        <w:tc>
          <w:tcPr>
            <w:tcW w:w="1842" w:type="dxa"/>
            <w:shd w:val="clear" w:color="auto" w:fill="auto"/>
            <w:vAlign w:val="center"/>
          </w:tcPr>
          <w:p w:rsidR="007F277C" w:rsidRPr="00D35E52" w:rsidRDefault="0062660D" w:rsidP="007F277C">
            <w:pPr>
              <w:jc w:val="center"/>
              <w:rPr>
                <w:rFonts w:cs="Arial"/>
              </w:rPr>
            </w:pPr>
            <w:r w:rsidRPr="00D35E52">
              <w:rPr>
                <w:rFonts w:cs="Arial"/>
              </w:rPr>
              <w:t>4.3% plus £3,700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17.4% plus £3,700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4.3% plus £5,600</w:t>
            </w:r>
          </w:p>
        </w:tc>
        <w:tc>
          <w:tcPr>
            <w:tcW w:w="1984" w:type="dxa"/>
            <w:shd w:val="clear" w:color="auto" w:fill="auto"/>
            <w:vAlign w:val="center"/>
          </w:tcPr>
          <w:p w:rsidR="007F277C" w:rsidRPr="00D35E52" w:rsidRDefault="0062660D" w:rsidP="007F277C">
            <w:pPr>
              <w:jc w:val="center"/>
              <w:rPr>
                <w:rFonts w:cs="Arial"/>
              </w:rPr>
            </w:pPr>
            <w:r w:rsidRPr="00D35E52">
              <w:rPr>
                <w:rFonts w:cs="Arial"/>
              </w:rPr>
              <w:t>17.4% plus £5,600</w:t>
            </w:r>
          </w:p>
        </w:tc>
        <w:tc>
          <w:tcPr>
            <w:tcW w:w="2127" w:type="dxa"/>
            <w:shd w:val="clear" w:color="auto" w:fill="auto"/>
            <w:vAlign w:val="center"/>
          </w:tcPr>
          <w:p w:rsidR="007F277C" w:rsidRPr="00D35E52" w:rsidRDefault="0062660D" w:rsidP="007F277C">
            <w:pPr>
              <w:jc w:val="center"/>
              <w:rPr>
                <w:rFonts w:cs="Arial"/>
              </w:rPr>
            </w:pPr>
            <w:r w:rsidRPr="00D35E52">
              <w:rPr>
                <w:rFonts w:cs="Arial"/>
              </w:rPr>
              <w:t>4.3% plus £7,500</w:t>
            </w:r>
          </w:p>
        </w:tc>
        <w:tc>
          <w:tcPr>
            <w:tcW w:w="2409" w:type="dxa"/>
            <w:shd w:val="clear" w:color="auto" w:fill="auto"/>
            <w:vAlign w:val="center"/>
          </w:tcPr>
          <w:p w:rsidR="007F277C" w:rsidRPr="00D35E52" w:rsidRDefault="0062660D" w:rsidP="007F277C">
            <w:pPr>
              <w:jc w:val="center"/>
              <w:rPr>
                <w:rFonts w:cs="Arial"/>
              </w:rPr>
            </w:pPr>
            <w:r w:rsidRPr="00D35E52">
              <w:rPr>
                <w:rFonts w:cs="Arial"/>
              </w:rPr>
              <w:t>17.4% plus £7,500</w:t>
            </w:r>
          </w:p>
        </w:tc>
      </w:tr>
      <w:tr w:rsidR="006A2C17" w:rsidTr="00793165">
        <w:trPr>
          <w:cantSplit/>
        </w:trPr>
        <w:tc>
          <w:tcPr>
            <w:tcW w:w="3333" w:type="dxa"/>
            <w:shd w:val="clear" w:color="auto" w:fill="auto"/>
            <w:vAlign w:val="center"/>
          </w:tcPr>
          <w:p w:rsidR="007F277C" w:rsidRPr="00D35E52" w:rsidRDefault="0062660D" w:rsidP="00793165">
            <w:pPr>
              <w:jc w:val="left"/>
              <w:rPr>
                <w:rFonts w:cs="Arial"/>
              </w:rPr>
            </w:pPr>
            <w:r w:rsidRPr="00D35E52">
              <w:rPr>
                <w:rFonts w:cs="Arial"/>
              </w:rPr>
              <w:t>Bishop Rawstorne High Academy</w:t>
            </w:r>
          </w:p>
        </w:tc>
        <w:tc>
          <w:tcPr>
            <w:tcW w:w="1842" w:type="dxa"/>
            <w:shd w:val="clear" w:color="auto" w:fill="auto"/>
            <w:vAlign w:val="center"/>
          </w:tcPr>
          <w:p w:rsidR="007F277C" w:rsidRPr="00D35E52" w:rsidRDefault="0062660D" w:rsidP="007F277C">
            <w:pPr>
              <w:jc w:val="center"/>
              <w:rPr>
                <w:rFonts w:cs="Arial"/>
              </w:rPr>
            </w:pPr>
            <w:r w:rsidRPr="00D35E52">
              <w:rPr>
                <w:rFonts w:cs="Arial"/>
              </w:rPr>
              <w:t>1.9% plus £19,100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15.0% plus £19,100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1.9% plus</w:t>
            </w:r>
            <w:r w:rsidRPr="00D35E52">
              <w:rPr>
                <w:rFonts w:cs="Arial"/>
              </w:rPr>
              <w:t xml:space="preserve"> £23,500</w:t>
            </w:r>
          </w:p>
        </w:tc>
        <w:tc>
          <w:tcPr>
            <w:tcW w:w="1984" w:type="dxa"/>
            <w:shd w:val="clear" w:color="auto" w:fill="auto"/>
            <w:vAlign w:val="center"/>
          </w:tcPr>
          <w:p w:rsidR="007F277C" w:rsidRPr="00D35E52" w:rsidRDefault="0062660D" w:rsidP="007F277C">
            <w:pPr>
              <w:jc w:val="center"/>
              <w:rPr>
                <w:rFonts w:cs="Arial"/>
              </w:rPr>
            </w:pPr>
            <w:r w:rsidRPr="00D35E52">
              <w:rPr>
                <w:rFonts w:cs="Arial"/>
              </w:rPr>
              <w:t>15.0% plus £23,500</w:t>
            </w:r>
          </w:p>
        </w:tc>
        <w:tc>
          <w:tcPr>
            <w:tcW w:w="2127" w:type="dxa"/>
            <w:shd w:val="clear" w:color="auto" w:fill="auto"/>
            <w:vAlign w:val="center"/>
          </w:tcPr>
          <w:p w:rsidR="007F277C" w:rsidRPr="00D35E52" w:rsidRDefault="0062660D" w:rsidP="007F277C">
            <w:pPr>
              <w:jc w:val="center"/>
              <w:rPr>
                <w:rFonts w:cs="Arial"/>
              </w:rPr>
            </w:pPr>
            <w:r w:rsidRPr="00D35E52">
              <w:rPr>
                <w:rFonts w:cs="Arial"/>
              </w:rPr>
              <w:t>1.9% plus £27,900</w:t>
            </w:r>
          </w:p>
        </w:tc>
        <w:tc>
          <w:tcPr>
            <w:tcW w:w="2409" w:type="dxa"/>
            <w:shd w:val="clear" w:color="auto" w:fill="auto"/>
            <w:vAlign w:val="center"/>
          </w:tcPr>
          <w:p w:rsidR="007F277C" w:rsidRPr="00D35E52" w:rsidRDefault="0062660D" w:rsidP="007F277C">
            <w:pPr>
              <w:jc w:val="center"/>
              <w:rPr>
                <w:rFonts w:cs="Arial"/>
              </w:rPr>
            </w:pPr>
            <w:r w:rsidRPr="00D35E52">
              <w:rPr>
                <w:rFonts w:cs="Arial"/>
              </w:rPr>
              <w:t>15.0% plus £27,900</w:t>
            </w:r>
          </w:p>
        </w:tc>
      </w:tr>
      <w:tr w:rsidR="006A2C17" w:rsidTr="00793165">
        <w:trPr>
          <w:cantSplit/>
        </w:trPr>
        <w:tc>
          <w:tcPr>
            <w:tcW w:w="3333" w:type="dxa"/>
            <w:shd w:val="clear" w:color="auto" w:fill="auto"/>
            <w:vAlign w:val="center"/>
          </w:tcPr>
          <w:p w:rsidR="007F277C" w:rsidRPr="00D35E52" w:rsidRDefault="0062660D" w:rsidP="00793165">
            <w:pPr>
              <w:jc w:val="left"/>
              <w:rPr>
                <w:rFonts w:cs="Arial"/>
              </w:rPr>
            </w:pPr>
            <w:r w:rsidRPr="00D35E52">
              <w:rPr>
                <w:rFonts w:cs="Arial"/>
              </w:rPr>
              <w:t>Blackburn College</w:t>
            </w:r>
          </w:p>
        </w:tc>
        <w:tc>
          <w:tcPr>
            <w:tcW w:w="1842" w:type="dxa"/>
            <w:shd w:val="clear" w:color="auto" w:fill="auto"/>
            <w:vAlign w:val="center"/>
          </w:tcPr>
          <w:p w:rsidR="007F277C" w:rsidRPr="00D35E52" w:rsidRDefault="0062660D" w:rsidP="007F277C">
            <w:pPr>
              <w:jc w:val="center"/>
              <w:rPr>
                <w:rFonts w:cs="Arial"/>
              </w:rPr>
            </w:pPr>
            <w:r w:rsidRPr="00D35E52">
              <w:rPr>
                <w:rFonts w:cs="Arial"/>
              </w:rPr>
              <w:t>-1.0% plus £215,200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12.1% plus £215,200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-1.0% plus £225,200</w:t>
            </w:r>
          </w:p>
        </w:tc>
        <w:tc>
          <w:tcPr>
            <w:tcW w:w="1984" w:type="dxa"/>
            <w:shd w:val="clear" w:color="auto" w:fill="auto"/>
            <w:vAlign w:val="center"/>
          </w:tcPr>
          <w:p w:rsidR="007F277C" w:rsidRPr="00D35E52" w:rsidRDefault="0062660D" w:rsidP="007F277C">
            <w:pPr>
              <w:jc w:val="center"/>
              <w:rPr>
                <w:rFonts w:cs="Arial"/>
              </w:rPr>
            </w:pPr>
            <w:r w:rsidRPr="00D35E52">
              <w:rPr>
                <w:rFonts w:cs="Arial"/>
              </w:rPr>
              <w:t>12.1% plus £225,200</w:t>
            </w:r>
          </w:p>
        </w:tc>
        <w:tc>
          <w:tcPr>
            <w:tcW w:w="2127" w:type="dxa"/>
            <w:shd w:val="clear" w:color="auto" w:fill="auto"/>
            <w:vAlign w:val="center"/>
          </w:tcPr>
          <w:p w:rsidR="007F277C" w:rsidRPr="00D35E52" w:rsidRDefault="0062660D" w:rsidP="007F277C">
            <w:pPr>
              <w:jc w:val="center"/>
              <w:rPr>
                <w:rFonts w:cs="Arial"/>
              </w:rPr>
            </w:pPr>
            <w:r w:rsidRPr="00D35E52">
              <w:rPr>
                <w:rFonts w:cs="Arial"/>
              </w:rPr>
              <w:t>-1.0% plus £235,500</w:t>
            </w:r>
          </w:p>
        </w:tc>
        <w:tc>
          <w:tcPr>
            <w:tcW w:w="2409" w:type="dxa"/>
            <w:shd w:val="clear" w:color="auto" w:fill="auto"/>
            <w:vAlign w:val="center"/>
          </w:tcPr>
          <w:p w:rsidR="007F277C" w:rsidRPr="00D35E52" w:rsidRDefault="0062660D" w:rsidP="007F277C">
            <w:pPr>
              <w:jc w:val="center"/>
              <w:rPr>
                <w:rFonts w:cs="Arial"/>
              </w:rPr>
            </w:pPr>
            <w:r w:rsidRPr="00D35E52">
              <w:rPr>
                <w:rFonts w:cs="Arial"/>
              </w:rPr>
              <w:t>12.1% plus £235,500</w:t>
            </w:r>
          </w:p>
        </w:tc>
      </w:tr>
      <w:tr w:rsidR="006A2C17" w:rsidTr="00793165">
        <w:trPr>
          <w:cantSplit/>
        </w:trPr>
        <w:tc>
          <w:tcPr>
            <w:tcW w:w="3333" w:type="dxa"/>
            <w:shd w:val="clear" w:color="auto" w:fill="auto"/>
            <w:vAlign w:val="center"/>
          </w:tcPr>
          <w:p w:rsidR="007F277C" w:rsidRPr="00D35E52" w:rsidRDefault="0062660D" w:rsidP="00793165">
            <w:pPr>
              <w:jc w:val="left"/>
              <w:rPr>
                <w:rFonts w:cs="Arial"/>
              </w:rPr>
            </w:pPr>
            <w:r w:rsidRPr="00D35E52">
              <w:rPr>
                <w:rFonts w:cs="Arial"/>
              </w:rPr>
              <w:t>Blackburn St Mary's</w:t>
            </w:r>
          </w:p>
        </w:tc>
        <w:tc>
          <w:tcPr>
            <w:tcW w:w="1842" w:type="dxa"/>
            <w:shd w:val="clear" w:color="auto" w:fill="auto"/>
            <w:vAlign w:val="center"/>
          </w:tcPr>
          <w:p w:rsidR="007F277C" w:rsidRPr="00D35E52" w:rsidRDefault="0062660D" w:rsidP="007F277C">
            <w:pPr>
              <w:jc w:val="center"/>
              <w:rPr>
                <w:rFonts w:cs="Arial"/>
              </w:rPr>
            </w:pPr>
            <w:r w:rsidRPr="00D35E52">
              <w:rPr>
                <w:rFonts w:cs="Arial"/>
              </w:rPr>
              <w:t>-0.1% plus £19,500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 xml:space="preserve">13.0% plus </w:t>
            </w:r>
            <w:r w:rsidRPr="00D35E52">
              <w:rPr>
                <w:rFonts w:cs="Arial"/>
              </w:rPr>
              <w:t>£19,500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-0.1% plus £23,400</w:t>
            </w:r>
          </w:p>
        </w:tc>
        <w:tc>
          <w:tcPr>
            <w:tcW w:w="1984" w:type="dxa"/>
            <w:shd w:val="clear" w:color="auto" w:fill="auto"/>
            <w:vAlign w:val="center"/>
          </w:tcPr>
          <w:p w:rsidR="007F277C" w:rsidRPr="00D35E52" w:rsidRDefault="0062660D" w:rsidP="007F277C">
            <w:pPr>
              <w:jc w:val="center"/>
              <w:rPr>
                <w:rFonts w:cs="Arial"/>
              </w:rPr>
            </w:pPr>
            <w:r w:rsidRPr="00D35E52">
              <w:rPr>
                <w:rFonts w:cs="Arial"/>
              </w:rPr>
              <w:t>13.0% plus £23,400</w:t>
            </w:r>
          </w:p>
        </w:tc>
        <w:tc>
          <w:tcPr>
            <w:tcW w:w="2127" w:type="dxa"/>
            <w:shd w:val="clear" w:color="auto" w:fill="auto"/>
            <w:vAlign w:val="center"/>
          </w:tcPr>
          <w:p w:rsidR="007F277C" w:rsidRPr="00D35E52" w:rsidRDefault="0062660D" w:rsidP="007F277C">
            <w:pPr>
              <w:jc w:val="center"/>
              <w:rPr>
                <w:rFonts w:cs="Arial"/>
              </w:rPr>
            </w:pPr>
            <w:r w:rsidRPr="00D35E52">
              <w:rPr>
                <w:rFonts w:cs="Arial"/>
              </w:rPr>
              <w:t>-0.1% plus £27,400</w:t>
            </w:r>
          </w:p>
        </w:tc>
        <w:tc>
          <w:tcPr>
            <w:tcW w:w="2409" w:type="dxa"/>
            <w:shd w:val="clear" w:color="auto" w:fill="auto"/>
            <w:vAlign w:val="center"/>
          </w:tcPr>
          <w:p w:rsidR="007F277C" w:rsidRPr="00D35E52" w:rsidRDefault="0062660D" w:rsidP="007F277C">
            <w:pPr>
              <w:jc w:val="center"/>
              <w:rPr>
                <w:rFonts w:cs="Arial"/>
              </w:rPr>
            </w:pPr>
            <w:r w:rsidRPr="00D35E52">
              <w:rPr>
                <w:rFonts w:cs="Arial"/>
              </w:rPr>
              <w:t>13.0% plus £27,400</w:t>
            </w:r>
          </w:p>
        </w:tc>
      </w:tr>
      <w:tr w:rsidR="006A2C17" w:rsidTr="00793165">
        <w:trPr>
          <w:cantSplit/>
        </w:trPr>
        <w:tc>
          <w:tcPr>
            <w:tcW w:w="3333" w:type="dxa"/>
            <w:shd w:val="clear" w:color="auto" w:fill="auto"/>
            <w:vAlign w:val="center"/>
          </w:tcPr>
          <w:p w:rsidR="007F277C" w:rsidRPr="00D35E52" w:rsidRDefault="0062660D" w:rsidP="00793165">
            <w:pPr>
              <w:jc w:val="left"/>
              <w:rPr>
                <w:rFonts w:cs="Arial"/>
              </w:rPr>
            </w:pPr>
            <w:r w:rsidRPr="00D35E52">
              <w:rPr>
                <w:rFonts w:cs="Arial"/>
              </w:rPr>
              <w:t>Blackburn With Darwen Borough Council</w:t>
            </w:r>
          </w:p>
        </w:tc>
        <w:tc>
          <w:tcPr>
            <w:tcW w:w="1842" w:type="dxa"/>
            <w:shd w:val="clear" w:color="auto" w:fill="auto"/>
            <w:vAlign w:val="center"/>
          </w:tcPr>
          <w:p w:rsidR="007F277C" w:rsidRPr="00D35E52" w:rsidRDefault="0062660D" w:rsidP="007F277C">
            <w:pPr>
              <w:jc w:val="center"/>
              <w:rPr>
                <w:rFonts w:cs="Arial"/>
              </w:rPr>
            </w:pPr>
            <w:r w:rsidRPr="00D35E52">
              <w:rPr>
                <w:rFonts w:cs="Arial"/>
              </w:rPr>
              <w:t>-0.7% plus £4,403,900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12.4% plus £4,403,900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-0.7% plus £4,584,500</w:t>
            </w:r>
          </w:p>
        </w:tc>
        <w:tc>
          <w:tcPr>
            <w:tcW w:w="1984" w:type="dxa"/>
            <w:shd w:val="clear" w:color="auto" w:fill="auto"/>
            <w:vAlign w:val="center"/>
          </w:tcPr>
          <w:p w:rsidR="007F277C" w:rsidRPr="00D35E52" w:rsidRDefault="0062660D" w:rsidP="007F277C">
            <w:pPr>
              <w:jc w:val="center"/>
              <w:rPr>
                <w:rFonts w:cs="Arial"/>
              </w:rPr>
            </w:pPr>
            <w:r w:rsidRPr="00D35E52">
              <w:rPr>
                <w:rFonts w:cs="Arial"/>
              </w:rPr>
              <w:t>12.4% plus £4,584,500</w:t>
            </w:r>
          </w:p>
        </w:tc>
        <w:tc>
          <w:tcPr>
            <w:tcW w:w="2127" w:type="dxa"/>
            <w:shd w:val="clear" w:color="auto" w:fill="auto"/>
            <w:vAlign w:val="center"/>
          </w:tcPr>
          <w:p w:rsidR="007F277C" w:rsidRPr="00D35E52" w:rsidRDefault="0062660D" w:rsidP="007F277C">
            <w:pPr>
              <w:jc w:val="center"/>
              <w:rPr>
                <w:rFonts w:cs="Arial"/>
              </w:rPr>
            </w:pPr>
            <w:r w:rsidRPr="00D35E52">
              <w:rPr>
                <w:rFonts w:cs="Arial"/>
              </w:rPr>
              <w:t>-0.7% plus £4,772,500</w:t>
            </w:r>
          </w:p>
        </w:tc>
        <w:tc>
          <w:tcPr>
            <w:tcW w:w="2409" w:type="dxa"/>
            <w:shd w:val="clear" w:color="auto" w:fill="auto"/>
            <w:vAlign w:val="center"/>
          </w:tcPr>
          <w:p w:rsidR="007F277C" w:rsidRPr="00D35E52" w:rsidRDefault="0062660D" w:rsidP="007F277C">
            <w:pPr>
              <w:jc w:val="center"/>
              <w:rPr>
                <w:rFonts w:cs="Arial"/>
              </w:rPr>
            </w:pPr>
            <w:r w:rsidRPr="00D35E52">
              <w:rPr>
                <w:rFonts w:cs="Arial"/>
              </w:rPr>
              <w:t>12.4% plus £4,772,500</w:t>
            </w:r>
          </w:p>
        </w:tc>
      </w:tr>
      <w:tr w:rsidR="006A2C17" w:rsidTr="00793165">
        <w:trPr>
          <w:cantSplit/>
        </w:trPr>
        <w:tc>
          <w:tcPr>
            <w:tcW w:w="3333" w:type="dxa"/>
            <w:shd w:val="clear" w:color="auto" w:fill="auto"/>
            <w:vAlign w:val="center"/>
          </w:tcPr>
          <w:p w:rsidR="007F277C" w:rsidRPr="00D35E52" w:rsidRDefault="0062660D" w:rsidP="00793165">
            <w:pPr>
              <w:jc w:val="left"/>
              <w:rPr>
                <w:rFonts w:cs="Arial"/>
              </w:rPr>
            </w:pPr>
            <w:r w:rsidRPr="00D35E52">
              <w:rPr>
                <w:rFonts w:cs="Arial"/>
              </w:rPr>
              <w:t>Blackpool &amp; The Fylde College</w:t>
            </w:r>
          </w:p>
        </w:tc>
        <w:tc>
          <w:tcPr>
            <w:tcW w:w="1842" w:type="dxa"/>
            <w:shd w:val="clear" w:color="auto" w:fill="auto"/>
            <w:vAlign w:val="center"/>
          </w:tcPr>
          <w:p w:rsidR="007F277C" w:rsidRPr="00D35E52" w:rsidRDefault="0062660D" w:rsidP="007F277C">
            <w:pPr>
              <w:jc w:val="center"/>
              <w:rPr>
                <w:rFonts w:cs="Arial"/>
              </w:rPr>
            </w:pPr>
            <w:r w:rsidRPr="00D35E52">
              <w:rPr>
                <w:rFonts w:cs="Arial"/>
              </w:rPr>
              <w:t>-0.8% plus £358,400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12.3% plus £358,400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-0.8% plus £373,100</w:t>
            </w:r>
          </w:p>
        </w:tc>
        <w:tc>
          <w:tcPr>
            <w:tcW w:w="1984" w:type="dxa"/>
            <w:shd w:val="clear" w:color="auto" w:fill="auto"/>
            <w:vAlign w:val="center"/>
          </w:tcPr>
          <w:p w:rsidR="007F277C" w:rsidRPr="00D35E52" w:rsidRDefault="0062660D" w:rsidP="007F277C">
            <w:pPr>
              <w:jc w:val="center"/>
              <w:rPr>
                <w:rFonts w:cs="Arial"/>
              </w:rPr>
            </w:pPr>
            <w:r w:rsidRPr="00D35E52">
              <w:rPr>
                <w:rFonts w:cs="Arial"/>
              </w:rPr>
              <w:t>12.3% plus £373,100</w:t>
            </w:r>
          </w:p>
        </w:tc>
        <w:tc>
          <w:tcPr>
            <w:tcW w:w="2127" w:type="dxa"/>
            <w:shd w:val="clear" w:color="auto" w:fill="auto"/>
            <w:vAlign w:val="center"/>
          </w:tcPr>
          <w:p w:rsidR="007F277C" w:rsidRPr="00D35E52" w:rsidRDefault="0062660D" w:rsidP="007F277C">
            <w:pPr>
              <w:jc w:val="center"/>
              <w:rPr>
                <w:rFonts w:cs="Arial"/>
              </w:rPr>
            </w:pPr>
            <w:r w:rsidRPr="00D35E52">
              <w:rPr>
                <w:rFonts w:cs="Arial"/>
              </w:rPr>
              <w:t>-0.8% plus £388,400</w:t>
            </w:r>
          </w:p>
        </w:tc>
        <w:tc>
          <w:tcPr>
            <w:tcW w:w="2409" w:type="dxa"/>
            <w:shd w:val="clear" w:color="auto" w:fill="auto"/>
            <w:vAlign w:val="center"/>
          </w:tcPr>
          <w:p w:rsidR="007F277C" w:rsidRPr="00D35E52" w:rsidRDefault="0062660D" w:rsidP="007F277C">
            <w:pPr>
              <w:jc w:val="center"/>
              <w:rPr>
                <w:rFonts w:cs="Arial"/>
              </w:rPr>
            </w:pPr>
            <w:r w:rsidRPr="00D35E52">
              <w:rPr>
                <w:rFonts w:cs="Arial"/>
              </w:rPr>
              <w:t>12.3% plus £388,400</w:t>
            </w:r>
          </w:p>
        </w:tc>
      </w:tr>
      <w:tr w:rsidR="006A2C17" w:rsidTr="00793165">
        <w:trPr>
          <w:cantSplit/>
        </w:trPr>
        <w:tc>
          <w:tcPr>
            <w:tcW w:w="3333" w:type="dxa"/>
            <w:shd w:val="clear" w:color="auto" w:fill="auto"/>
            <w:vAlign w:val="center"/>
          </w:tcPr>
          <w:p w:rsidR="007F277C" w:rsidRPr="00D35E52" w:rsidRDefault="0062660D" w:rsidP="00793165">
            <w:pPr>
              <w:jc w:val="left"/>
              <w:rPr>
                <w:rFonts w:cs="Arial"/>
              </w:rPr>
            </w:pPr>
            <w:r w:rsidRPr="00D35E52">
              <w:rPr>
                <w:rFonts w:cs="Arial"/>
              </w:rPr>
              <w:t>Blackpool Airport (post 07/04)</w:t>
            </w:r>
          </w:p>
        </w:tc>
        <w:tc>
          <w:tcPr>
            <w:tcW w:w="1842" w:type="dxa"/>
            <w:shd w:val="clear" w:color="auto" w:fill="auto"/>
            <w:vAlign w:val="center"/>
          </w:tcPr>
          <w:p w:rsidR="007F277C" w:rsidRPr="00D35E52" w:rsidRDefault="0062660D" w:rsidP="007F277C">
            <w:pPr>
              <w:jc w:val="center"/>
              <w:rPr>
                <w:rFonts w:cs="Arial"/>
              </w:rPr>
            </w:pPr>
            <w:r w:rsidRPr="00D35E52">
              <w:rPr>
                <w:rFonts w:cs="Arial"/>
              </w:rPr>
              <w:t>6.7% plus £9,000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19.8% plus £9,000</w:t>
            </w:r>
          </w:p>
        </w:tc>
        <w:tc>
          <w:tcPr>
            <w:tcW w:w="1843" w:type="dxa"/>
            <w:shd w:val="clear" w:color="auto" w:fill="auto"/>
            <w:vAlign w:val="center"/>
          </w:tcPr>
          <w:p w:rsidR="007F277C" w:rsidRPr="00D35E52" w:rsidRDefault="0062660D" w:rsidP="007F277C">
            <w:pPr>
              <w:jc w:val="center"/>
              <w:rPr>
                <w:rFonts w:cs="Arial"/>
              </w:rPr>
            </w:pPr>
            <w:r w:rsidRPr="00D35E52">
              <w:rPr>
                <w:rFonts w:cs="Arial"/>
              </w:rPr>
              <w:t>6.7% plus £13,200</w:t>
            </w:r>
          </w:p>
        </w:tc>
        <w:tc>
          <w:tcPr>
            <w:tcW w:w="1984" w:type="dxa"/>
            <w:shd w:val="clear" w:color="auto" w:fill="auto"/>
            <w:vAlign w:val="center"/>
          </w:tcPr>
          <w:p w:rsidR="007F277C" w:rsidRPr="00D35E52" w:rsidRDefault="0062660D" w:rsidP="007F277C">
            <w:pPr>
              <w:jc w:val="center"/>
              <w:rPr>
                <w:rFonts w:cs="Arial"/>
              </w:rPr>
            </w:pPr>
            <w:r w:rsidRPr="00D35E52">
              <w:rPr>
                <w:rFonts w:cs="Arial"/>
              </w:rPr>
              <w:t>19.8% plus £13,200</w:t>
            </w:r>
          </w:p>
        </w:tc>
        <w:tc>
          <w:tcPr>
            <w:tcW w:w="2127" w:type="dxa"/>
            <w:shd w:val="clear" w:color="auto" w:fill="auto"/>
            <w:vAlign w:val="center"/>
          </w:tcPr>
          <w:p w:rsidR="007F277C" w:rsidRPr="00D35E52" w:rsidRDefault="0062660D" w:rsidP="007F277C">
            <w:pPr>
              <w:jc w:val="center"/>
              <w:rPr>
                <w:rFonts w:cs="Arial"/>
              </w:rPr>
            </w:pPr>
            <w:r w:rsidRPr="00D35E52">
              <w:rPr>
                <w:rFonts w:cs="Arial"/>
              </w:rPr>
              <w:t>6.7% plus £17,500</w:t>
            </w:r>
          </w:p>
        </w:tc>
        <w:tc>
          <w:tcPr>
            <w:tcW w:w="2409" w:type="dxa"/>
            <w:shd w:val="clear" w:color="auto" w:fill="auto"/>
            <w:vAlign w:val="center"/>
          </w:tcPr>
          <w:p w:rsidR="007F277C" w:rsidRPr="00D35E52" w:rsidRDefault="0062660D" w:rsidP="007F277C">
            <w:pPr>
              <w:jc w:val="center"/>
              <w:rPr>
                <w:rFonts w:cs="Arial"/>
              </w:rPr>
            </w:pPr>
            <w:r w:rsidRPr="00D35E52">
              <w:rPr>
                <w:rFonts w:cs="Arial"/>
              </w:rPr>
              <w:t>19.8% plus £17,500</w:t>
            </w:r>
          </w:p>
        </w:tc>
      </w:tr>
    </w:tbl>
    <w:p w:rsidR="007F277C" w:rsidRDefault="0062660D">
      <w:pPr>
        <w:autoSpaceDE/>
        <w:autoSpaceDN/>
        <w:adjustRightInd/>
        <w:spacing w:after="0"/>
        <w:jc w:val="left"/>
      </w:pPr>
      <w:r>
        <w:br w:type="page"/>
      </w:r>
    </w:p>
    <w:tbl>
      <w:tblPr>
        <w:tblW w:w="153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2" w:type="dxa"/>
          <w:right w:w="72" w:type="dxa"/>
        </w:tblCellMar>
        <w:tblLook w:val="01E0" w:firstRow="1" w:lastRow="1" w:firstColumn="1" w:lastColumn="1" w:noHBand="0" w:noVBand="0"/>
      </w:tblPr>
      <w:tblGrid>
        <w:gridCol w:w="3333"/>
        <w:gridCol w:w="1842"/>
        <w:gridCol w:w="1843"/>
        <w:gridCol w:w="1843"/>
        <w:gridCol w:w="1984"/>
        <w:gridCol w:w="2127"/>
        <w:gridCol w:w="2409"/>
      </w:tblGrid>
      <w:tr w:rsidR="006A2C17" w:rsidTr="007D4064">
        <w:trPr>
          <w:cantSplit/>
          <w:tblHeader/>
        </w:trPr>
        <w:tc>
          <w:tcPr>
            <w:tcW w:w="3333" w:type="dxa"/>
            <w:vMerge w:val="restart"/>
            <w:shd w:val="clear" w:color="auto" w:fill="auto"/>
            <w:vAlign w:val="bottom"/>
          </w:tcPr>
          <w:p w:rsidR="007F277C" w:rsidRPr="001E3005" w:rsidRDefault="0062660D" w:rsidP="007F277C">
            <w:pPr>
              <w:autoSpaceDE/>
              <w:autoSpaceDN/>
              <w:adjustRightInd/>
              <w:spacing w:before="40" w:after="40"/>
              <w:jc w:val="left"/>
              <w:rPr>
                <w:rFonts w:eastAsia="Times New Roman" w:cs="Arial"/>
                <w:b/>
                <w:color w:val="auto"/>
              </w:rPr>
            </w:pPr>
            <w:r w:rsidRPr="001E3005">
              <w:rPr>
                <w:rFonts w:eastAsia="Times New Roman" w:cs="Arial"/>
                <w:b/>
                <w:color w:val="auto"/>
              </w:rPr>
              <w:t>Employers</w:t>
            </w:r>
          </w:p>
        </w:tc>
        <w:tc>
          <w:tcPr>
            <w:tcW w:w="3685" w:type="dxa"/>
            <w:gridSpan w:val="2"/>
            <w:shd w:val="clear" w:color="auto" w:fill="auto"/>
            <w:vAlign w:val="bottom"/>
          </w:tcPr>
          <w:p w:rsidR="007F277C" w:rsidRPr="001E3005" w:rsidRDefault="0062660D" w:rsidP="007F277C">
            <w:pPr>
              <w:autoSpaceDE/>
              <w:autoSpaceDN/>
              <w:adjustRightInd/>
              <w:spacing w:after="0" w:line="260" w:lineRule="atLeast"/>
              <w:jc w:val="center"/>
              <w:rPr>
                <w:rFonts w:eastAsia="Times New Roman" w:cs="Arial"/>
                <w:b/>
                <w:color w:val="auto"/>
              </w:rPr>
            </w:pPr>
            <w:r w:rsidRPr="001E3005">
              <w:rPr>
                <w:rFonts w:eastAsia="Times New Roman" w:cs="Arial"/>
                <w:b/>
                <w:color w:val="auto"/>
              </w:rPr>
              <w:t>2014/15</w:t>
            </w:r>
          </w:p>
        </w:tc>
        <w:tc>
          <w:tcPr>
            <w:tcW w:w="3827" w:type="dxa"/>
            <w:gridSpan w:val="2"/>
            <w:shd w:val="clear" w:color="auto" w:fill="auto"/>
            <w:vAlign w:val="bottom"/>
          </w:tcPr>
          <w:p w:rsidR="007F277C" w:rsidRPr="001E3005" w:rsidRDefault="0062660D" w:rsidP="007F277C">
            <w:pPr>
              <w:autoSpaceDE/>
              <w:autoSpaceDN/>
              <w:adjustRightInd/>
              <w:spacing w:after="0" w:line="260" w:lineRule="atLeast"/>
              <w:jc w:val="center"/>
              <w:rPr>
                <w:rFonts w:eastAsia="Times New Roman" w:cs="Arial"/>
                <w:b/>
                <w:color w:val="auto"/>
              </w:rPr>
            </w:pPr>
            <w:r w:rsidRPr="001E3005">
              <w:rPr>
                <w:rFonts w:eastAsia="Times New Roman" w:cs="Arial"/>
                <w:b/>
                <w:color w:val="auto"/>
              </w:rPr>
              <w:t>2015/16</w:t>
            </w:r>
          </w:p>
        </w:tc>
        <w:tc>
          <w:tcPr>
            <w:tcW w:w="4536" w:type="dxa"/>
            <w:gridSpan w:val="2"/>
            <w:shd w:val="clear" w:color="auto" w:fill="auto"/>
            <w:vAlign w:val="bottom"/>
          </w:tcPr>
          <w:p w:rsidR="007F277C" w:rsidRPr="001E3005" w:rsidRDefault="0062660D" w:rsidP="007F277C">
            <w:pPr>
              <w:autoSpaceDE/>
              <w:autoSpaceDN/>
              <w:adjustRightInd/>
              <w:spacing w:after="0" w:line="260" w:lineRule="atLeast"/>
              <w:jc w:val="center"/>
              <w:rPr>
                <w:rFonts w:eastAsia="Times New Roman" w:cs="Arial"/>
                <w:b/>
                <w:color w:val="auto"/>
              </w:rPr>
            </w:pPr>
            <w:r w:rsidRPr="001E3005">
              <w:rPr>
                <w:rFonts w:eastAsia="Times New Roman" w:cs="Arial"/>
                <w:b/>
                <w:color w:val="auto"/>
              </w:rPr>
              <w:t>2016/17</w:t>
            </w:r>
          </w:p>
        </w:tc>
      </w:tr>
      <w:tr w:rsidR="006A2C17" w:rsidTr="007D4064">
        <w:trPr>
          <w:cantSplit/>
          <w:tblHeader/>
        </w:trPr>
        <w:tc>
          <w:tcPr>
            <w:tcW w:w="3333" w:type="dxa"/>
            <w:vMerge/>
            <w:shd w:val="clear" w:color="auto" w:fill="auto"/>
          </w:tcPr>
          <w:p w:rsidR="007F277C" w:rsidRPr="001E3005" w:rsidRDefault="0062660D" w:rsidP="007F277C">
            <w:pPr>
              <w:autoSpaceDE/>
              <w:autoSpaceDN/>
              <w:adjustRightInd/>
              <w:spacing w:after="0"/>
              <w:jc w:val="left"/>
              <w:rPr>
                <w:rFonts w:eastAsia="Times New Roman" w:cs="Arial"/>
                <w:color w:val="auto"/>
              </w:rPr>
            </w:pPr>
          </w:p>
        </w:tc>
        <w:tc>
          <w:tcPr>
            <w:tcW w:w="1842" w:type="dxa"/>
            <w:shd w:val="clear" w:color="auto" w:fill="auto"/>
            <w:vAlign w:val="bottom"/>
          </w:tcPr>
          <w:p w:rsidR="007F277C" w:rsidRPr="001E3005" w:rsidRDefault="0062660D" w:rsidP="007F277C">
            <w:pPr>
              <w:autoSpaceDE/>
              <w:autoSpaceDN/>
              <w:adjustRightInd/>
              <w:spacing w:after="0" w:line="260" w:lineRule="atLeast"/>
              <w:jc w:val="center"/>
              <w:rPr>
                <w:rFonts w:eastAsia="Times New Roman" w:cs="Arial"/>
                <w:b/>
                <w:color w:val="auto"/>
              </w:rPr>
            </w:pPr>
            <w:r w:rsidRPr="001E3005">
              <w:rPr>
                <w:rFonts w:eastAsia="Times New Roman" w:cs="Arial"/>
                <w:b/>
                <w:color w:val="auto"/>
              </w:rPr>
              <w:t>Individual Adjustment</w:t>
            </w:r>
          </w:p>
          <w:p w:rsidR="007F277C" w:rsidRPr="001E3005" w:rsidRDefault="0062660D" w:rsidP="007F277C">
            <w:pPr>
              <w:autoSpaceDE/>
              <w:autoSpaceDN/>
              <w:adjustRightInd/>
              <w:spacing w:after="0" w:line="260" w:lineRule="atLeast"/>
              <w:jc w:val="center"/>
              <w:rPr>
                <w:rFonts w:eastAsia="Times New Roman" w:cs="Arial"/>
                <w:b/>
                <w:color w:val="auto"/>
              </w:rPr>
            </w:pPr>
            <w:r w:rsidRPr="001E3005">
              <w:rPr>
                <w:rFonts w:eastAsia="Times New Roman" w:cs="Arial"/>
                <w:b/>
                <w:color w:val="auto"/>
              </w:rPr>
              <w:t>%</w:t>
            </w:r>
          </w:p>
        </w:tc>
        <w:tc>
          <w:tcPr>
            <w:tcW w:w="1843" w:type="dxa"/>
            <w:shd w:val="clear" w:color="auto" w:fill="auto"/>
            <w:vAlign w:val="bottom"/>
          </w:tcPr>
          <w:p w:rsidR="007F277C" w:rsidRPr="001E3005" w:rsidRDefault="0062660D" w:rsidP="007F277C">
            <w:pPr>
              <w:autoSpaceDE/>
              <w:autoSpaceDN/>
              <w:adjustRightInd/>
              <w:spacing w:after="0" w:line="260" w:lineRule="atLeast"/>
              <w:jc w:val="center"/>
              <w:rPr>
                <w:rFonts w:eastAsia="Times New Roman" w:cs="Arial"/>
                <w:b/>
                <w:color w:val="auto"/>
              </w:rPr>
            </w:pPr>
            <w:r w:rsidRPr="001E3005">
              <w:rPr>
                <w:rFonts w:eastAsia="Times New Roman" w:cs="Arial"/>
                <w:b/>
                <w:color w:val="auto"/>
              </w:rPr>
              <w:t>Total Contribution Rate %</w:t>
            </w:r>
          </w:p>
        </w:tc>
        <w:tc>
          <w:tcPr>
            <w:tcW w:w="1843" w:type="dxa"/>
            <w:shd w:val="clear" w:color="auto" w:fill="auto"/>
            <w:vAlign w:val="bottom"/>
          </w:tcPr>
          <w:p w:rsidR="007F277C" w:rsidRPr="001E3005" w:rsidRDefault="0062660D" w:rsidP="007F277C">
            <w:pPr>
              <w:autoSpaceDE/>
              <w:autoSpaceDN/>
              <w:adjustRightInd/>
              <w:spacing w:after="0" w:line="260" w:lineRule="atLeast"/>
              <w:jc w:val="center"/>
              <w:rPr>
                <w:rFonts w:eastAsia="Times New Roman" w:cs="Arial"/>
                <w:b/>
                <w:color w:val="auto"/>
              </w:rPr>
            </w:pPr>
            <w:r w:rsidRPr="001E3005">
              <w:rPr>
                <w:rFonts w:eastAsia="Times New Roman" w:cs="Arial"/>
                <w:b/>
                <w:color w:val="auto"/>
              </w:rPr>
              <w:t xml:space="preserve">Individual Adjustment </w:t>
            </w:r>
          </w:p>
          <w:p w:rsidR="007F277C" w:rsidRPr="001E3005" w:rsidRDefault="0062660D" w:rsidP="007F277C">
            <w:pPr>
              <w:autoSpaceDE/>
              <w:autoSpaceDN/>
              <w:adjustRightInd/>
              <w:spacing w:after="0" w:line="260" w:lineRule="atLeast"/>
              <w:jc w:val="center"/>
              <w:rPr>
                <w:rFonts w:eastAsia="Times New Roman" w:cs="Arial"/>
                <w:b/>
                <w:color w:val="auto"/>
              </w:rPr>
            </w:pPr>
            <w:r w:rsidRPr="001E3005">
              <w:rPr>
                <w:rFonts w:eastAsia="Times New Roman" w:cs="Arial"/>
                <w:b/>
                <w:color w:val="auto"/>
              </w:rPr>
              <w:t>%</w:t>
            </w:r>
          </w:p>
        </w:tc>
        <w:tc>
          <w:tcPr>
            <w:tcW w:w="1984" w:type="dxa"/>
            <w:shd w:val="clear" w:color="auto" w:fill="auto"/>
            <w:vAlign w:val="bottom"/>
          </w:tcPr>
          <w:p w:rsidR="007F277C" w:rsidRPr="001E3005" w:rsidRDefault="0062660D" w:rsidP="007F277C">
            <w:pPr>
              <w:autoSpaceDE/>
              <w:autoSpaceDN/>
              <w:adjustRightInd/>
              <w:spacing w:after="0" w:line="260" w:lineRule="atLeast"/>
              <w:jc w:val="center"/>
              <w:rPr>
                <w:rFonts w:eastAsia="Times New Roman" w:cs="Arial"/>
                <w:b/>
                <w:color w:val="auto"/>
              </w:rPr>
            </w:pPr>
            <w:r w:rsidRPr="001E3005">
              <w:rPr>
                <w:rFonts w:eastAsia="Times New Roman" w:cs="Arial"/>
                <w:b/>
                <w:color w:val="auto"/>
              </w:rPr>
              <w:t>Total Contribution Rate %</w:t>
            </w:r>
          </w:p>
        </w:tc>
        <w:tc>
          <w:tcPr>
            <w:tcW w:w="2127" w:type="dxa"/>
            <w:shd w:val="clear" w:color="auto" w:fill="auto"/>
            <w:vAlign w:val="bottom"/>
          </w:tcPr>
          <w:p w:rsidR="007F277C" w:rsidRPr="001E3005" w:rsidRDefault="0062660D" w:rsidP="007F277C">
            <w:pPr>
              <w:autoSpaceDE/>
              <w:autoSpaceDN/>
              <w:adjustRightInd/>
              <w:spacing w:after="0" w:line="260" w:lineRule="atLeast"/>
              <w:jc w:val="center"/>
              <w:rPr>
                <w:rFonts w:eastAsia="Times New Roman" w:cs="Arial"/>
                <w:b/>
                <w:color w:val="auto"/>
              </w:rPr>
            </w:pPr>
            <w:r w:rsidRPr="001E3005">
              <w:rPr>
                <w:rFonts w:eastAsia="Times New Roman" w:cs="Arial"/>
                <w:b/>
                <w:color w:val="auto"/>
              </w:rPr>
              <w:t>Individual Adjustment</w:t>
            </w:r>
          </w:p>
          <w:p w:rsidR="007F277C" w:rsidRPr="001E3005" w:rsidRDefault="0062660D" w:rsidP="007F277C">
            <w:pPr>
              <w:autoSpaceDE/>
              <w:autoSpaceDN/>
              <w:adjustRightInd/>
              <w:spacing w:after="0" w:line="260" w:lineRule="atLeast"/>
              <w:jc w:val="center"/>
              <w:rPr>
                <w:rFonts w:eastAsia="Times New Roman" w:cs="Arial"/>
                <w:b/>
                <w:color w:val="auto"/>
              </w:rPr>
            </w:pPr>
            <w:r w:rsidRPr="001E3005">
              <w:rPr>
                <w:rFonts w:eastAsia="Times New Roman" w:cs="Arial"/>
                <w:b/>
                <w:color w:val="auto"/>
              </w:rPr>
              <w:t>%</w:t>
            </w:r>
          </w:p>
        </w:tc>
        <w:tc>
          <w:tcPr>
            <w:tcW w:w="2409" w:type="dxa"/>
            <w:shd w:val="clear" w:color="auto" w:fill="auto"/>
            <w:vAlign w:val="bottom"/>
          </w:tcPr>
          <w:p w:rsidR="007F277C" w:rsidRPr="001E3005" w:rsidRDefault="0062660D" w:rsidP="007F277C">
            <w:pPr>
              <w:autoSpaceDE/>
              <w:autoSpaceDN/>
              <w:adjustRightInd/>
              <w:spacing w:after="0" w:line="260" w:lineRule="atLeast"/>
              <w:jc w:val="center"/>
              <w:rPr>
                <w:rFonts w:eastAsia="Times New Roman" w:cs="Arial"/>
                <w:b/>
                <w:color w:val="auto"/>
              </w:rPr>
            </w:pPr>
            <w:r w:rsidRPr="001E3005">
              <w:rPr>
                <w:rFonts w:eastAsia="Times New Roman" w:cs="Arial"/>
                <w:b/>
                <w:color w:val="auto"/>
              </w:rPr>
              <w:t>Total Contribution Rate %</w:t>
            </w:r>
          </w:p>
        </w:tc>
      </w:tr>
      <w:tr w:rsidR="006A2C17" w:rsidTr="007D4064">
        <w:trPr>
          <w:cantSplit/>
        </w:trPr>
        <w:tc>
          <w:tcPr>
            <w:tcW w:w="3333" w:type="dxa"/>
            <w:shd w:val="clear" w:color="auto" w:fill="auto"/>
            <w:vAlign w:val="center"/>
          </w:tcPr>
          <w:p w:rsidR="007F277C" w:rsidRPr="001E3005" w:rsidRDefault="0062660D" w:rsidP="007D4064">
            <w:pPr>
              <w:jc w:val="left"/>
              <w:rPr>
                <w:rFonts w:cs="Arial"/>
              </w:rPr>
            </w:pPr>
            <w:r w:rsidRPr="001E3005">
              <w:rPr>
                <w:rFonts w:cs="Arial"/>
              </w:rPr>
              <w:t xml:space="preserve">Blackpool Borough Council - </w:t>
            </w:r>
            <w:r w:rsidRPr="001E3005">
              <w:rPr>
                <w:rFonts w:cs="Arial"/>
              </w:rPr>
              <w:t>excluding schools</w:t>
            </w:r>
          </w:p>
        </w:tc>
        <w:tc>
          <w:tcPr>
            <w:tcW w:w="1842" w:type="dxa"/>
            <w:shd w:val="clear" w:color="auto" w:fill="auto"/>
            <w:vAlign w:val="center"/>
          </w:tcPr>
          <w:p w:rsidR="007F277C" w:rsidRPr="001E3005" w:rsidRDefault="0062660D" w:rsidP="007F277C">
            <w:pPr>
              <w:jc w:val="center"/>
              <w:rPr>
                <w:rFonts w:cs="Arial"/>
              </w:rPr>
            </w:pPr>
            <w:r w:rsidRPr="001E3005">
              <w:rPr>
                <w:rFonts w:cs="Arial"/>
              </w:rPr>
              <w:t>-0.8% plus £2,667,000</w:t>
            </w:r>
          </w:p>
        </w:tc>
        <w:tc>
          <w:tcPr>
            <w:tcW w:w="1843" w:type="dxa"/>
            <w:shd w:val="clear" w:color="auto" w:fill="auto"/>
            <w:vAlign w:val="center"/>
          </w:tcPr>
          <w:p w:rsidR="007F277C" w:rsidRPr="001E3005" w:rsidRDefault="0062660D" w:rsidP="007F277C">
            <w:pPr>
              <w:jc w:val="center"/>
              <w:rPr>
                <w:rFonts w:cs="Arial"/>
              </w:rPr>
            </w:pPr>
            <w:r w:rsidRPr="001E3005">
              <w:rPr>
                <w:rFonts w:cs="Arial"/>
              </w:rPr>
              <w:t>12.3% plus £2,667,000</w:t>
            </w:r>
          </w:p>
        </w:tc>
        <w:tc>
          <w:tcPr>
            <w:tcW w:w="1843" w:type="dxa"/>
            <w:shd w:val="clear" w:color="auto" w:fill="auto"/>
            <w:vAlign w:val="center"/>
          </w:tcPr>
          <w:p w:rsidR="007F277C" w:rsidRPr="001E3005" w:rsidRDefault="0062660D" w:rsidP="007F277C">
            <w:pPr>
              <w:jc w:val="center"/>
              <w:rPr>
                <w:rFonts w:cs="Arial"/>
              </w:rPr>
            </w:pPr>
            <w:r w:rsidRPr="001E3005">
              <w:rPr>
                <w:rFonts w:cs="Arial"/>
              </w:rPr>
              <w:t>-0.8% plus £2,926,000</w:t>
            </w:r>
          </w:p>
        </w:tc>
        <w:tc>
          <w:tcPr>
            <w:tcW w:w="1984" w:type="dxa"/>
            <w:shd w:val="clear" w:color="auto" w:fill="auto"/>
            <w:vAlign w:val="center"/>
          </w:tcPr>
          <w:p w:rsidR="007F277C" w:rsidRPr="001E3005" w:rsidRDefault="0062660D" w:rsidP="007F277C">
            <w:pPr>
              <w:jc w:val="center"/>
              <w:rPr>
                <w:rFonts w:cs="Arial"/>
              </w:rPr>
            </w:pPr>
            <w:r w:rsidRPr="001E3005">
              <w:rPr>
                <w:rFonts w:cs="Arial"/>
              </w:rPr>
              <w:t>12.3% plus £2,926,000</w:t>
            </w:r>
          </w:p>
        </w:tc>
        <w:tc>
          <w:tcPr>
            <w:tcW w:w="2127" w:type="dxa"/>
            <w:shd w:val="clear" w:color="auto" w:fill="auto"/>
            <w:vAlign w:val="center"/>
          </w:tcPr>
          <w:p w:rsidR="007F277C" w:rsidRPr="001E3005" w:rsidRDefault="0062660D" w:rsidP="007F277C">
            <w:pPr>
              <w:jc w:val="center"/>
              <w:rPr>
                <w:rFonts w:cs="Arial"/>
              </w:rPr>
            </w:pPr>
            <w:r w:rsidRPr="001E3005">
              <w:rPr>
                <w:rFonts w:cs="Arial"/>
              </w:rPr>
              <w:t>-0.8% plus £3,190,000</w:t>
            </w:r>
          </w:p>
        </w:tc>
        <w:tc>
          <w:tcPr>
            <w:tcW w:w="2409" w:type="dxa"/>
            <w:shd w:val="clear" w:color="auto" w:fill="auto"/>
            <w:vAlign w:val="center"/>
          </w:tcPr>
          <w:p w:rsidR="007F277C" w:rsidRPr="001E3005" w:rsidRDefault="0062660D" w:rsidP="007F277C">
            <w:pPr>
              <w:jc w:val="center"/>
              <w:rPr>
                <w:rFonts w:cs="Arial"/>
              </w:rPr>
            </w:pPr>
            <w:r w:rsidRPr="001E3005">
              <w:rPr>
                <w:rFonts w:cs="Arial"/>
              </w:rPr>
              <w:t>12.3% plus £3,190,000</w:t>
            </w:r>
          </w:p>
        </w:tc>
      </w:tr>
      <w:tr w:rsidR="006A2C17" w:rsidTr="007D4064">
        <w:trPr>
          <w:cantSplit/>
        </w:trPr>
        <w:tc>
          <w:tcPr>
            <w:tcW w:w="3333" w:type="dxa"/>
            <w:shd w:val="clear" w:color="auto" w:fill="auto"/>
            <w:vAlign w:val="center"/>
          </w:tcPr>
          <w:p w:rsidR="007F277C" w:rsidRPr="001E3005" w:rsidRDefault="0062660D" w:rsidP="007D4064">
            <w:pPr>
              <w:jc w:val="left"/>
              <w:rPr>
                <w:rFonts w:cs="Arial"/>
              </w:rPr>
            </w:pPr>
            <w:r w:rsidRPr="001E3005">
              <w:rPr>
                <w:rFonts w:cs="Arial"/>
              </w:rPr>
              <w:t xml:space="preserve">Blackpool Borough Council </w:t>
            </w:r>
            <w:r>
              <w:rPr>
                <w:rFonts w:cs="Arial"/>
              </w:rPr>
              <w:t>–</w:t>
            </w:r>
            <w:r w:rsidRPr="001E3005">
              <w:rPr>
                <w:rFonts w:cs="Arial"/>
              </w:rPr>
              <w:t xml:space="preserve"> schools</w:t>
            </w:r>
          </w:p>
        </w:tc>
        <w:tc>
          <w:tcPr>
            <w:tcW w:w="1842" w:type="dxa"/>
            <w:shd w:val="clear" w:color="auto" w:fill="auto"/>
            <w:vAlign w:val="center"/>
          </w:tcPr>
          <w:p w:rsidR="007F277C" w:rsidRPr="001E3005" w:rsidRDefault="0062660D" w:rsidP="007F277C">
            <w:pPr>
              <w:jc w:val="center"/>
              <w:rPr>
                <w:rFonts w:cs="Arial"/>
              </w:rPr>
            </w:pPr>
            <w:r w:rsidRPr="001E3005">
              <w:rPr>
                <w:rFonts w:cs="Arial"/>
              </w:rPr>
              <w:t>5.0%</w:t>
            </w:r>
          </w:p>
        </w:tc>
        <w:tc>
          <w:tcPr>
            <w:tcW w:w="1843" w:type="dxa"/>
            <w:shd w:val="clear" w:color="auto" w:fill="auto"/>
            <w:vAlign w:val="center"/>
          </w:tcPr>
          <w:p w:rsidR="007F277C" w:rsidRPr="001E3005" w:rsidRDefault="0062660D" w:rsidP="007F277C">
            <w:pPr>
              <w:jc w:val="center"/>
              <w:rPr>
                <w:rFonts w:cs="Arial"/>
              </w:rPr>
            </w:pPr>
            <w:r w:rsidRPr="001E3005">
              <w:rPr>
                <w:rFonts w:cs="Arial"/>
              </w:rPr>
              <w:t>18.1%</w:t>
            </w:r>
          </w:p>
        </w:tc>
        <w:tc>
          <w:tcPr>
            <w:tcW w:w="1843" w:type="dxa"/>
            <w:shd w:val="clear" w:color="auto" w:fill="auto"/>
            <w:vAlign w:val="center"/>
          </w:tcPr>
          <w:p w:rsidR="007F277C" w:rsidRPr="001E3005" w:rsidRDefault="0062660D" w:rsidP="007F277C">
            <w:pPr>
              <w:jc w:val="center"/>
              <w:rPr>
                <w:rFonts w:cs="Arial"/>
              </w:rPr>
            </w:pPr>
            <w:r w:rsidRPr="001E3005">
              <w:rPr>
                <w:rFonts w:cs="Arial"/>
              </w:rPr>
              <w:t>5.9%</w:t>
            </w:r>
          </w:p>
        </w:tc>
        <w:tc>
          <w:tcPr>
            <w:tcW w:w="1984" w:type="dxa"/>
            <w:shd w:val="clear" w:color="auto" w:fill="auto"/>
            <w:vAlign w:val="center"/>
          </w:tcPr>
          <w:p w:rsidR="007F277C" w:rsidRPr="001E3005" w:rsidRDefault="0062660D" w:rsidP="007F277C">
            <w:pPr>
              <w:jc w:val="center"/>
              <w:rPr>
                <w:rFonts w:cs="Arial"/>
              </w:rPr>
            </w:pPr>
            <w:r w:rsidRPr="001E3005">
              <w:rPr>
                <w:rFonts w:cs="Arial"/>
              </w:rPr>
              <w:t>19.0%</w:t>
            </w:r>
          </w:p>
        </w:tc>
        <w:tc>
          <w:tcPr>
            <w:tcW w:w="2127" w:type="dxa"/>
            <w:shd w:val="clear" w:color="auto" w:fill="auto"/>
            <w:vAlign w:val="center"/>
          </w:tcPr>
          <w:p w:rsidR="007F277C" w:rsidRPr="001E3005" w:rsidRDefault="0062660D" w:rsidP="007F277C">
            <w:pPr>
              <w:jc w:val="center"/>
              <w:rPr>
                <w:rFonts w:cs="Arial"/>
              </w:rPr>
            </w:pPr>
            <w:r w:rsidRPr="001E3005">
              <w:rPr>
                <w:rFonts w:cs="Arial"/>
              </w:rPr>
              <w:t>6.8%</w:t>
            </w:r>
          </w:p>
        </w:tc>
        <w:tc>
          <w:tcPr>
            <w:tcW w:w="2409" w:type="dxa"/>
            <w:shd w:val="clear" w:color="auto" w:fill="auto"/>
            <w:vAlign w:val="center"/>
          </w:tcPr>
          <w:p w:rsidR="007F277C" w:rsidRPr="001E3005" w:rsidRDefault="0062660D" w:rsidP="007F277C">
            <w:pPr>
              <w:jc w:val="center"/>
              <w:rPr>
                <w:rFonts w:cs="Arial"/>
              </w:rPr>
            </w:pPr>
            <w:r w:rsidRPr="001E3005">
              <w:rPr>
                <w:rFonts w:cs="Arial"/>
              </w:rPr>
              <w:t>19.9%</w:t>
            </w:r>
          </w:p>
        </w:tc>
      </w:tr>
      <w:tr w:rsidR="006A2C17" w:rsidTr="007D4064">
        <w:trPr>
          <w:cantSplit/>
        </w:trPr>
        <w:tc>
          <w:tcPr>
            <w:tcW w:w="3333" w:type="dxa"/>
            <w:shd w:val="clear" w:color="auto" w:fill="auto"/>
            <w:vAlign w:val="center"/>
          </w:tcPr>
          <w:p w:rsidR="007F277C" w:rsidRPr="001E3005" w:rsidRDefault="0062660D" w:rsidP="007D4064">
            <w:pPr>
              <w:jc w:val="left"/>
              <w:rPr>
                <w:rFonts w:cs="Arial"/>
              </w:rPr>
            </w:pPr>
            <w:r w:rsidRPr="001E3005">
              <w:rPr>
                <w:rFonts w:cs="Arial"/>
              </w:rPr>
              <w:t>Blackpool Coastal Housing</w:t>
            </w:r>
          </w:p>
        </w:tc>
        <w:tc>
          <w:tcPr>
            <w:tcW w:w="1842" w:type="dxa"/>
            <w:shd w:val="clear" w:color="auto" w:fill="auto"/>
            <w:vAlign w:val="center"/>
          </w:tcPr>
          <w:p w:rsidR="007F277C" w:rsidRPr="001E3005" w:rsidRDefault="0062660D" w:rsidP="007F277C">
            <w:pPr>
              <w:jc w:val="center"/>
              <w:rPr>
                <w:rFonts w:cs="Arial"/>
              </w:rPr>
            </w:pPr>
            <w:r w:rsidRPr="001E3005">
              <w:rPr>
                <w:rFonts w:cs="Arial"/>
              </w:rPr>
              <w:t>-1.5%</w:t>
            </w:r>
          </w:p>
        </w:tc>
        <w:tc>
          <w:tcPr>
            <w:tcW w:w="1843" w:type="dxa"/>
            <w:shd w:val="clear" w:color="auto" w:fill="auto"/>
            <w:vAlign w:val="center"/>
          </w:tcPr>
          <w:p w:rsidR="007F277C" w:rsidRPr="001E3005" w:rsidRDefault="0062660D" w:rsidP="007F277C">
            <w:pPr>
              <w:jc w:val="center"/>
              <w:rPr>
                <w:rFonts w:cs="Arial"/>
              </w:rPr>
            </w:pPr>
            <w:r w:rsidRPr="001E3005">
              <w:rPr>
                <w:rFonts w:cs="Arial"/>
              </w:rPr>
              <w:t>11.6%</w:t>
            </w:r>
          </w:p>
        </w:tc>
        <w:tc>
          <w:tcPr>
            <w:tcW w:w="1843" w:type="dxa"/>
            <w:shd w:val="clear" w:color="auto" w:fill="auto"/>
            <w:vAlign w:val="center"/>
          </w:tcPr>
          <w:p w:rsidR="007F277C" w:rsidRPr="001E3005" w:rsidRDefault="0062660D" w:rsidP="007F277C">
            <w:pPr>
              <w:jc w:val="center"/>
              <w:rPr>
                <w:rFonts w:cs="Arial"/>
              </w:rPr>
            </w:pPr>
            <w:r w:rsidRPr="001E3005">
              <w:rPr>
                <w:rFonts w:cs="Arial"/>
              </w:rPr>
              <w:t>-1.5%</w:t>
            </w:r>
          </w:p>
        </w:tc>
        <w:tc>
          <w:tcPr>
            <w:tcW w:w="1984" w:type="dxa"/>
            <w:shd w:val="clear" w:color="auto" w:fill="auto"/>
            <w:vAlign w:val="center"/>
          </w:tcPr>
          <w:p w:rsidR="007F277C" w:rsidRPr="001E3005" w:rsidRDefault="0062660D" w:rsidP="007F277C">
            <w:pPr>
              <w:jc w:val="center"/>
              <w:rPr>
                <w:rFonts w:cs="Arial"/>
              </w:rPr>
            </w:pPr>
            <w:r w:rsidRPr="001E3005">
              <w:rPr>
                <w:rFonts w:cs="Arial"/>
              </w:rPr>
              <w:t>11.6%</w:t>
            </w:r>
          </w:p>
        </w:tc>
        <w:tc>
          <w:tcPr>
            <w:tcW w:w="2127" w:type="dxa"/>
            <w:shd w:val="clear" w:color="auto" w:fill="auto"/>
            <w:vAlign w:val="center"/>
          </w:tcPr>
          <w:p w:rsidR="007F277C" w:rsidRPr="001E3005" w:rsidRDefault="0062660D" w:rsidP="007F277C">
            <w:pPr>
              <w:jc w:val="center"/>
              <w:rPr>
                <w:rFonts w:cs="Arial"/>
              </w:rPr>
            </w:pPr>
            <w:r w:rsidRPr="001E3005">
              <w:rPr>
                <w:rFonts w:cs="Arial"/>
              </w:rPr>
              <w:t>-1.5%</w:t>
            </w:r>
          </w:p>
        </w:tc>
        <w:tc>
          <w:tcPr>
            <w:tcW w:w="2409" w:type="dxa"/>
            <w:shd w:val="clear" w:color="auto" w:fill="auto"/>
            <w:vAlign w:val="center"/>
          </w:tcPr>
          <w:p w:rsidR="007F277C" w:rsidRPr="001E3005" w:rsidRDefault="0062660D" w:rsidP="007F277C">
            <w:pPr>
              <w:jc w:val="center"/>
              <w:rPr>
                <w:rFonts w:cs="Arial"/>
              </w:rPr>
            </w:pPr>
            <w:r w:rsidRPr="001E3005">
              <w:rPr>
                <w:rFonts w:cs="Arial"/>
              </w:rPr>
              <w:t>11.6%</w:t>
            </w:r>
          </w:p>
        </w:tc>
      </w:tr>
      <w:tr w:rsidR="006A2C17" w:rsidTr="007D4064">
        <w:trPr>
          <w:cantSplit/>
        </w:trPr>
        <w:tc>
          <w:tcPr>
            <w:tcW w:w="3333" w:type="dxa"/>
            <w:shd w:val="clear" w:color="auto" w:fill="auto"/>
            <w:vAlign w:val="center"/>
          </w:tcPr>
          <w:p w:rsidR="007F277C" w:rsidRPr="001E3005" w:rsidRDefault="0062660D" w:rsidP="007D4064">
            <w:pPr>
              <w:jc w:val="left"/>
              <w:rPr>
                <w:rFonts w:cs="Arial"/>
              </w:rPr>
            </w:pPr>
            <w:r w:rsidRPr="001E3005">
              <w:rPr>
                <w:rFonts w:cs="Arial"/>
              </w:rPr>
              <w:t>Blackpool Fylde Wyre Society for the Blind</w:t>
            </w:r>
          </w:p>
        </w:tc>
        <w:tc>
          <w:tcPr>
            <w:tcW w:w="1842" w:type="dxa"/>
            <w:shd w:val="clear" w:color="auto" w:fill="auto"/>
            <w:vAlign w:val="center"/>
          </w:tcPr>
          <w:p w:rsidR="007F277C" w:rsidRPr="001E3005" w:rsidRDefault="0062660D" w:rsidP="007F277C">
            <w:pPr>
              <w:jc w:val="center"/>
              <w:rPr>
                <w:rFonts w:cs="Arial"/>
              </w:rPr>
            </w:pPr>
            <w:r w:rsidRPr="001E3005">
              <w:rPr>
                <w:rFonts w:cs="Arial"/>
              </w:rPr>
              <w:t>7.5% plus £97,300*</w:t>
            </w:r>
          </w:p>
        </w:tc>
        <w:tc>
          <w:tcPr>
            <w:tcW w:w="1843" w:type="dxa"/>
            <w:shd w:val="clear" w:color="auto" w:fill="auto"/>
            <w:vAlign w:val="center"/>
          </w:tcPr>
          <w:p w:rsidR="007F277C" w:rsidRPr="001E3005" w:rsidRDefault="0062660D" w:rsidP="007F277C">
            <w:pPr>
              <w:jc w:val="center"/>
              <w:rPr>
                <w:rFonts w:cs="Arial"/>
              </w:rPr>
            </w:pPr>
            <w:r w:rsidRPr="001E3005">
              <w:rPr>
                <w:rFonts w:cs="Arial"/>
              </w:rPr>
              <w:t>20.6% plus £97,300*</w:t>
            </w:r>
          </w:p>
        </w:tc>
        <w:tc>
          <w:tcPr>
            <w:tcW w:w="1843" w:type="dxa"/>
            <w:shd w:val="clear" w:color="auto" w:fill="auto"/>
            <w:vAlign w:val="center"/>
          </w:tcPr>
          <w:p w:rsidR="007F277C" w:rsidRPr="001E3005" w:rsidRDefault="0062660D" w:rsidP="007F277C">
            <w:pPr>
              <w:jc w:val="center"/>
              <w:rPr>
                <w:rFonts w:cs="Arial"/>
              </w:rPr>
            </w:pPr>
            <w:r w:rsidRPr="001E3005">
              <w:rPr>
                <w:rFonts w:cs="Arial"/>
              </w:rPr>
              <w:t>7.5%</w:t>
            </w:r>
          </w:p>
        </w:tc>
        <w:tc>
          <w:tcPr>
            <w:tcW w:w="1984" w:type="dxa"/>
            <w:shd w:val="clear" w:color="auto" w:fill="auto"/>
            <w:vAlign w:val="center"/>
          </w:tcPr>
          <w:p w:rsidR="007F277C" w:rsidRPr="001E3005" w:rsidRDefault="0062660D" w:rsidP="007F277C">
            <w:pPr>
              <w:jc w:val="center"/>
              <w:rPr>
                <w:rFonts w:cs="Arial"/>
              </w:rPr>
            </w:pPr>
            <w:r w:rsidRPr="001E3005">
              <w:rPr>
                <w:rFonts w:cs="Arial"/>
              </w:rPr>
              <w:t>20.6%</w:t>
            </w:r>
          </w:p>
        </w:tc>
        <w:tc>
          <w:tcPr>
            <w:tcW w:w="2127" w:type="dxa"/>
            <w:shd w:val="clear" w:color="auto" w:fill="auto"/>
            <w:vAlign w:val="center"/>
          </w:tcPr>
          <w:p w:rsidR="007F277C" w:rsidRPr="001E3005" w:rsidRDefault="0062660D" w:rsidP="007F277C">
            <w:pPr>
              <w:jc w:val="center"/>
              <w:rPr>
                <w:rFonts w:cs="Arial"/>
              </w:rPr>
            </w:pPr>
            <w:r w:rsidRPr="001E3005">
              <w:rPr>
                <w:rFonts w:cs="Arial"/>
              </w:rPr>
              <w:t>7.5%</w:t>
            </w:r>
          </w:p>
        </w:tc>
        <w:tc>
          <w:tcPr>
            <w:tcW w:w="2409" w:type="dxa"/>
            <w:shd w:val="clear" w:color="auto" w:fill="auto"/>
            <w:vAlign w:val="center"/>
          </w:tcPr>
          <w:p w:rsidR="007F277C" w:rsidRPr="001E3005" w:rsidRDefault="0062660D" w:rsidP="007F277C">
            <w:pPr>
              <w:jc w:val="center"/>
              <w:rPr>
                <w:rFonts w:cs="Arial"/>
              </w:rPr>
            </w:pPr>
            <w:r w:rsidRPr="001E3005">
              <w:rPr>
                <w:rFonts w:cs="Arial"/>
              </w:rPr>
              <w:t>20.6%</w:t>
            </w:r>
          </w:p>
        </w:tc>
      </w:tr>
      <w:tr w:rsidR="006A2C17" w:rsidTr="007D4064">
        <w:trPr>
          <w:cantSplit/>
        </w:trPr>
        <w:tc>
          <w:tcPr>
            <w:tcW w:w="3333" w:type="dxa"/>
            <w:shd w:val="clear" w:color="auto" w:fill="auto"/>
            <w:vAlign w:val="center"/>
          </w:tcPr>
          <w:p w:rsidR="007F277C" w:rsidRPr="001E3005" w:rsidRDefault="0062660D" w:rsidP="007D4064">
            <w:pPr>
              <w:jc w:val="left"/>
              <w:rPr>
                <w:rFonts w:cs="Arial"/>
              </w:rPr>
            </w:pPr>
            <w:r w:rsidRPr="001E3005">
              <w:rPr>
                <w:rFonts w:cs="Arial"/>
              </w:rPr>
              <w:t>Blackpool MAT (</w:t>
            </w:r>
            <w:proofErr w:type="spellStart"/>
            <w:r w:rsidRPr="001E3005">
              <w:rPr>
                <w:rFonts w:cs="Arial"/>
              </w:rPr>
              <w:t>Anchorsholme</w:t>
            </w:r>
            <w:proofErr w:type="spellEnd"/>
            <w:r w:rsidRPr="001E3005">
              <w:rPr>
                <w:rFonts w:cs="Arial"/>
              </w:rPr>
              <w:t xml:space="preserve"> Academy)</w:t>
            </w:r>
          </w:p>
        </w:tc>
        <w:tc>
          <w:tcPr>
            <w:tcW w:w="1842" w:type="dxa"/>
            <w:shd w:val="clear" w:color="auto" w:fill="auto"/>
            <w:vAlign w:val="center"/>
          </w:tcPr>
          <w:p w:rsidR="007F277C" w:rsidRPr="001E3005" w:rsidRDefault="0062660D" w:rsidP="007F277C">
            <w:pPr>
              <w:jc w:val="center"/>
              <w:rPr>
                <w:rFonts w:cs="Arial"/>
              </w:rPr>
            </w:pPr>
            <w:r w:rsidRPr="001E3005">
              <w:rPr>
                <w:rFonts w:cs="Arial"/>
              </w:rPr>
              <w:t>-0.8% plus £27,500</w:t>
            </w:r>
          </w:p>
        </w:tc>
        <w:tc>
          <w:tcPr>
            <w:tcW w:w="1843" w:type="dxa"/>
            <w:shd w:val="clear" w:color="auto" w:fill="auto"/>
            <w:vAlign w:val="center"/>
          </w:tcPr>
          <w:p w:rsidR="007F277C" w:rsidRPr="001E3005" w:rsidRDefault="0062660D" w:rsidP="007F277C">
            <w:pPr>
              <w:jc w:val="center"/>
              <w:rPr>
                <w:rFonts w:cs="Arial"/>
              </w:rPr>
            </w:pPr>
            <w:r w:rsidRPr="001E3005">
              <w:rPr>
                <w:rFonts w:cs="Arial"/>
              </w:rPr>
              <w:t>12.3% plus £27,500</w:t>
            </w:r>
          </w:p>
        </w:tc>
        <w:tc>
          <w:tcPr>
            <w:tcW w:w="1843" w:type="dxa"/>
            <w:shd w:val="clear" w:color="auto" w:fill="auto"/>
            <w:vAlign w:val="center"/>
          </w:tcPr>
          <w:p w:rsidR="007F277C" w:rsidRPr="001E3005" w:rsidRDefault="0062660D" w:rsidP="007F277C">
            <w:pPr>
              <w:jc w:val="center"/>
              <w:rPr>
                <w:rFonts w:cs="Arial"/>
              </w:rPr>
            </w:pPr>
            <w:r w:rsidRPr="001E3005">
              <w:rPr>
                <w:rFonts w:cs="Arial"/>
              </w:rPr>
              <w:t>-0.8% plus £28,600</w:t>
            </w:r>
          </w:p>
        </w:tc>
        <w:tc>
          <w:tcPr>
            <w:tcW w:w="1984" w:type="dxa"/>
            <w:shd w:val="clear" w:color="auto" w:fill="auto"/>
            <w:vAlign w:val="center"/>
          </w:tcPr>
          <w:p w:rsidR="007F277C" w:rsidRPr="001E3005" w:rsidRDefault="0062660D" w:rsidP="007F277C">
            <w:pPr>
              <w:jc w:val="center"/>
              <w:rPr>
                <w:rFonts w:cs="Arial"/>
              </w:rPr>
            </w:pPr>
            <w:r w:rsidRPr="001E3005">
              <w:rPr>
                <w:rFonts w:cs="Arial"/>
              </w:rPr>
              <w:t>12.3% plus £28,600</w:t>
            </w:r>
          </w:p>
        </w:tc>
        <w:tc>
          <w:tcPr>
            <w:tcW w:w="2127" w:type="dxa"/>
            <w:shd w:val="clear" w:color="auto" w:fill="auto"/>
            <w:vAlign w:val="center"/>
          </w:tcPr>
          <w:p w:rsidR="007F277C" w:rsidRPr="001E3005" w:rsidRDefault="0062660D" w:rsidP="007F277C">
            <w:pPr>
              <w:jc w:val="center"/>
              <w:rPr>
                <w:rFonts w:cs="Arial"/>
              </w:rPr>
            </w:pPr>
            <w:r w:rsidRPr="001E3005">
              <w:rPr>
                <w:rFonts w:cs="Arial"/>
              </w:rPr>
              <w:t xml:space="preserve">-0.8% </w:t>
            </w:r>
            <w:r w:rsidRPr="001E3005">
              <w:rPr>
                <w:rFonts w:cs="Arial"/>
              </w:rPr>
              <w:t>plus £29,800</w:t>
            </w:r>
          </w:p>
        </w:tc>
        <w:tc>
          <w:tcPr>
            <w:tcW w:w="2409" w:type="dxa"/>
            <w:shd w:val="clear" w:color="auto" w:fill="auto"/>
            <w:vAlign w:val="center"/>
          </w:tcPr>
          <w:p w:rsidR="007F277C" w:rsidRPr="001E3005" w:rsidRDefault="0062660D" w:rsidP="007F277C">
            <w:pPr>
              <w:jc w:val="center"/>
              <w:rPr>
                <w:rFonts w:cs="Arial"/>
              </w:rPr>
            </w:pPr>
            <w:r w:rsidRPr="001E3005">
              <w:rPr>
                <w:rFonts w:cs="Arial"/>
              </w:rPr>
              <w:t>12.3% plus £29,800</w:t>
            </w:r>
          </w:p>
        </w:tc>
      </w:tr>
      <w:tr w:rsidR="006A2C17" w:rsidTr="007D4064">
        <w:trPr>
          <w:cantSplit/>
        </w:trPr>
        <w:tc>
          <w:tcPr>
            <w:tcW w:w="3333" w:type="dxa"/>
            <w:shd w:val="clear" w:color="auto" w:fill="auto"/>
            <w:vAlign w:val="center"/>
          </w:tcPr>
          <w:p w:rsidR="007F277C" w:rsidRPr="001E3005" w:rsidRDefault="0062660D" w:rsidP="007D4064">
            <w:pPr>
              <w:jc w:val="left"/>
              <w:rPr>
                <w:rFonts w:cs="Arial"/>
              </w:rPr>
            </w:pPr>
            <w:r w:rsidRPr="001E3005">
              <w:rPr>
                <w:rFonts w:cs="Arial"/>
              </w:rPr>
              <w:t>Blackpool MAT (Devonshire Academy)</w:t>
            </w:r>
          </w:p>
        </w:tc>
        <w:tc>
          <w:tcPr>
            <w:tcW w:w="1842" w:type="dxa"/>
            <w:shd w:val="clear" w:color="auto" w:fill="auto"/>
            <w:vAlign w:val="center"/>
          </w:tcPr>
          <w:p w:rsidR="007F277C" w:rsidRPr="001E3005" w:rsidRDefault="0062660D" w:rsidP="007F277C">
            <w:pPr>
              <w:jc w:val="center"/>
              <w:rPr>
                <w:rFonts w:cs="Arial"/>
              </w:rPr>
            </w:pPr>
            <w:r w:rsidRPr="001E3005">
              <w:rPr>
                <w:rFonts w:cs="Arial"/>
              </w:rPr>
              <w:t>-0.8% plus £29,600</w:t>
            </w:r>
          </w:p>
        </w:tc>
        <w:tc>
          <w:tcPr>
            <w:tcW w:w="1843" w:type="dxa"/>
            <w:shd w:val="clear" w:color="auto" w:fill="auto"/>
            <w:vAlign w:val="center"/>
          </w:tcPr>
          <w:p w:rsidR="007F277C" w:rsidRPr="001E3005" w:rsidRDefault="0062660D" w:rsidP="007F277C">
            <w:pPr>
              <w:jc w:val="center"/>
              <w:rPr>
                <w:rFonts w:cs="Arial"/>
              </w:rPr>
            </w:pPr>
            <w:r w:rsidRPr="001E3005">
              <w:rPr>
                <w:rFonts w:cs="Arial"/>
              </w:rPr>
              <w:t>12.3% plus £29,600</w:t>
            </w:r>
          </w:p>
        </w:tc>
        <w:tc>
          <w:tcPr>
            <w:tcW w:w="1843" w:type="dxa"/>
            <w:shd w:val="clear" w:color="auto" w:fill="auto"/>
            <w:vAlign w:val="center"/>
          </w:tcPr>
          <w:p w:rsidR="007F277C" w:rsidRPr="001E3005" w:rsidRDefault="0062660D" w:rsidP="007F277C">
            <w:pPr>
              <w:jc w:val="center"/>
              <w:rPr>
                <w:rFonts w:cs="Arial"/>
              </w:rPr>
            </w:pPr>
            <w:r w:rsidRPr="001E3005">
              <w:rPr>
                <w:rFonts w:cs="Arial"/>
              </w:rPr>
              <w:t>-0.8% plus £30,800</w:t>
            </w:r>
          </w:p>
        </w:tc>
        <w:tc>
          <w:tcPr>
            <w:tcW w:w="1984" w:type="dxa"/>
            <w:shd w:val="clear" w:color="auto" w:fill="auto"/>
            <w:vAlign w:val="center"/>
          </w:tcPr>
          <w:p w:rsidR="007F277C" w:rsidRPr="001E3005" w:rsidRDefault="0062660D" w:rsidP="007F277C">
            <w:pPr>
              <w:jc w:val="center"/>
              <w:rPr>
                <w:rFonts w:cs="Arial"/>
              </w:rPr>
            </w:pPr>
            <w:r w:rsidRPr="001E3005">
              <w:rPr>
                <w:rFonts w:cs="Arial"/>
              </w:rPr>
              <w:t>12.3% plus £30,800</w:t>
            </w:r>
          </w:p>
        </w:tc>
        <w:tc>
          <w:tcPr>
            <w:tcW w:w="2127" w:type="dxa"/>
            <w:shd w:val="clear" w:color="auto" w:fill="auto"/>
            <w:vAlign w:val="center"/>
          </w:tcPr>
          <w:p w:rsidR="007F277C" w:rsidRPr="001E3005" w:rsidRDefault="0062660D" w:rsidP="007F277C">
            <w:pPr>
              <w:jc w:val="center"/>
              <w:rPr>
                <w:rFonts w:cs="Arial"/>
              </w:rPr>
            </w:pPr>
            <w:r w:rsidRPr="001E3005">
              <w:rPr>
                <w:rFonts w:cs="Arial"/>
              </w:rPr>
              <w:t>-0.8% plus £32,100</w:t>
            </w:r>
          </w:p>
        </w:tc>
        <w:tc>
          <w:tcPr>
            <w:tcW w:w="2409" w:type="dxa"/>
            <w:shd w:val="clear" w:color="auto" w:fill="auto"/>
            <w:vAlign w:val="center"/>
          </w:tcPr>
          <w:p w:rsidR="007F277C" w:rsidRPr="001E3005" w:rsidRDefault="0062660D" w:rsidP="007F277C">
            <w:pPr>
              <w:jc w:val="center"/>
              <w:rPr>
                <w:rFonts w:cs="Arial"/>
              </w:rPr>
            </w:pPr>
            <w:r w:rsidRPr="001E3005">
              <w:rPr>
                <w:rFonts w:cs="Arial"/>
              </w:rPr>
              <w:t>12.3% plus £32,100</w:t>
            </w:r>
          </w:p>
        </w:tc>
      </w:tr>
      <w:tr w:rsidR="006A2C17" w:rsidTr="007D4064">
        <w:trPr>
          <w:cantSplit/>
        </w:trPr>
        <w:tc>
          <w:tcPr>
            <w:tcW w:w="3333" w:type="dxa"/>
            <w:shd w:val="clear" w:color="auto" w:fill="auto"/>
            <w:vAlign w:val="center"/>
          </w:tcPr>
          <w:p w:rsidR="007F277C" w:rsidRPr="001E3005" w:rsidRDefault="0062660D" w:rsidP="007D4064">
            <w:pPr>
              <w:jc w:val="left"/>
              <w:rPr>
                <w:rFonts w:cs="Arial"/>
              </w:rPr>
            </w:pPr>
            <w:r w:rsidRPr="001E3005">
              <w:rPr>
                <w:rFonts w:cs="Arial"/>
              </w:rPr>
              <w:t>Blackpool MAT (Park Academy)</w:t>
            </w:r>
          </w:p>
        </w:tc>
        <w:tc>
          <w:tcPr>
            <w:tcW w:w="1842" w:type="dxa"/>
            <w:shd w:val="clear" w:color="auto" w:fill="auto"/>
            <w:vAlign w:val="center"/>
          </w:tcPr>
          <w:p w:rsidR="007F277C" w:rsidRPr="001E3005" w:rsidRDefault="0062660D" w:rsidP="007F277C">
            <w:pPr>
              <w:jc w:val="center"/>
              <w:rPr>
                <w:rFonts w:cs="Arial"/>
              </w:rPr>
            </w:pPr>
            <w:r w:rsidRPr="001E3005">
              <w:rPr>
                <w:rFonts w:cs="Arial"/>
              </w:rPr>
              <w:t>-0.8% plus £33,800</w:t>
            </w:r>
          </w:p>
        </w:tc>
        <w:tc>
          <w:tcPr>
            <w:tcW w:w="1843" w:type="dxa"/>
            <w:shd w:val="clear" w:color="auto" w:fill="auto"/>
            <w:vAlign w:val="center"/>
          </w:tcPr>
          <w:p w:rsidR="007F277C" w:rsidRPr="001E3005" w:rsidRDefault="0062660D" w:rsidP="007F277C">
            <w:pPr>
              <w:jc w:val="center"/>
              <w:rPr>
                <w:rFonts w:cs="Arial"/>
              </w:rPr>
            </w:pPr>
            <w:r w:rsidRPr="001E3005">
              <w:rPr>
                <w:rFonts w:cs="Arial"/>
              </w:rPr>
              <w:t>12.3% plus £33,800</w:t>
            </w:r>
          </w:p>
        </w:tc>
        <w:tc>
          <w:tcPr>
            <w:tcW w:w="1843" w:type="dxa"/>
            <w:shd w:val="clear" w:color="auto" w:fill="auto"/>
            <w:vAlign w:val="center"/>
          </w:tcPr>
          <w:p w:rsidR="007F277C" w:rsidRPr="001E3005" w:rsidRDefault="0062660D" w:rsidP="007F277C">
            <w:pPr>
              <w:jc w:val="center"/>
              <w:rPr>
                <w:rFonts w:cs="Arial"/>
              </w:rPr>
            </w:pPr>
            <w:r w:rsidRPr="001E3005">
              <w:rPr>
                <w:rFonts w:cs="Arial"/>
              </w:rPr>
              <w:t xml:space="preserve">-0.8% </w:t>
            </w:r>
            <w:r w:rsidRPr="001E3005">
              <w:rPr>
                <w:rFonts w:cs="Arial"/>
              </w:rPr>
              <w:t>plus £35,200</w:t>
            </w:r>
          </w:p>
        </w:tc>
        <w:tc>
          <w:tcPr>
            <w:tcW w:w="1984" w:type="dxa"/>
            <w:shd w:val="clear" w:color="auto" w:fill="auto"/>
            <w:vAlign w:val="center"/>
          </w:tcPr>
          <w:p w:rsidR="007F277C" w:rsidRPr="001E3005" w:rsidRDefault="0062660D" w:rsidP="007F277C">
            <w:pPr>
              <w:jc w:val="center"/>
              <w:rPr>
                <w:rFonts w:cs="Arial"/>
              </w:rPr>
            </w:pPr>
            <w:r w:rsidRPr="001E3005">
              <w:rPr>
                <w:rFonts w:cs="Arial"/>
              </w:rPr>
              <w:t>12.3% plus £35,200</w:t>
            </w:r>
          </w:p>
        </w:tc>
        <w:tc>
          <w:tcPr>
            <w:tcW w:w="2127" w:type="dxa"/>
            <w:shd w:val="clear" w:color="auto" w:fill="auto"/>
            <w:vAlign w:val="center"/>
          </w:tcPr>
          <w:p w:rsidR="007F277C" w:rsidRPr="001E3005" w:rsidRDefault="0062660D" w:rsidP="007F277C">
            <w:pPr>
              <w:jc w:val="center"/>
              <w:rPr>
                <w:rFonts w:cs="Arial"/>
              </w:rPr>
            </w:pPr>
            <w:r w:rsidRPr="001E3005">
              <w:rPr>
                <w:rFonts w:cs="Arial"/>
              </w:rPr>
              <w:t>-0.8% plus £36,600</w:t>
            </w:r>
          </w:p>
        </w:tc>
        <w:tc>
          <w:tcPr>
            <w:tcW w:w="2409" w:type="dxa"/>
            <w:shd w:val="clear" w:color="auto" w:fill="auto"/>
            <w:vAlign w:val="center"/>
          </w:tcPr>
          <w:p w:rsidR="007F277C" w:rsidRPr="001E3005" w:rsidRDefault="0062660D" w:rsidP="007F277C">
            <w:pPr>
              <w:jc w:val="center"/>
              <w:rPr>
                <w:rFonts w:cs="Arial"/>
              </w:rPr>
            </w:pPr>
            <w:r w:rsidRPr="001E3005">
              <w:rPr>
                <w:rFonts w:cs="Arial"/>
              </w:rPr>
              <w:t>12.3% plus £36,600</w:t>
            </w:r>
          </w:p>
        </w:tc>
      </w:tr>
      <w:tr w:rsidR="006A2C17" w:rsidTr="007D4064">
        <w:trPr>
          <w:cantSplit/>
        </w:trPr>
        <w:tc>
          <w:tcPr>
            <w:tcW w:w="3333" w:type="dxa"/>
            <w:shd w:val="clear" w:color="auto" w:fill="auto"/>
            <w:vAlign w:val="center"/>
          </w:tcPr>
          <w:p w:rsidR="007F277C" w:rsidRPr="001E3005" w:rsidRDefault="0062660D" w:rsidP="007D4064">
            <w:pPr>
              <w:jc w:val="left"/>
              <w:rPr>
                <w:rFonts w:cs="Arial"/>
              </w:rPr>
            </w:pPr>
            <w:r w:rsidRPr="001E3005">
              <w:rPr>
                <w:rFonts w:cs="Arial"/>
              </w:rPr>
              <w:t>Blackpool Sixth Form College</w:t>
            </w:r>
          </w:p>
        </w:tc>
        <w:tc>
          <w:tcPr>
            <w:tcW w:w="1842" w:type="dxa"/>
            <w:shd w:val="clear" w:color="auto" w:fill="auto"/>
            <w:vAlign w:val="center"/>
          </w:tcPr>
          <w:p w:rsidR="007F277C" w:rsidRPr="001E3005" w:rsidRDefault="0062660D" w:rsidP="007F277C">
            <w:pPr>
              <w:jc w:val="center"/>
              <w:rPr>
                <w:rFonts w:cs="Arial"/>
              </w:rPr>
            </w:pPr>
            <w:r w:rsidRPr="001E3005">
              <w:rPr>
                <w:rFonts w:cs="Arial"/>
              </w:rPr>
              <w:t>-3.2% plus £4,800</w:t>
            </w:r>
          </w:p>
        </w:tc>
        <w:tc>
          <w:tcPr>
            <w:tcW w:w="1843" w:type="dxa"/>
            <w:shd w:val="clear" w:color="auto" w:fill="auto"/>
            <w:vAlign w:val="center"/>
          </w:tcPr>
          <w:p w:rsidR="007F277C" w:rsidRPr="001E3005" w:rsidRDefault="0062660D" w:rsidP="007F277C">
            <w:pPr>
              <w:jc w:val="center"/>
              <w:rPr>
                <w:rFonts w:cs="Arial"/>
              </w:rPr>
            </w:pPr>
            <w:r w:rsidRPr="001E3005">
              <w:rPr>
                <w:rFonts w:cs="Arial"/>
              </w:rPr>
              <w:t>9.9% plus £4,800</w:t>
            </w:r>
          </w:p>
        </w:tc>
        <w:tc>
          <w:tcPr>
            <w:tcW w:w="1843" w:type="dxa"/>
            <w:shd w:val="clear" w:color="auto" w:fill="auto"/>
            <w:vAlign w:val="center"/>
          </w:tcPr>
          <w:p w:rsidR="007F277C" w:rsidRPr="001E3005" w:rsidRDefault="0062660D" w:rsidP="007F277C">
            <w:pPr>
              <w:jc w:val="center"/>
              <w:rPr>
                <w:rFonts w:cs="Arial"/>
              </w:rPr>
            </w:pPr>
            <w:r w:rsidRPr="001E3005">
              <w:rPr>
                <w:rFonts w:cs="Arial"/>
              </w:rPr>
              <w:t>-3.2% plus £5,000</w:t>
            </w:r>
          </w:p>
        </w:tc>
        <w:tc>
          <w:tcPr>
            <w:tcW w:w="1984" w:type="dxa"/>
            <w:shd w:val="clear" w:color="auto" w:fill="auto"/>
            <w:vAlign w:val="center"/>
          </w:tcPr>
          <w:p w:rsidR="007F277C" w:rsidRPr="001E3005" w:rsidRDefault="0062660D" w:rsidP="007F277C">
            <w:pPr>
              <w:jc w:val="center"/>
              <w:rPr>
                <w:rFonts w:cs="Arial"/>
              </w:rPr>
            </w:pPr>
            <w:r w:rsidRPr="001E3005">
              <w:rPr>
                <w:rFonts w:cs="Arial"/>
              </w:rPr>
              <w:t>9.9% plus £5,000</w:t>
            </w:r>
          </w:p>
        </w:tc>
        <w:tc>
          <w:tcPr>
            <w:tcW w:w="2127" w:type="dxa"/>
            <w:shd w:val="clear" w:color="auto" w:fill="auto"/>
            <w:vAlign w:val="center"/>
          </w:tcPr>
          <w:p w:rsidR="007F277C" w:rsidRPr="001E3005" w:rsidRDefault="0062660D" w:rsidP="007F277C">
            <w:pPr>
              <w:jc w:val="center"/>
              <w:rPr>
                <w:rFonts w:cs="Arial"/>
              </w:rPr>
            </w:pPr>
            <w:r w:rsidRPr="001E3005">
              <w:rPr>
                <w:rFonts w:cs="Arial"/>
              </w:rPr>
              <w:t>-3.2% plus £5,200</w:t>
            </w:r>
          </w:p>
        </w:tc>
        <w:tc>
          <w:tcPr>
            <w:tcW w:w="2409" w:type="dxa"/>
            <w:shd w:val="clear" w:color="auto" w:fill="auto"/>
            <w:vAlign w:val="center"/>
          </w:tcPr>
          <w:p w:rsidR="007F277C" w:rsidRPr="001E3005" w:rsidRDefault="0062660D" w:rsidP="007F277C">
            <w:pPr>
              <w:jc w:val="center"/>
              <w:rPr>
                <w:rFonts w:cs="Arial"/>
              </w:rPr>
            </w:pPr>
            <w:r w:rsidRPr="001E3005">
              <w:rPr>
                <w:rFonts w:cs="Arial"/>
              </w:rPr>
              <w:t>9.9% plus £5,200</w:t>
            </w:r>
          </w:p>
        </w:tc>
      </w:tr>
      <w:tr w:rsidR="006A2C17" w:rsidTr="007D4064">
        <w:trPr>
          <w:cantSplit/>
        </w:trPr>
        <w:tc>
          <w:tcPr>
            <w:tcW w:w="3333" w:type="dxa"/>
            <w:shd w:val="clear" w:color="auto" w:fill="auto"/>
            <w:vAlign w:val="center"/>
          </w:tcPr>
          <w:p w:rsidR="007F277C" w:rsidRPr="001E3005" w:rsidRDefault="0062660D" w:rsidP="007D4064">
            <w:pPr>
              <w:jc w:val="left"/>
              <w:rPr>
                <w:rFonts w:cs="Arial"/>
              </w:rPr>
            </w:pPr>
            <w:r w:rsidRPr="001E3005">
              <w:rPr>
                <w:rFonts w:cs="Arial"/>
              </w:rPr>
              <w:t>Blackpool Transport Services Ltd</w:t>
            </w:r>
          </w:p>
        </w:tc>
        <w:tc>
          <w:tcPr>
            <w:tcW w:w="1842" w:type="dxa"/>
            <w:shd w:val="clear" w:color="auto" w:fill="auto"/>
            <w:vAlign w:val="center"/>
          </w:tcPr>
          <w:p w:rsidR="007F277C" w:rsidRPr="001E3005" w:rsidRDefault="0062660D" w:rsidP="007F277C">
            <w:pPr>
              <w:jc w:val="center"/>
              <w:rPr>
                <w:rFonts w:cs="Arial"/>
              </w:rPr>
            </w:pPr>
            <w:r w:rsidRPr="001E3005">
              <w:rPr>
                <w:rFonts w:cs="Arial"/>
              </w:rPr>
              <w:t>-13.1%</w:t>
            </w:r>
          </w:p>
        </w:tc>
        <w:tc>
          <w:tcPr>
            <w:tcW w:w="1843" w:type="dxa"/>
            <w:shd w:val="clear" w:color="auto" w:fill="auto"/>
            <w:vAlign w:val="center"/>
          </w:tcPr>
          <w:p w:rsidR="007F277C" w:rsidRPr="001E3005" w:rsidRDefault="0062660D" w:rsidP="007F277C">
            <w:pPr>
              <w:jc w:val="center"/>
              <w:rPr>
                <w:rFonts w:cs="Arial"/>
              </w:rPr>
            </w:pPr>
            <w:r w:rsidRPr="001E3005">
              <w:rPr>
                <w:rFonts w:cs="Arial"/>
              </w:rPr>
              <w:t>0.0%</w:t>
            </w:r>
          </w:p>
        </w:tc>
        <w:tc>
          <w:tcPr>
            <w:tcW w:w="1843" w:type="dxa"/>
            <w:shd w:val="clear" w:color="auto" w:fill="auto"/>
            <w:vAlign w:val="center"/>
          </w:tcPr>
          <w:p w:rsidR="007F277C" w:rsidRPr="001E3005" w:rsidRDefault="0062660D" w:rsidP="007F277C">
            <w:pPr>
              <w:jc w:val="center"/>
              <w:rPr>
                <w:rFonts w:cs="Arial"/>
              </w:rPr>
            </w:pPr>
            <w:r w:rsidRPr="001E3005">
              <w:rPr>
                <w:rFonts w:cs="Arial"/>
              </w:rPr>
              <w:t>-13.1%</w:t>
            </w:r>
          </w:p>
        </w:tc>
        <w:tc>
          <w:tcPr>
            <w:tcW w:w="1984" w:type="dxa"/>
            <w:shd w:val="clear" w:color="auto" w:fill="auto"/>
            <w:vAlign w:val="center"/>
          </w:tcPr>
          <w:p w:rsidR="007F277C" w:rsidRPr="001E3005" w:rsidRDefault="0062660D" w:rsidP="007F277C">
            <w:pPr>
              <w:jc w:val="center"/>
              <w:rPr>
                <w:rFonts w:cs="Arial"/>
              </w:rPr>
            </w:pPr>
            <w:r w:rsidRPr="001E3005">
              <w:rPr>
                <w:rFonts w:cs="Arial"/>
              </w:rPr>
              <w:t>0.0%</w:t>
            </w:r>
          </w:p>
        </w:tc>
        <w:tc>
          <w:tcPr>
            <w:tcW w:w="2127" w:type="dxa"/>
            <w:shd w:val="clear" w:color="auto" w:fill="auto"/>
            <w:vAlign w:val="center"/>
          </w:tcPr>
          <w:p w:rsidR="007F277C" w:rsidRPr="001E3005" w:rsidRDefault="0062660D" w:rsidP="007F277C">
            <w:pPr>
              <w:jc w:val="center"/>
              <w:rPr>
                <w:rFonts w:cs="Arial"/>
              </w:rPr>
            </w:pPr>
            <w:r w:rsidRPr="001E3005">
              <w:rPr>
                <w:rFonts w:cs="Arial"/>
              </w:rPr>
              <w:t>-13.1%</w:t>
            </w:r>
          </w:p>
        </w:tc>
        <w:tc>
          <w:tcPr>
            <w:tcW w:w="2409" w:type="dxa"/>
            <w:shd w:val="clear" w:color="auto" w:fill="auto"/>
            <w:vAlign w:val="center"/>
          </w:tcPr>
          <w:p w:rsidR="007F277C" w:rsidRPr="001E3005" w:rsidRDefault="0062660D" w:rsidP="007F277C">
            <w:pPr>
              <w:jc w:val="center"/>
              <w:rPr>
                <w:rFonts w:cs="Arial"/>
              </w:rPr>
            </w:pPr>
            <w:r w:rsidRPr="001E3005">
              <w:rPr>
                <w:rFonts w:cs="Arial"/>
              </w:rPr>
              <w:t>0.0%</w:t>
            </w:r>
          </w:p>
        </w:tc>
      </w:tr>
      <w:tr w:rsidR="006A2C17" w:rsidTr="007D4064">
        <w:trPr>
          <w:cantSplit/>
        </w:trPr>
        <w:tc>
          <w:tcPr>
            <w:tcW w:w="3333" w:type="dxa"/>
            <w:shd w:val="clear" w:color="auto" w:fill="auto"/>
            <w:vAlign w:val="center"/>
          </w:tcPr>
          <w:p w:rsidR="007F277C" w:rsidRPr="001E3005" w:rsidRDefault="0062660D" w:rsidP="007D4064">
            <w:pPr>
              <w:jc w:val="left"/>
              <w:rPr>
                <w:rFonts w:cs="Arial"/>
              </w:rPr>
            </w:pPr>
            <w:r w:rsidRPr="001E3005">
              <w:rPr>
                <w:rFonts w:cs="Arial"/>
              </w:rPr>
              <w:t>Blackpool Zoo (Grant Leisure)</w:t>
            </w:r>
          </w:p>
        </w:tc>
        <w:tc>
          <w:tcPr>
            <w:tcW w:w="1842" w:type="dxa"/>
            <w:shd w:val="clear" w:color="auto" w:fill="auto"/>
            <w:vAlign w:val="center"/>
          </w:tcPr>
          <w:p w:rsidR="007F277C" w:rsidRPr="001E3005" w:rsidRDefault="0062660D" w:rsidP="007F277C">
            <w:pPr>
              <w:jc w:val="center"/>
              <w:rPr>
                <w:rFonts w:cs="Arial"/>
              </w:rPr>
            </w:pPr>
            <w:r w:rsidRPr="001E3005">
              <w:rPr>
                <w:rFonts w:cs="Arial"/>
              </w:rPr>
              <w:t>5.6%</w:t>
            </w:r>
          </w:p>
        </w:tc>
        <w:tc>
          <w:tcPr>
            <w:tcW w:w="1843" w:type="dxa"/>
            <w:shd w:val="clear" w:color="auto" w:fill="auto"/>
            <w:vAlign w:val="center"/>
          </w:tcPr>
          <w:p w:rsidR="007F277C" w:rsidRPr="001E3005" w:rsidRDefault="0062660D" w:rsidP="007F277C">
            <w:pPr>
              <w:jc w:val="center"/>
              <w:rPr>
                <w:rFonts w:cs="Arial"/>
              </w:rPr>
            </w:pPr>
            <w:r w:rsidRPr="001E3005">
              <w:rPr>
                <w:rFonts w:cs="Arial"/>
              </w:rPr>
              <w:t>18.7%</w:t>
            </w:r>
          </w:p>
        </w:tc>
        <w:tc>
          <w:tcPr>
            <w:tcW w:w="1843" w:type="dxa"/>
            <w:shd w:val="clear" w:color="auto" w:fill="auto"/>
            <w:vAlign w:val="center"/>
          </w:tcPr>
          <w:p w:rsidR="007F277C" w:rsidRPr="001E3005" w:rsidRDefault="0062660D" w:rsidP="007F277C">
            <w:pPr>
              <w:jc w:val="center"/>
              <w:rPr>
                <w:rFonts w:cs="Arial"/>
              </w:rPr>
            </w:pPr>
            <w:r w:rsidRPr="001E3005">
              <w:rPr>
                <w:rFonts w:cs="Arial"/>
              </w:rPr>
              <w:t>5.6%</w:t>
            </w:r>
          </w:p>
        </w:tc>
        <w:tc>
          <w:tcPr>
            <w:tcW w:w="1984" w:type="dxa"/>
            <w:shd w:val="clear" w:color="auto" w:fill="auto"/>
            <w:vAlign w:val="center"/>
          </w:tcPr>
          <w:p w:rsidR="007F277C" w:rsidRPr="001E3005" w:rsidRDefault="0062660D" w:rsidP="007F277C">
            <w:pPr>
              <w:jc w:val="center"/>
              <w:rPr>
                <w:rFonts w:cs="Arial"/>
              </w:rPr>
            </w:pPr>
            <w:r w:rsidRPr="001E3005">
              <w:rPr>
                <w:rFonts w:cs="Arial"/>
              </w:rPr>
              <w:t>18.7%</w:t>
            </w:r>
          </w:p>
        </w:tc>
        <w:tc>
          <w:tcPr>
            <w:tcW w:w="2127" w:type="dxa"/>
            <w:shd w:val="clear" w:color="auto" w:fill="auto"/>
            <w:vAlign w:val="center"/>
          </w:tcPr>
          <w:p w:rsidR="007F277C" w:rsidRPr="001E3005" w:rsidRDefault="0062660D" w:rsidP="007F277C">
            <w:pPr>
              <w:jc w:val="center"/>
              <w:rPr>
                <w:rFonts w:cs="Arial"/>
              </w:rPr>
            </w:pPr>
            <w:r w:rsidRPr="001E3005">
              <w:rPr>
                <w:rFonts w:cs="Arial"/>
              </w:rPr>
              <w:t>5.6%</w:t>
            </w:r>
          </w:p>
        </w:tc>
        <w:tc>
          <w:tcPr>
            <w:tcW w:w="2409" w:type="dxa"/>
            <w:shd w:val="clear" w:color="auto" w:fill="auto"/>
            <w:vAlign w:val="center"/>
          </w:tcPr>
          <w:p w:rsidR="007F277C" w:rsidRPr="001E3005" w:rsidRDefault="0062660D" w:rsidP="007F277C">
            <w:pPr>
              <w:jc w:val="center"/>
              <w:rPr>
                <w:rFonts w:cs="Arial"/>
              </w:rPr>
            </w:pPr>
            <w:r w:rsidRPr="001E3005">
              <w:rPr>
                <w:rFonts w:cs="Arial"/>
              </w:rPr>
              <w:t>18.7%</w:t>
            </w:r>
          </w:p>
        </w:tc>
      </w:tr>
      <w:tr w:rsidR="006A2C17" w:rsidTr="007D4064">
        <w:trPr>
          <w:cantSplit/>
        </w:trPr>
        <w:tc>
          <w:tcPr>
            <w:tcW w:w="3333" w:type="dxa"/>
            <w:shd w:val="clear" w:color="auto" w:fill="auto"/>
            <w:vAlign w:val="center"/>
          </w:tcPr>
          <w:p w:rsidR="007F277C" w:rsidRPr="001E3005" w:rsidRDefault="0062660D" w:rsidP="007D4064">
            <w:pPr>
              <w:jc w:val="left"/>
              <w:rPr>
                <w:rFonts w:cs="Arial"/>
              </w:rPr>
            </w:pPr>
            <w:r w:rsidRPr="001E3005">
              <w:rPr>
                <w:rFonts w:cs="Arial"/>
              </w:rPr>
              <w:t>Bootstrap Enterprises Ltd</w:t>
            </w:r>
          </w:p>
        </w:tc>
        <w:tc>
          <w:tcPr>
            <w:tcW w:w="1842" w:type="dxa"/>
            <w:shd w:val="clear" w:color="auto" w:fill="auto"/>
            <w:vAlign w:val="center"/>
          </w:tcPr>
          <w:p w:rsidR="007F277C" w:rsidRPr="001E3005" w:rsidRDefault="0062660D" w:rsidP="007F277C">
            <w:pPr>
              <w:jc w:val="center"/>
              <w:rPr>
                <w:rFonts w:cs="Arial"/>
              </w:rPr>
            </w:pPr>
            <w:r w:rsidRPr="001E3005">
              <w:rPr>
                <w:rFonts w:cs="Arial"/>
              </w:rPr>
              <w:t>-7.8%</w:t>
            </w:r>
          </w:p>
        </w:tc>
        <w:tc>
          <w:tcPr>
            <w:tcW w:w="1843" w:type="dxa"/>
            <w:shd w:val="clear" w:color="auto" w:fill="auto"/>
            <w:vAlign w:val="center"/>
          </w:tcPr>
          <w:p w:rsidR="007F277C" w:rsidRPr="001E3005" w:rsidRDefault="0062660D" w:rsidP="007F277C">
            <w:pPr>
              <w:jc w:val="center"/>
              <w:rPr>
                <w:rFonts w:cs="Arial"/>
              </w:rPr>
            </w:pPr>
            <w:r w:rsidRPr="001E3005">
              <w:rPr>
                <w:rFonts w:cs="Arial"/>
              </w:rPr>
              <w:t>5.3%</w:t>
            </w:r>
          </w:p>
        </w:tc>
        <w:tc>
          <w:tcPr>
            <w:tcW w:w="1843" w:type="dxa"/>
            <w:shd w:val="clear" w:color="auto" w:fill="auto"/>
            <w:vAlign w:val="center"/>
          </w:tcPr>
          <w:p w:rsidR="007F277C" w:rsidRPr="001E3005" w:rsidRDefault="0062660D" w:rsidP="007F277C">
            <w:pPr>
              <w:jc w:val="center"/>
              <w:rPr>
                <w:rFonts w:cs="Arial"/>
              </w:rPr>
            </w:pPr>
            <w:r w:rsidRPr="001E3005">
              <w:rPr>
                <w:rFonts w:cs="Arial"/>
              </w:rPr>
              <w:t>-7.8%</w:t>
            </w:r>
          </w:p>
        </w:tc>
        <w:tc>
          <w:tcPr>
            <w:tcW w:w="1984" w:type="dxa"/>
            <w:shd w:val="clear" w:color="auto" w:fill="auto"/>
            <w:vAlign w:val="center"/>
          </w:tcPr>
          <w:p w:rsidR="007F277C" w:rsidRPr="001E3005" w:rsidRDefault="0062660D" w:rsidP="007F277C">
            <w:pPr>
              <w:jc w:val="center"/>
              <w:rPr>
                <w:rFonts w:cs="Arial"/>
              </w:rPr>
            </w:pPr>
            <w:r w:rsidRPr="001E3005">
              <w:rPr>
                <w:rFonts w:cs="Arial"/>
              </w:rPr>
              <w:t>5.3%</w:t>
            </w:r>
          </w:p>
        </w:tc>
        <w:tc>
          <w:tcPr>
            <w:tcW w:w="2127" w:type="dxa"/>
            <w:shd w:val="clear" w:color="auto" w:fill="auto"/>
            <w:vAlign w:val="center"/>
          </w:tcPr>
          <w:p w:rsidR="007F277C" w:rsidRPr="001E3005" w:rsidRDefault="0062660D" w:rsidP="007F277C">
            <w:pPr>
              <w:jc w:val="center"/>
              <w:rPr>
                <w:rFonts w:cs="Arial"/>
              </w:rPr>
            </w:pPr>
            <w:r w:rsidRPr="001E3005">
              <w:rPr>
                <w:rFonts w:cs="Arial"/>
              </w:rPr>
              <w:t>-7.8%</w:t>
            </w:r>
          </w:p>
        </w:tc>
        <w:tc>
          <w:tcPr>
            <w:tcW w:w="2409" w:type="dxa"/>
            <w:shd w:val="clear" w:color="auto" w:fill="auto"/>
            <w:vAlign w:val="center"/>
          </w:tcPr>
          <w:p w:rsidR="007F277C" w:rsidRPr="001E3005" w:rsidRDefault="0062660D" w:rsidP="007F277C">
            <w:pPr>
              <w:jc w:val="center"/>
              <w:rPr>
                <w:rFonts w:cs="Arial"/>
              </w:rPr>
            </w:pPr>
            <w:r w:rsidRPr="001E3005">
              <w:rPr>
                <w:rFonts w:cs="Arial"/>
              </w:rPr>
              <w:t>5.3%</w:t>
            </w:r>
          </w:p>
        </w:tc>
      </w:tr>
      <w:tr w:rsidR="006A2C17" w:rsidTr="007D4064">
        <w:trPr>
          <w:cantSplit/>
        </w:trPr>
        <w:tc>
          <w:tcPr>
            <w:tcW w:w="3333" w:type="dxa"/>
            <w:shd w:val="clear" w:color="auto" w:fill="auto"/>
            <w:vAlign w:val="center"/>
          </w:tcPr>
          <w:p w:rsidR="007F277C" w:rsidRPr="001E3005" w:rsidRDefault="0062660D" w:rsidP="007D4064">
            <w:pPr>
              <w:jc w:val="left"/>
              <w:rPr>
                <w:rFonts w:cs="Arial"/>
              </w:rPr>
            </w:pPr>
            <w:r w:rsidRPr="001E3005">
              <w:rPr>
                <w:rFonts w:cs="Arial"/>
              </w:rPr>
              <w:t>Bowland High Academy Trust</w:t>
            </w:r>
          </w:p>
        </w:tc>
        <w:tc>
          <w:tcPr>
            <w:tcW w:w="1842" w:type="dxa"/>
            <w:shd w:val="clear" w:color="auto" w:fill="auto"/>
            <w:vAlign w:val="center"/>
          </w:tcPr>
          <w:p w:rsidR="007F277C" w:rsidRPr="001E3005" w:rsidRDefault="0062660D" w:rsidP="007F277C">
            <w:pPr>
              <w:jc w:val="center"/>
              <w:rPr>
                <w:rFonts w:cs="Arial"/>
              </w:rPr>
            </w:pPr>
            <w:r w:rsidRPr="001E3005">
              <w:rPr>
                <w:rFonts w:cs="Arial"/>
              </w:rPr>
              <w:t>2.8% plus £16,500</w:t>
            </w:r>
          </w:p>
        </w:tc>
        <w:tc>
          <w:tcPr>
            <w:tcW w:w="1843" w:type="dxa"/>
            <w:shd w:val="clear" w:color="auto" w:fill="auto"/>
            <w:vAlign w:val="center"/>
          </w:tcPr>
          <w:p w:rsidR="007F277C" w:rsidRPr="001E3005" w:rsidRDefault="0062660D" w:rsidP="007F277C">
            <w:pPr>
              <w:jc w:val="center"/>
              <w:rPr>
                <w:rFonts w:cs="Arial"/>
              </w:rPr>
            </w:pPr>
            <w:r w:rsidRPr="001E3005">
              <w:rPr>
                <w:rFonts w:cs="Arial"/>
              </w:rPr>
              <w:t>15.9% plus £16,500</w:t>
            </w:r>
          </w:p>
        </w:tc>
        <w:tc>
          <w:tcPr>
            <w:tcW w:w="1843" w:type="dxa"/>
            <w:shd w:val="clear" w:color="auto" w:fill="auto"/>
            <w:vAlign w:val="center"/>
          </w:tcPr>
          <w:p w:rsidR="007F277C" w:rsidRPr="001E3005" w:rsidRDefault="0062660D" w:rsidP="007F277C">
            <w:pPr>
              <w:jc w:val="center"/>
              <w:rPr>
                <w:rFonts w:cs="Arial"/>
              </w:rPr>
            </w:pPr>
            <w:r w:rsidRPr="001E3005">
              <w:rPr>
                <w:rFonts w:cs="Arial"/>
              </w:rPr>
              <w:t>2.8% plus £22,200</w:t>
            </w:r>
          </w:p>
        </w:tc>
        <w:tc>
          <w:tcPr>
            <w:tcW w:w="1984" w:type="dxa"/>
            <w:shd w:val="clear" w:color="auto" w:fill="auto"/>
            <w:vAlign w:val="center"/>
          </w:tcPr>
          <w:p w:rsidR="007F277C" w:rsidRPr="001E3005" w:rsidRDefault="0062660D" w:rsidP="007F277C">
            <w:pPr>
              <w:jc w:val="center"/>
              <w:rPr>
                <w:rFonts w:cs="Arial"/>
              </w:rPr>
            </w:pPr>
            <w:r w:rsidRPr="001E3005">
              <w:rPr>
                <w:rFonts w:cs="Arial"/>
              </w:rPr>
              <w:t>15.9% plus £22,200</w:t>
            </w:r>
          </w:p>
        </w:tc>
        <w:tc>
          <w:tcPr>
            <w:tcW w:w="2127" w:type="dxa"/>
            <w:shd w:val="clear" w:color="auto" w:fill="auto"/>
            <w:vAlign w:val="center"/>
          </w:tcPr>
          <w:p w:rsidR="007F277C" w:rsidRPr="001E3005" w:rsidRDefault="0062660D" w:rsidP="007F277C">
            <w:pPr>
              <w:jc w:val="center"/>
              <w:rPr>
                <w:rFonts w:cs="Arial"/>
              </w:rPr>
            </w:pPr>
            <w:r w:rsidRPr="001E3005">
              <w:rPr>
                <w:rFonts w:cs="Arial"/>
              </w:rPr>
              <w:t xml:space="preserve">2.8% </w:t>
            </w:r>
            <w:r w:rsidRPr="001E3005">
              <w:rPr>
                <w:rFonts w:cs="Arial"/>
              </w:rPr>
              <w:t>plus £27,900</w:t>
            </w:r>
          </w:p>
        </w:tc>
        <w:tc>
          <w:tcPr>
            <w:tcW w:w="2409" w:type="dxa"/>
            <w:shd w:val="clear" w:color="auto" w:fill="auto"/>
            <w:vAlign w:val="center"/>
          </w:tcPr>
          <w:p w:rsidR="007F277C" w:rsidRPr="001E3005" w:rsidRDefault="0062660D" w:rsidP="007F277C">
            <w:pPr>
              <w:jc w:val="center"/>
              <w:rPr>
                <w:rFonts w:cs="Arial"/>
              </w:rPr>
            </w:pPr>
            <w:r w:rsidRPr="001E3005">
              <w:rPr>
                <w:rFonts w:cs="Arial"/>
              </w:rPr>
              <w:t>15.9% plus £27,900</w:t>
            </w:r>
          </w:p>
        </w:tc>
      </w:tr>
      <w:tr w:rsidR="006A2C17" w:rsidTr="007D4064">
        <w:trPr>
          <w:cantSplit/>
        </w:trPr>
        <w:tc>
          <w:tcPr>
            <w:tcW w:w="3333" w:type="dxa"/>
            <w:shd w:val="clear" w:color="auto" w:fill="auto"/>
            <w:vAlign w:val="center"/>
          </w:tcPr>
          <w:p w:rsidR="007F277C" w:rsidRPr="001E3005" w:rsidRDefault="0062660D" w:rsidP="007D4064">
            <w:pPr>
              <w:jc w:val="left"/>
              <w:rPr>
                <w:rFonts w:cs="Arial"/>
              </w:rPr>
            </w:pPr>
            <w:proofErr w:type="spellStart"/>
            <w:r w:rsidRPr="001E3005">
              <w:rPr>
                <w:rFonts w:cs="Arial"/>
              </w:rPr>
              <w:t>Bulloughs</w:t>
            </w:r>
            <w:proofErr w:type="spellEnd"/>
            <w:r w:rsidRPr="001E3005">
              <w:rPr>
                <w:rFonts w:cs="Arial"/>
              </w:rPr>
              <w:t xml:space="preserve"> (Our Lady)</w:t>
            </w:r>
          </w:p>
        </w:tc>
        <w:tc>
          <w:tcPr>
            <w:tcW w:w="1842" w:type="dxa"/>
            <w:shd w:val="clear" w:color="auto" w:fill="auto"/>
            <w:vAlign w:val="center"/>
          </w:tcPr>
          <w:p w:rsidR="007F277C" w:rsidRPr="001E3005" w:rsidRDefault="0062660D" w:rsidP="007F277C">
            <w:pPr>
              <w:jc w:val="center"/>
              <w:rPr>
                <w:rFonts w:cs="Arial"/>
              </w:rPr>
            </w:pPr>
            <w:r w:rsidRPr="001E3005">
              <w:rPr>
                <w:rFonts w:cs="Arial"/>
              </w:rPr>
              <w:t>4.4%</w:t>
            </w:r>
          </w:p>
        </w:tc>
        <w:tc>
          <w:tcPr>
            <w:tcW w:w="1843" w:type="dxa"/>
            <w:shd w:val="clear" w:color="auto" w:fill="auto"/>
            <w:vAlign w:val="center"/>
          </w:tcPr>
          <w:p w:rsidR="007F277C" w:rsidRPr="001E3005" w:rsidRDefault="0062660D" w:rsidP="007F277C">
            <w:pPr>
              <w:jc w:val="center"/>
              <w:rPr>
                <w:rFonts w:cs="Arial"/>
              </w:rPr>
            </w:pPr>
            <w:r w:rsidRPr="001E3005">
              <w:rPr>
                <w:rFonts w:cs="Arial"/>
              </w:rPr>
              <w:t>17.5%</w:t>
            </w:r>
          </w:p>
        </w:tc>
        <w:tc>
          <w:tcPr>
            <w:tcW w:w="1843" w:type="dxa"/>
            <w:shd w:val="clear" w:color="auto" w:fill="auto"/>
            <w:vAlign w:val="center"/>
          </w:tcPr>
          <w:p w:rsidR="007F277C" w:rsidRPr="001E3005" w:rsidRDefault="0062660D" w:rsidP="007F277C">
            <w:pPr>
              <w:jc w:val="center"/>
              <w:rPr>
                <w:rFonts w:cs="Arial"/>
              </w:rPr>
            </w:pPr>
            <w:r w:rsidRPr="001E3005">
              <w:rPr>
                <w:rFonts w:cs="Arial"/>
              </w:rPr>
              <w:t>4.4%</w:t>
            </w:r>
          </w:p>
        </w:tc>
        <w:tc>
          <w:tcPr>
            <w:tcW w:w="1984" w:type="dxa"/>
            <w:shd w:val="clear" w:color="auto" w:fill="auto"/>
            <w:vAlign w:val="center"/>
          </w:tcPr>
          <w:p w:rsidR="007F277C" w:rsidRPr="001E3005" w:rsidRDefault="0062660D" w:rsidP="007F277C">
            <w:pPr>
              <w:jc w:val="center"/>
              <w:rPr>
                <w:rFonts w:cs="Arial"/>
              </w:rPr>
            </w:pPr>
            <w:r w:rsidRPr="001E3005">
              <w:rPr>
                <w:rFonts w:cs="Arial"/>
              </w:rPr>
              <w:t>17.5%</w:t>
            </w:r>
          </w:p>
        </w:tc>
        <w:tc>
          <w:tcPr>
            <w:tcW w:w="2127" w:type="dxa"/>
            <w:shd w:val="clear" w:color="auto" w:fill="auto"/>
            <w:vAlign w:val="center"/>
          </w:tcPr>
          <w:p w:rsidR="007F277C" w:rsidRPr="001E3005" w:rsidRDefault="0062660D" w:rsidP="007F277C">
            <w:pPr>
              <w:jc w:val="center"/>
              <w:rPr>
                <w:rFonts w:cs="Arial"/>
              </w:rPr>
            </w:pPr>
            <w:r w:rsidRPr="001E3005">
              <w:rPr>
                <w:rFonts w:cs="Arial"/>
              </w:rPr>
              <w:t>4.4%</w:t>
            </w:r>
          </w:p>
        </w:tc>
        <w:tc>
          <w:tcPr>
            <w:tcW w:w="2409" w:type="dxa"/>
            <w:shd w:val="clear" w:color="auto" w:fill="auto"/>
            <w:vAlign w:val="center"/>
          </w:tcPr>
          <w:p w:rsidR="007F277C" w:rsidRPr="001E3005" w:rsidRDefault="0062660D" w:rsidP="007F277C">
            <w:pPr>
              <w:jc w:val="center"/>
              <w:rPr>
                <w:rFonts w:cs="Arial"/>
              </w:rPr>
            </w:pPr>
            <w:r w:rsidRPr="001E3005">
              <w:rPr>
                <w:rFonts w:cs="Arial"/>
              </w:rPr>
              <w:t>17.5%</w:t>
            </w:r>
          </w:p>
        </w:tc>
      </w:tr>
      <w:tr w:rsidR="006A2C17" w:rsidTr="007D4064">
        <w:trPr>
          <w:cantSplit/>
        </w:trPr>
        <w:tc>
          <w:tcPr>
            <w:tcW w:w="3333" w:type="dxa"/>
            <w:shd w:val="clear" w:color="auto" w:fill="auto"/>
            <w:vAlign w:val="center"/>
          </w:tcPr>
          <w:p w:rsidR="007F277C" w:rsidRPr="001E3005" w:rsidRDefault="0062660D" w:rsidP="007D4064">
            <w:pPr>
              <w:jc w:val="left"/>
              <w:rPr>
                <w:rFonts w:cs="Arial"/>
              </w:rPr>
            </w:pPr>
            <w:proofErr w:type="spellStart"/>
            <w:r w:rsidRPr="001E3005">
              <w:rPr>
                <w:rFonts w:cs="Arial"/>
              </w:rPr>
              <w:t>Bulloughs</w:t>
            </w:r>
            <w:proofErr w:type="spellEnd"/>
            <w:r w:rsidRPr="001E3005">
              <w:rPr>
                <w:rFonts w:cs="Arial"/>
              </w:rPr>
              <w:t xml:space="preserve"> (St </w:t>
            </w:r>
            <w:proofErr w:type="spellStart"/>
            <w:r w:rsidRPr="001E3005">
              <w:rPr>
                <w:rFonts w:cs="Arial"/>
              </w:rPr>
              <w:t>Augustines</w:t>
            </w:r>
            <w:proofErr w:type="spellEnd"/>
            <w:r w:rsidRPr="001E3005">
              <w:rPr>
                <w:rFonts w:cs="Arial"/>
              </w:rPr>
              <w:t>)</w:t>
            </w:r>
          </w:p>
        </w:tc>
        <w:tc>
          <w:tcPr>
            <w:tcW w:w="1842" w:type="dxa"/>
            <w:shd w:val="clear" w:color="auto" w:fill="auto"/>
            <w:vAlign w:val="center"/>
          </w:tcPr>
          <w:p w:rsidR="007F277C" w:rsidRPr="001E3005" w:rsidRDefault="0062660D" w:rsidP="007F277C">
            <w:pPr>
              <w:jc w:val="center"/>
              <w:rPr>
                <w:rFonts w:cs="Arial"/>
              </w:rPr>
            </w:pPr>
            <w:r w:rsidRPr="001E3005">
              <w:rPr>
                <w:rFonts w:cs="Arial"/>
              </w:rPr>
              <w:t>0.4%</w:t>
            </w:r>
          </w:p>
        </w:tc>
        <w:tc>
          <w:tcPr>
            <w:tcW w:w="1843" w:type="dxa"/>
            <w:shd w:val="clear" w:color="auto" w:fill="auto"/>
            <w:vAlign w:val="center"/>
          </w:tcPr>
          <w:p w:rsidR="007F277C" w:rsidRPr="001E3005" w:rsidRDefault="0062660D" w:rsidP="007F277C">
            <w:pPr>
              <w:jc w:val="center"/>
              <w:rPr>
                <w:rFonts w:cs="Arial"/>
              </w:rPr>
            </w:pPr>
            <w:r w:rsidRPr="001E3005">
              <w:rPr>
                <w:rFonts w:cs="Arial"/>
              </w:rPr>
              <w:t>13.5%</w:t>
            </w:r>
          </w:p>
        </w:tc>
        <w:tc>
          <w:tcPr>
            <w:tcW w:w="1843" w:type="dxa"/>
            <w:shd w:val="clear" w:color="auto" w:fill="auto"/>
            <w:vAlign w:val="center"/>
          </w:tcPr>
          <w:p w:rsidR="007F277C" w:rsidRPr="001E3005" w:rsidRDefault="0062660D" w:rsidP="007F277C">
            <w:pPr>
              <w:jc w:val="center"/>
              <w:rPr>
                <w:rFonts w:cs="Arial"/>
              </w:rPr>
            </w:pPr>
            <w:r w:rsidRPr="001E3005">
              <w:rPr>
                <w:rFonts w:cs="Arial"/>
              </w:rPr>
              <w:t>0.4%</w:t>
            </w:r>
          </w:p>
        </w:tc>
        <w:tc>
          <w:tcPr>
            <w:tcW w:w="1984" w:type="dxa"/>
            <w:shd w:val="clear" w:color="auto" w:fill="auto"/>
            <w:vAlign w:val="center"/>
          </w:tcPr>
          <w:p w:rsidR="007F277C" w:rsidRPr="001E3005" w:rsidRDefault="0062660D" w:rsidP="007F277C">
            <w:pPr>
              <w:jc w:val="center"/>
              <w:rPr>
                <w:rFonts w:cs="Arial"/>
              </w:rPr>
            </w:pPr>
            <w:r w:rsidRPr="001E3005">
              <w:rPr>
                <w:rFonts w:cs="Arial"/>
              </w:rPr>
              <w:t>13.5%</w:t>
            </w:r>
          </w:p>
        </w:tc>
        <w:tc>
          <w:tcPr>
            <w:tcW w:w="2127" w:type="dxa"/>
            <w:shd w:val="clear" w:color="auto" w:fill="auto"/>
            <w:vAlign w:val="center"/>
          </w:tcPr>
          <w:p w:rsidR="007F277C" w:rsidRPr="001E3005" w:rsidRDefault="0062660D" w:rsidP="007F277C">
            <w:pPr>
              <w:jc w:val="center"/>
              <w:rPr>
                <w:rFonts w:cs="Arial"/>
              </w:rPr>
            </w:pPr>
            <w:r w:rsidRPr="001E3005">
              <w:rPr>
                <w:rFonts w:cs="Arial"/>
              </w:rPr>
              <w:t>0.4%</w:t>
            </w:r>
          </w:p>
        </w:tc>
        <w:tc>
          <w:tcPr>
            <w:tcW w:w="2409" w:type="dxa"/>
            <w:shd w:val="clear" w:color="auto" w:fill="auto"/>
            <w:vAlign w:val="center"/>
          </w:tcPr>
          <w:p w:rsidR="007F277C" w:rsidRPr="001E3005" w:rsidRDefault="0062660D" w:rsidP="007F277C">
            <w:pPr>
              <w:jc w:val="center"/>
              <w:rPr>
                <w:rFonts w:cs="Arial"/>
              </w:rPr>
            </w:pPr>
            <w:r w:rsidRPr="001E3005">
              <w:rPr>
                <w:rFonts w:cs="Arial"/>
              </w:rPr>
              <w:t>13.5%</w:t>
            </w:r>
          </w:p>
        </w:tc>
      </w:tr>
      <w:tr w:rsidR="006A2C17" w:rsidTr="007D4064">
        <w:trPr>
          <w:cantSplit/>
        </w:trPr>
        <w:tc>
          <w:tcPr>
            <w:tcW w:w="3333" w:type="dxa"/>
            <w:shd w:val="clear" w:color="auto" w:fill="auto"/>
            <w:vAlign w:val="center"/>
          </w:tcPr>
          <w:p w:rsidR="007F277C" w:rsidRPr="001E3005" w:rsidRDefault="0062660D" w:rsidP="007D4064">
            <w:pPr>
              <w:jc w:val="left"/>
              <w:rPr>
                <w:rFonts w:cs="Arial"/>
              </w:rPr>
            </w:pPr>
            <w:proofErr w:type="spellStart"/>
            <w:r w:rsidRPr="001E3005">
              <w:rPr>
                <w:rFonts w:cs="Arial"/>
              </w:rPr>
              <w:t>Bulloughs</w:t>
            </w:r>
            <w:proofErr w:type="spellEnd"/>
            <w:r w:rsidRPr="001E3005">
              <w:rPr>
                <w:rFonts w:cs="Arial"/>
              </w:rPr>
              <w:t xml:space="preserve"> (St Mary's)</w:t>
            </w:r>
          </w:p>
        </w:tc>
        <w:tc>
          <w:tcPr>
            <w:tcW w:w="1842" w:type="dxa"/>
            <w:shd w:val="clear" w:color="auto" w:fill="auto"/>
            <w:vAlign w:val="center"/>
          </w:tcPr>
          <w:p w:rsidR="007F277C" w:rsidRPr="001E3005" w:rsidRDefault="0062660D" w:rsidP="007F277C">
            <w:pPr>
              <w:jc w:val="center"/>
              <w:rPr>
                <w:rFonts w:cs="Arial"/>
              </w:rPr>
            </w:pPr>
            <w:r w:rsidRPr="001E3005">
              <w:rPr>
                <w:rFonts w:cs="Arial"/>
              </w:rPr>
              <w:t>-2.9%</w:t>
            </w:r>
          </w:p>
        </w:tc>
        <w:tc>
          <w:tcPr>
            <w:tcW w:w="1843" w:type="dxa"/>
            <w:shd w:val="clear" w:color="auto" w:fill="auto"/>
            <w:vAlign w:val="center"/>
          </w:tcPr>
          <w:p w:rsidR="007F277C" w:rsidRPr="001E3005" w:rsidRDefault="0062660D" w:rsidP="007F277C">
            <w:pPr>
              <w:jc w:val="center"/>
              <w:rPr>
                <w:rFonts w:cs="Arial"/>
              </w:rPr>
            </w:pPr>
            <w:r w:rsidRPr="001E3005">
              <w:rPr>
                <w:rFonts w:cs="Arial"/>
              </w:rPr>
              <w:t>10.2%</w:t>
            </w:r>
          </w:p>
        </w:tc>
        <w:tc>
          <w:tcPr>
            <w:tcW w:w="1843" w:type="dxa"/>
            <w:shd w:val="clear" w:color="auto" w:fill="auto"/>
            <w:vAlign w:val="center"/>
          </w:tcPr>
          <w:p w:rsidR="007F277C" w:rsidRPr="001E3005" w:rsidRDefault="0062660D" w:rsidP="007F277C">
            <w:pPr>
              <w:jc w:val="center"/>
              <w:rPr>
                <w:rFonts w:cs="Arial"/>
              </w:rPr>
            </w:pPr>
            <w:r w:rsidRPr="001E3005">
              <w:rPr>
                <w:rFonts w:cs="Arial"/>
              </w:rPr>
              <w:t>-2.9%</w:t>
            </w:r>
          </w:p>
        </w:tc>
        <w:tc>
          <w:tcPr>
            <w:tcW w:w="1984" w:type="dxa"/>
            <w:shd w:val="clear" w:color="auto" w:fill="auto"/>
            <w:vAlign w:val="center"/>
          </w:tcPr>
          <w:p w:rsidR="007F277C" w:rsidRPr="001E3005" w:rsidRDefault="0062660D" w:rsidP="007F277C">
            <w:pPr>
              <w:jc w:val="center"/>
              <w:rPr>
                <w:rFonts w:cs="Arial"/>
              </w:rPr>
            </w:pPr>
            <w:r w:rsidRPr="001E3005">
              <w:rPr>
                <w:rFonts w:cs="Arial"/>
              </w:rPr>
              <w:t>10.2%</w:t>
            </w:r>
          </w:p>
        </w:tc>
        <w:tc>
          <w:tcPr>
            <w:tcW w:w="2127" w:type="dxa"/>
            <w:shd w:val="clear" w:color="auto" w:fill="auto"/>
            <w:vAlign w:val="center"/>
          </w:tcPr>
          <w:p w:rsidR="007F277C" w:rsidRPr="001E3005" w:rsidRDefault="0062660D" w:rsidP="007F277C">
            <w:pPr>
              <w:jc w:val="center"/>
              <w:rPr>
                <w:rFonts w:cs="Arial"/>
              </w:rPr>
            </w:pPr>
            <w:r w:rsidRPr="001E3005">
              <w:rPr>
                <w:rFonts w:cs="Arial"/>
              </w:rPr>
              <w:t>-2.9%</w:t>
            </w:r>
          </w:p>
        </w:tc>
        <w:tc>
          <w:tcPr>
            <w:tcW w:w="2409" w:type="dxa"/>
            <w:shd w:val="clear" w:color="auto" w:fill="auto"/>
            <w:vAlign w:val="center"/>
          </w:tcPr>
          <w:p w:rsidR="007F277C" w:rsidRPr="001E3005" w:rsidRDefault="0062660D" w:rsidP="007F277C">
            <w:pPr>
              <w:jc w:val="center"/>
              <w:rPr>
                <w:rFonts w:cs="Arial"/>
              </w:rPr>
            </w:pPr>
            <w:r w:rsidRPr="001E3005">
              <w:rPr>
                <w:rFonts w:cs="Arial"/>
              </w:rPr>
              <w:t>10.2%</w:t>
            </w:r>
          </w:p>
        </w:tc>
      </w:tr>
      <w:tr w:rsidR="006A2C17" w:rsidTr="007D4064">
        <w:trPr>
          <w:cantSplit/>
        </w:trPr>
        <w:tc>
          <w:tcPr>
            <w:tcW w:w="3333" w:type="dxa"/>
            <w:shd w:val="clear" w:color="auto" w:fill="auto"/>
            <w:vAlign w:val="center"/>
          </w:tcPr>
          <w:p w:rsidR="007F277C" w:rsidRPr="001E3005" w:rsidRDefault="0062660D" w:rsidP="001E3005">
            <w:pPr>
              <w:jc w:val="left"/>
              <w:rPr>
                <w:rFonts w:cs="Arial"/>
              </w:rPr>
            </w:pPr>
            <w:proofErr w:type="spellStart"/>
            <w:r w:rsidRPr="001E3005">
              <w:rPr>
                <w:rFonts w:cs="Arial"/>
              </w:rPr>
              <w:t>Bulloughs</w:t>
            </w:r>
            <w:proofErr w:type="spellEnd"/>
            <w:r w:rsidRPr="001E3005">
              <w:rPr>
                <w:rFonts w:cs="Arial"/>
              </w:rPr>
              <w:t xml:space="preserve"> (Whalley Primary)</w:t>
            </w:r>
          </w:p>
        </w:tc>
        <w:tc>
          <w:tcPr>
            <w:tcW w:w="1842" w:type="dxa"/>
            <w:shd w:val="clear" w:color="auto" w:fill="auto"/>
            <w:vAlign w:val="center"/>
          </w:tcPr>
          <w:p w:rsidR="007F277C" w:rsidRPr="001E3005" w:rsidRDefault="0062660D" w:rsidP="007F277C">
            <w:pPr>
              <w:jc w:val="center"/>
              <w:rPr>
                <w:rFonts w:cs="Arial"/>
              </w:rPr>
            </w:pPr>
            <w:r w:rsidRPr="001E3005">
              <w:rPr>
                <w:rFonts w:cs="Arial"/>
              </w:rPr>
              <w:t>2.4%</w:t>
            </w:r>
          </w:p>
        </w:tc>
        <w:tc>
          <w:tcPr>
            <w:tcW w:w="1843" w:type="dxa"/>
            <w:shd w:val="clear" w:color="auto" w:fill="auto"/>
            <w:vAlign w:val="center"/>
          </w:tcPr>
          <w:p w:rsidR="007F277C" w:rsidRPr="001E3005" w:rsidRDefault="0062660D" w:rsidP="007F277C">
            <w:pPr>
              <w:jc w:val="center"/>
              <w:rPr>
                <w:rFonts w:cs="Arial"/>
              </w:rPr>
            </w:pPr>
            <w:r w:rsidRPr="001E3005">
              <w:rPr>
                <w:rFonts w:cs="Arial"/>
              </w:rPr>
              <w:t>15.5%</w:t>
            </w:r>
          </w:p>
        </w:tc>
        <w:tc>
          <w:tcPr>
            <w:tcW w:w="1843" w:type="dxa"/>
            <w:shd w:val="clear" w:color="auto" w:fill="auto"/>
            <w:vAlign w:val="center"/>
          </w:tcPr>
          <w:p w:rsidR="007F277C" w:rsidRPr="001E3005" w:rsidRDefault="0062660D" w:rsidP="007F277C">
            <w:pPr>
              <w:jc w:val="center"/>
              <w:rPr>
                <w:rFonts w:cs="Arial"/>
              </w:rPr>
            </w:pPr>
            <w:r w:rsidRPr="001E3005">
              <w:rPr>
                <w:rFonts w:cs="Arial"/>
              </w:rPr>
              <w:t>3.0%</w:t>
            </w:r>
          </w:p>
        </w:tc>
        <w:tc>
          <w:tcPr>
            <w:tcW w:w="1984" w:type="dxa"/>
            <w:shd w:val="clear" w:color="auto" w:fill="auto"/>
            <w:vAlign w:val="center"/>
          </w:tcPr>
          <w:p w:rsidR="007F277C" w:rsidRPr="001E3005" w:rsidRDefault="0062660D" w:rsidP="007F277C">
            <w:pPr>
              <w:jc w:val="center"/>
              <w:rPr>
                <w:rFonts w:cs="Arial"/>
              </w:rPr>
            </w:pPr>
            <w:r w:rsidRPr="001E3005">
              <w:rPr>
                <w:rFonts w:cs="Arial"/>
              </w:rPr>
              <w:t>16.1%</w:t>
            </w:r>
          </w:p>
        </w:tc>
        <w:tc>
          <w:tcPr>
            <w:tcW w:w="2127" w:type="dxa"/>
            <w:shd w:val="clear" w:color="auto" w:fill="auto"/>
            <w:vAlign w:val="center"/>
          </w:tcPr>
          <w:p w:rsidR="007F277C" w:rsidRPr="001E3005" w:rsidRDefault="0062660D" w:rsidP="007F277C">
            <w:pPr>
              <w:jc w:val="center"/>
              <w:rPr>
                <w:rFonts w:cs="Arial"/>
              </w:rPr>
            </w:pPr>
            <w:r w:rsidRPr="001E3005">
              <w:rPr>
                <w:rFonts w:cs="Arial"/>
              </w:rPr>
              <w:t>3.7%</w:t>
            </w:r>
          </w:p>
        </w:tc>
        <w:tc>
          <w:tcPr>
            <w:tcW w:w="2409" w:type="dxa"/>
            <w:shd w:val="clear" w:color="auto" w:fill="auto"/>
            <w:vAlign w:val="center"/>
          </w:tcPr>
          <w:p w:rsidR="007F277C" w:rsidRPr="001E3005" w:rsidRDefault="0062660D" w:rsidP="007F277C">
            <w:pPr>
              <w:jc w:val="center"/>
              <w:rPr>
                <w:rFonts w:cs="Arial"/>
              </w:rPr>
            </w:pPr>
            <w:r w:rsidRPr="001E3005">
              <w:rPr>
                <w:rFonts w:cs="Arial"/>
              </w:rPr>
              <w:t>16.8%</w:t>
            </w:r>
          </w:p>
        </w:tc>
      </w:tr>
      <w:tr w:rsidR="006A2C17" w:rsidTr="007D4064">
        <w:trPr>
          <w:cantSplit/>
        </w:trPr>
        <w:tc>
          <w:tcPr>
            <w:tcW w:w="3333" w:type="dxa"/>
            <w:shd w:val="clear" w:color="auto" w:fill="auto"/>
            <w:vAlign w:val="center"/>
          </w:tcPr>
          <w:p w:rsidR="007F277C" w:rsidRPr="001E3005" w:rsidRDefault="0062660D" w:rsidP="007D4064">
            <w:pPr>
              <w:jc w:val="left"/>
              <w:rPr>
                <w:rFonts w:cs="Arial"/>
              </w:rPr>
            </w:pPr>
            <w:proofErr w:type="spellStart"/>
            <w:r w:rsidRPr="001E3005">
              <w:rPr>
                <w:rFonts w:cs="Arial"/>
              </w:rPr>
              <w:t>Bulloughs</w:t>
            </w:r>
            <w:proofErr w:type="spellEnd"/>
            <w:r w:rsidRPr="001E3005">
              <w:rPr>
                <w:rFonts w:cs="Arial"/>
              </w:rPr>
              <w:t xml:space="preserve"> Cleaning (</w:t>
            </w:r>
            <w:r>
              <w:rPr>
                <w:rFonts w:cs="Arial"/>
              </w:rPr>
              <w:t>Our Lady)</w:t>
            </w:r>
          </w:p>
        </w:tc>
        <w:tc>
          <w:tcPr>
            <w:tcW w:w="1842" w:type="dxa"/>
            <w:shd w:val="clear" w:color="auto" w:fill="auto"/>
            <w:vAlign w:val="center"/>
          </w:tcPr>
          <w:p w:rsidR="007F277C" w:rsidRPr="001E3005" w:rsidRDefault="0062660D" w:rsidP="007F277C">
            <w:pPr>
              <w:jc w:val="center"/>
              <w:rPr>
                <w:rFonts w:cs="Arial"/>
              </w:rPr>
            </w:pPr>
            <w:r w:rsidRPr="001E3005">
              <w:rPr>
                <w:rFonts w:cs="Arial"/>
              </w:rPr>
              <w:t>6.0%</w:t>
            </w:r>
          </w:p>
        </w:tc>
        <w:tc>
          <w:tcPr>
            <w:tcW w:w="1843" w:type="dxa"/>
            <w:shd w:val="clear" w:color="auto" w:fill="auto"/>
            <w:vAlign w:val="center"/>
          </w:tcPr>
          <w:p w:rsidR="007F277C" w:rsidRPr="001E3005" w:rsidRDefault="0062660D" w:rsidP="007F277C">
            <w:pPr>
              <w:jc w:val="center"/>
              <w:rPr>
                <w:rFonts w:cs="Arial"/>
              </w:rPr>
            </w:pPr>
            <w:r w:rsidRPr="001E3005">
              <w:rPr>
                <w:rFonts w:cs="Arial"/>
              </w:rPr>
              <w:t>19.1%</w:t>
            </w:r>
          </w:p>
        </w:tc>
        <w:tc>
          <w:tcPr>
            <w:tcW w:w="1843" w:type="dxa"/>
            <w:shd w:val="clear" w:color="auto" w:fill="auto"/>
            <w:vAlign w:val="center"/>
          </w:tcPr>
          <w:p w:rsidR="007F277C" w:rsidRPr="001E3005" w:rsidRDefault="0062660D" w:rsidP="007F277C">
            <w:pPr>
              <w:jc w:val="center"/>
              <w:rPr>
                <w:rFonts w:cs="Arial"/>
              </w:rPr>
            </w:pPr>
            <w:r w:rsidRPr="001E3005">
              <w:rPr>
                <w:rFonts w:cs="Arial"/>
              </w:rPr>
              <w:t>6.0%</w:t>
            </w:r>
          </w:p>
        </w:tc>
        <w:tc>
          <w:tcPr>
            <w:tcW w:w="1984" w:type="dxa"/>
            <w:shd w:val="clear" w:color="auto" w:fill="auto"/>
            <w:vAlign w:val="center"/>
          </w:tcPr>
          <w:p w:rsidR="007F277C" w:rsidRPr="001E3005" w:rsidRDefault="0062660D" w:rsidP="007F277C">
            <w:pPr>
              <w:jc w:val="center"/>
              <w:rPr>
                <w:rFonts w:cs="Arial"/>
              </w:rPr>
            </w:pPr>
            <w:r w:rsidRPr="001E3005">
              <w:rPr>
                <w:rFonts w:cs="Arial"/>
              </w:rPr>
              <w:t>19.1%</w:t>
            </w:r>
          </w:p>
        </w:tc>
        <w:tc>
          <w:tcPr>
            <w:tcW w:w="2127" w:type="dxa"/>
            <w:shd w:val="clear" w:color="auto" w:fill="auto"/>
            <w:vAlign w:val="center"/>
          </w:tcPr>
          <w:p w:rsidR="007F277C" w:rsidRPr="001E3005" w:rsidRDefault="0062660D" w:rsidP="007F277C">
            <w:pPr>
              <w:jc w:val="center"/>
              <w:rPr>
                <w:rFonts w:cs="Arial"/>
              </w:rPr>
            </w:pPr>
            <w:r w:rsidRPr="001E3005">
              <w:rPr>
                <w:rFonts w:cs="Arial"/>
              </w:rPr>
              <w:t>6.0%</w:t>
            </w:r>
          </w:p>
        </w:tc>
        <w:tc>
          <w:tcPr>
            <w:tcW w:w="2409" w:type="dxa"/>
            <w:shd w:val="clear" w:color="auto" w:fill="auto"/>
            <w:vAlign w:val="center"/>
          </w:tcPr>
          <w:p w:rsidR="007F277C" w:rsidRPr="001E3005" w:rsidRDefault="0062660D" w:rsidP="007F277C">
            <w:pPr>
              <w:jc w:val="center"/>
              <w:rPr>
                <w:rFonts w:cs="Arial"/>
              </w:rPr>
            </w:pPr>
            <w:r w:rsidRPr="001E3005">
              <w:rPr>
                <w:rFonts w:cs="Arial"/>
              </w:rPr>
              <w:t>19.1%</w:t>
            </w:r>
          </w:p>
        </w:tc>
      </w:tr>
      <w:tr w:rsidR="006A2C17" w:rsidTr="007D4064">
        <w:trPr>
          <w:cantSplit/>
        </w:trPr>
        <w:tc>
          <w:tcPr>
            <w:tcW w:w="3333" w:type="dxa"/>
            <w:shd w:val="clear" w:color="auto" w:fill="auto"/>
            <w:vAlign w:val="center"/>
          </w:tcPr>
          <w:p w:rsidR="007F277C" w:rsidRPr="001E3005" w:rsidRDefault="0062660D" w:rsidP="001E3005">
            <w:pPr>
              <w:jc w:val="left"/>
              <w:rPr>
                <w:rFonts w:cs="Arial"/>
              </w:rPr>
            </w:pPr>
            <w:r w:rsidRPr="001E3005">
              <w:rPr>
                <w:rFonts w:cs="Arial"/>
              </w:rPr>
              <w:t>Burnley Borough Council</w:t>
            </w:r>
          </w:p>
        </w:tc>
        <w:tc>
          <w:tcPr>
            <w:tcW w:w="1842" w:type="dxa"/>
            <w:shd w:val="clear" w:color="auto" w:fill="auto"/>
            <w:vAlign w:val="center"/>
          </w:tcPr>
          <w:p w:rsidR="007F277C" w:rsidRPr="001E3005" w:rsidRDefault="0062660D" w:rsidP="001E3005">
            <w:pPr>
              <w:jc w:val="left"/>
              <w:rPr>
                <w:rFonts w:cs="Arial"/>
              </w:rPr>
            </w:pPr>
            <w:r w:rsidRPr="001E3005">
              <w:rPr>
                <w:rFonts w:cs="Arial"/>
              </w:rPr>
              <w:t>0.2% plus £1,365,500</w:t>
            </w:r>
          </w:p>
        </w:tc>
        <w:tc>
          <w:tcPr>
            <w:tcW w:w="1843" w:type="dxa"/>
            <w:shd w:val="clear" w:color="auto" w:fill="auto"/>
            <w:vAlign w:val="center"/>
          </w:tcPr>
          <w:p w:rsidR="007F277C" w:rsidRPr="001E3005" w:rsidRDefault="0062660D" w:rsidP="001E3005">
            <w:pPr>
              <w:jc w:val="left"/>
              <w:rPr>
                <w:rFonts w:cs="Arial"/>
              </w:rPr>
            </w:pPr>
            <w:r w:rsidRPr="001E3005">
              <w:rPr>
                <w:rFonts w:cs="Arial"/>
              </w:rPr>
              <w:t>13.3% plus £1,365,500</w:t>
            </w:r>
          </w:p>
        </w:tc>
        <w:tc>
          <w:tcPr>
            <w:tcW w:w="1843" w:type="dxa"/>
            <w:shd w:val="clear" w:color="auto" w:fill="auto"/>
            <w:vAlign w:val="center"/>
          </w:tcPr>
          <w:p w:rsidR="007F277C" w:rsidRPr="001E3005" w:rsidRDefault="0062660D" w:rsidP="001E3005">
            <w:pPr>
              <w:jc w:val="left"/>
              <w:rPr>
                <w:rFonts w:cs="Arial"/>
              </w:rPr>
            </w:pPr>
            <w:r w:rsidRPr="001E3005">
              <w:rPr>
                <w:rFonts w:cs="Arial"/>
              </w:rPr>
              <w:t>0.2% plus £1,421,500</w:t>
            </w:r>
          </w:p>
        </w:tc>
        <w:tc>
          <w:tcPr>
            <w:tcW w:w="1984" w:type="dxa"/>
            <w:shd w:val="clear" w:color="auto" w:fill="auto"/>
            <w:vAlign w:val="center"/>
          </w:tcPr>
          <w:p w:rsidR="007F277C" w:rsidRPr="001E3005" w:rsidRDefault="0062660D" w:rsidP="001E3005">
            <w:pPr>
              <w:jc w:val="left"/>
              <w:rPr>
                <w:rFonts w:cs="Arial"/>
              </w:rPr>
            </w:pPr>
            <w:r w:rsidRPr="001E3005">
              <w:rPr>
                <w:rFonts w:cs="Arial"/>
              </w:rPr>
              <w:t>13.3% plus £1,421,500</w:t>
            </w:r>
          </w:p>
        </w:tc>
        <w:tc>
          <w:tcPr>
            <w:tcW w:w="2127" w:type="dxa"/>
            <w:shd w:val="clear" w:color="auto" w:fill="auto"/>
            <w:vAlign w:val="center"/>
          </w:tcPr>
          <w:p w:rsidR="007F277C" w:rsidRPr="001E3005" w:rsidRDefault="0062660D" w:rsidP="001E3005">
            <w:pPr>
              <w:jc w:val="left"/>
              <w:rPr>
                <w:rFonts w:cs="Arial"/>
              </w:rPr>
            </w:pPr>
            <w:r w:rsidRPr="001E3005">
              <w:rPr>
                <w:rFonts w:cs="Arial"/>
              </w:rPr>
              <w:t>0.2% plus £1,479,800</w:t>
            </w:r>
          </w:p>
        </w:tc>
        <w:tc>
          <w:tcPr>
            <w:tcW w:w="2409" w:type="dxa"/>
            <w:shd w:val="clear" w:color="auto" w:fill="auto"/>
            <w:vAlign w:val="center"/>
          </w:tcPr>
          <w:p w:rsidR="007F277C" w:rsidRPr="001E3005" w:rsidRDefault="0062660D" w:rsidP="001E3005">
            <w:pPr>
              <w:jc w:val="left"/>
              <w:rPr>
                <w:rFonts w:cs="Arial"/>
              </w:rPr>
            </w:pPr>
            <w:r w:rsidRPr="001E3005">
              <w:rPr>
                <w:rFonts w:cs="Arial"/>
              </w:rPr>
              <w:t>13.3% plus £1,479,800</w:t>
            </w:r>
          </w:p>
        </w:tc>
      </w:tr>
      <w:tr w:rsidR="006A2C17" w:rsidTr="007D4064">
        <w:trPr>
          <w:cantSplit/>
        </w:trPr>
        <w:tc>
          <w:tcPr>
            <w:tcW w:w="3333" w:type="dxa"/>
            <w:shd w:val="clear" w:color="auto" w:fill="auto"/>
            <w:vAlign w:val="center"/>
          </w:tcPr>
          <w:p w:rsidR="007F277C" w:rsidRPr="001E3005" w:rsidRDefault="0062660D" w:rsidP="001E3005">
            <w:pPr>
              <w:jc w:val="left"/>
              <w:rPr>
                <w:rFonts w:cs="Arial"/>
              </w:rPr>
            </w:pPr>
            <w:r w:rsidRPr="001E3005">
              <w:rPr>
                <w:rFonts w:cs="Arial"/>
              </w:rPr>
              <w:t>Burnley College</w:t>
            </w:r>
          </w:p>
        </w:tc>
        <w:tc>
          <w:tcPr>
            <w:tcW w:w="1842" w:type="dxa"/>
            <w:shd w:val="clear" w:color="auto" w:fill="auto"/>
            <w:vAlign w:val="center"/>
          </w:tcPr>
          <w:p w:rsidR="007F277C" w:rsidRPr="001E3005" w:rsidRDefault="0062660D" w:rsidP="001E3005">
            <w:pPr>
              <w:jc w:val="left"/>
              <w:rPr>
                <w:rFonts w:cs="Arial"/>
              </w:rPr>
            </w:pPr>
            <w:r w:rsidRPr="001E3005">
              <w:rPr>
                <w:rFonts w:cs="Arial"/>
              </w:rPr>
              <w:t xml:space="preserve">-0.4% </w:t>
            </w:r>
            <w:r w:rsidRPr="001E3005">
              <w:rPr>
                <w:rFonts w:cs="Arial"/>
              </w:rPr>
              <w:t>plus £84,900</w:t>
            </w:r>
          </w:p>
        </w:tc>
        <w:tc>
          <w:tcPr>
            <w:tcW w:w="1843" w:type="dxa"/>
            <w:shd w:val="clear" w:color="auto" w:fill="auto"/>
            <w:vAlign w:val="center"/>
          </w:tcPr>
          <w:p w:rsidR="007F277C" w:rsidRPr="001E3005" w:rsidRDefault="0062660D" w:rsidP="001E3005">
            <w:pPr>
              <w:jc w:val="left"/>
              <w:rPr>
                <w:rFonts w:cs="Arial"/>
              </w:rPr>
            </w:pPr>
            <w:r w:rsidRPr="001E3005">
              <w:rPr>
                <w:rFonts w:cs="Arial"/>
              </w:rPr>
              <w:t>12.7% plus £84,900</w:t>
            </w:r>
          </w:p>
        </w:tc>
        <w:tc>
          <w:tcPr>
            <w:tcW w:w="1843" w:type="dxa"/>
            <w:shd w:val="clear" w:color="auto" w:fill="auto"/>
            <w:vAlign w:val="center"/>
          </w:tcPr>
          <w:p w:rsidR="007F277C" w:rsidRPr="001E3005" w:rsidRDefault="0062660D" w:rsidP="001E3005">
            <w:pPr>
              <w:jc w:val="left"/>
              <w:rPr>
                <w:rFonts w:cs="Arial"/>
              </w:rPr>
            </w:pPr>
            <w:r w:rsidRPr="001E3005">
              <w:rPr>
                <w:rFonts w:cs="Arial"/>
              </w:rPr>
              <w:t>-0.4% plus £111,200</w:t>
            </w:r>
          </w:p>
        </w:tc>
        <w:tc>
          <w:tcPr>
            <w:tcW w:w="1984" w:type="dxa"/>
            <w:shd w:val="clear" w:color="auto" w:fill="auto"/>
            <w:vAlign w:val="center"/>
          </w:tcPr>
          <w:p w:rsidR="007F277C" w:rsidRPr="001E3005" w:rsidRDefault="0062660D" w:rsidP="001E3005">
            <w:pPr>
              <w:jc w:val="left"/>
              <w:rPr>
                <w:rFonts w:cs="Arial"/>
              </w:rPr>
            </w:pPr>
            <w:r w:rsidRPr="001E3005">
              <w:rPr>
                <w:rFonts w:cs="Arial"/>
              </w:rPr>
              <w:t>12.7% plus £111,200</w:t>
            </w:r>
          </w:p>
        </w:tc>
        <w:tc>
          <w:tcPr>
            <w:tcW w:w="2127" w:type="dxa"/>
            <w:shd w:val="clear" w:color="auto" w:fill="auto"/>
            <w:vAlign w:val="center"/>
          </w:tcPr>
          <w:p w:rsidR="007F277C" w:rsidRPr="001E3005" w:rsidRDefault="0062660D" w:rsidP="001E3005">
            <w:pPr>
              <w:jc w:val="left"/>
              <w:rPr>
                <w:rFonts w:cs="Arial"/>
              </w:rPr>
            </w:pPr>
            <w:r w:rsidRPr="001E3005">
              <w:rPr>
                <w:rFonts w:cs="Arial"/>
              </w:rPr>
              <w:t>-0.4% plus £137,600</w:t>
            </w:r>
          </w:p>
        </w:tc>
        <w:tc>
          <w:tcPr>
            <w:tcW w:w="2409" w:type="dxa"/>
            <w:shd w:val="clear" w:color="auto" w:fill="auto"/>
            <w:vAlign w:val="center"/>
          </w:tcPr>
          <w:p w:rsidR="007F277C" w:rsidRPr="001E3005" w:rsidRDefault="0062660D" w:rsidP="001E3005">
            <w:pPr>
              <w:jc w:val="left"/>
              <w:rPr>
                <w:rFonts w:cs="Arial"/>
              </w:rPr>
            </w:pPr>
            <w:r w:rsidRPr="001E3005">
              <w:rPr>
                <w:rFonts w:cs="Arial"/>
              </w:rPr>
              <w:t>12.7% plus £137,600</w:t>
            </w:r>
          </w:p>
        </w:tc>
      </w:tr>
      <w:tr w:rsidR="006A2C17" w:rsidTr="007D4064">
        <w:trPr>
          <w:cantSplit/>
        </w:trPr>
        <w:tc>
          <w:tcPr>
            <w:tcW w:w="3333" w:type="dxa"/>
            <w:shd w:val="clear" w:color="auto" w:fill="auto"/>
            <w:vAlign w:val="center"/>
          </w:tcPr>
          <w:p w:rsidR="007F277C" w:rsidRPr="001E3005" w:rsidRDefault="0062660D" w:rsidP="001E3005">
            <w:pPr>
              <w:jc w:val="left"/>
              <w:rPr>
                <w:rFonts w:cs="Arial"/>
              </w:rPr>
            </w:pPr>
            <w:r w:rsidRPr="001E3005">
              <w:rPr>
                <w:rFonts w:cs="Arial"/>
              </w:rPr>
              <w:t>Burscough Parish Council</w:t>
            </w:r>
          </w:p>
        </w:tc>
        <w:tc>
          <w:tcPr>
            <w:tcW w:w="1842" w:type="dxa"/>
            <w:shd w:val="clear" w:color="auto" w:fill="auto"/>
            <w:vAlign w:val="center"/>
          </w:tcPr>
          <w:p w:rsidR="007F277C" w:rsidRPr="001E3005" w:rsidRDefault="0062660D" w:rsidP="001E3005">
            <w:pPr>
              <w:jc w:val="left"/>
              <w:rPr>
                <w:rFonts w:cs="Arial"/>
              </w:rPr>
            </w:pPr>
            <w:r w:rsidRPr="001E3005">
              <w:rPr>
                <w:rFonts w:cs="Arial"/>
              </w:rPr>
              <w:t>TBC</w:t>
            </w:r>
          </w:p>
        </w:tc>
        <w:tc>
          <w:tcPr>
            <w:tcW w:w="1843" w:type="dxa"/>
            <w:shd w:val="clear" w:color="auto" w:fill="auto"/>
            <w:vAlign w:val="center"/>
          </w:tcPr>
          <w:p w:rsidR="007F277C" w:rsidRPr="001E3005" w:rsidRDefault="0062660D" w:rsidP="001E3005">
            <w:pPr>
              <w:jc w:val="left"/>
              <w:rPr>
                <w:rFonts w:cs="Arial"/>
              </w:rPr>
            </w:pPr>
            <w:r w:rsidRPr="001E3005">
              <w:rPr>
                <w:rFonts w:cs="Arial"/>
              </w:rPr>
              <w:t>TBC</w:t>
            </w:r>
          </w:p>
        </w:tc>
        <w:tc>
          <w:tcPr>
            <w:tcW w:w="1843" w:type="dxa"/>
            <w:shd w:val="clear" w:color="auto" w:fill="auto"/>
            <w:vAlign w:val="center"/>
          </w:tcPr>
          <w:p w:rsidR="007F277C" w:rsidRPr="001E3005" w:rsidRDefault="0062660D" w:rsidP="001E3005">
            <w:pPr>
              <w:jc w:val="left"/>
              <w:rPr>
                <w:rFonts w:cs="Arial"/>
              </w:rPr>
            </w:pPr>
            <w:r w:rsidRPr="001E3005">
              <w:rPr>
                <w:rFonts w:cs="Arial"/>
              </w:rPr>
              <w:t>TBC</w:t>
            </w:r>
          </w:p>
        </w:tc>
        <w:tc>
          <w:tcPr>
            <w:tcW w:w="1984" w:type="dxa"/>
            <w:shd w:val="clear" w:color="auto" w:fill="auto"/>
            <w:vAlign w:val="center"/>
          </w:tcPr>
          <w:p w:rsidR="007F277C" w:rsidRPr="001E3005" w:rsidRDefault="0062660D" w:rsidP="001E3005">
            <w:pPr>
              <w:jc w:val="left"/>
              <w:rPr>
                <w:rFonts w:cs="Arial"/>
              </w:rPr>
            </w:pPr>
            <w:r w:rsidRPr="001E3005">
              <w:rPr>
                <w:rFonts w:cs="Arial"/>
              </w:rPr>
              <w:t>TBC</w:t>
            </w:r>
          </w:p>
        </w:tc>
        <w:tc>
          <w:tcPr>
            <w:tcW w:w="2127" w:type="dxa"/>
            <w:shd w:val="clear" w:color="auto" w:fill="auto"/>
            <w:vAlign w:val="center"/>
          </w:tcPr>
          <w:p w:rsidR="007F277C" w:rsidRPr="001E3005" w:rsidRDefault="0062660D" w:rsidP="001E3005">
            <w:pPr>
              <w:jc w:val="left"/>
              <w:rPr>
                <w:rFonts w:cs="Arial"/>
              </w:rPr>
            </w:pPr>
            <w:r w:rsidRPr="001E3005">
              <w:rPr>
                <w:rFonts w:cs="Arial"/>
              </w:rPr>
              <w:t>TBC</w:t>
            </w:r>
          </w:p>
        </w:tc>
        <w:tc>
          <w:tcPr>
            <w:tcW w:w="2409" w:type="dxa"/>
            <w:shd w:val="clear" w:color="auto" w:fill="auto"/>
            <w:vAlign w:val="center"/>
          </w:tcPr>
          <w:p w:rsidR="007F277C" w:rsidRPr="001E3005" w:rsidRDefault="0062660D" w:rsidP="001E3005">
            <w:pPr>
              <w:jc w:val="left"/>
              <w:rPr>
                <w:rFonts w:cs="Arial"/>
              </w:rPr>
            </w:pPr>
            <w:r w:rsidRPr="001E3005">
              <w:rPr>
                <w:rFonts w:cs="Arial"/>
              </w:rPr>
              <w:t>TBC</w:t>
            </w:r>
          </w:p>
        </w:tc>
      </w:tr>
      <w:tr w:rsidR="006A2C17" w:rsidTr="007D4064">
        <w:trPr>
          <w:cantSplit/>
        </w:trPr>
        <w:tc>
          <w:tcPr>
            <w:tcW w:w="3333" w:type="dxa"/>
            <w:shd w:val="clear" w:color="auto" w:fill="auto"/>
            <w:vAlign w:val="center"/>
          </w:tcPr>
          <w:p w:rsidR="007F277C" w:rsidRPr="001E3005" w:rsidRDefault="0062660D" w:rsidP="001E3005">
            <w:pPr>
              <w:jc w:val="left"/>
              <w:rPr>
                <w:rFonts w:cs="Arial"/>
              </w:rPr>
            </w:pPr>
            <w:r w:rsidRPr="001E3005">
              <w:rPr>
                <w:rFonts w:cs="Arial"/>
              </w:rPr>
              <w:t>Calico Housing Ltd</w:t>
            </w:r>
          </w:p>
        </w:tc>
        <w:tc>
          <w:tcPr>
            <w:tcW w:w="1842" w:type="dxa"/>
            <w:shd w:val="clear" w:color="auto" w:fill="auto"/>
            <w:vAlign w:val="center"/>
          </w:tcPr>
          <w:p w:rsidR="007F277C" w:rsidRPr="001E3005" w:rsidRDefault="0062660D" w:rsidP="001E3005">
            <w:pPr>
              <w:jc w:val="left"/>
              <w:rPr>
                <w:rFonts w:cs="Arial"/>
              </w:rPr>
            </w:pPr>
            <w:r w:rsidRPr="001E3005">
              <w:rPr>
                <w:rFonts w:cs="Arial"/>
              </w:rPr>
              <w:t>-0.8% plus £223,600</w:t>
            </w:r>
          </w:p>
        </w:tc>
        <w:tc>
          <w:tcPr>
            <w:tcW w:w="1843" w:type="dxa"/>
            <w:shd w:val="clear" w:color="auto" w:fill="auto"/>
            <w:vAlign w:val="center"/>
          </w:tcPr>
          <w:p w:rsidR="007F277C" w:rsidRPr="001E3005" w:rsidRDefault="0062660D" w:rsidP="001E3005">
            <w:pPr>
              <w:jc w:val="left"/>
              <w:rPr>
                <w:rFonts w:cs="Arial"/>
              </w:rPr>
            </w:pPr>
            <w:r w:rsidRPr="001E3005">
              <w:rPr>
                <w:rFonts w:cs="Arial"/>
              </w:rPr>
              <w:t>12.3% plus £223,600</w:t>
            </w:r>
          </w:p>
        </w:tc>
        <w:tc>
          <w:tcPr>
            <w:tcW w:w="1843" w:type="dxa"/>
            <w:shd w:val="clear" w:color="auto" w:fill="auto"/>
            <w:vAlign w:val="center"/>
          </w:tcPr>
          <w:p w:rsidR="007F277C" w:rsidRPr="001E3005" w:rsidRDefault="0062660D" w:rsidP="001E3005">
            <w:pPr>
              <w:jc w:val="left"/>
              <w:rPr>
                <w:rFonts w:cs="Arial"/>
              </w:rPr>
            </w:pPr>
            <w:r w:rsidRPr="001E3005">
              <w:rPr>
                <w:rFonts w:cs="Arial"/>
              </w:rPr>
              <w:t>-0.8% plus £232,800</w:t>
            </w:r>
          </w:p>
        </w:tc>
        <w:tc>
          <w:tcPr>
            <w:tcW w:w="1984" w:type="dxa"/>
            <w:shd w:val="clear" w:color="auto" w:fill="auto"/>
            <w:vAlign w:val="center"/>
          </w:tcPr>
          <w:p w:rsidR="007F277C" w:rsidRPr="001E3005" w:rsidRDefault="0062660D" w:rsidP="001E3005">
            <w:pPr>
              <w:jc w:val="left"/>
              <w:rPr>
                <w:rFonts w:cs="Arial"/>
              </w:rPr>
            </w:pPr>
            <w:r w:rsidRPr="001E3005">
              <w:rPr>
                <w:rFonts w:cs="Arial"/>
              </w:rPr>
              <w:t xml:space="preserve">12.3% plus </w:t>
            </w:r>
            <w:r w:rsidRPr="001E3005">
              <w:rPr>
                <w:rFonts w:cs="Arial"/>
              </w:rPr>
              <w:t>£232,800</w:t>
            </w:r>
          </w:p>
        </w:tc>
        <w:tc>
          <w:tcPr>
            <w:tcW w:w="2127" w:type="dxa"/>
            <w:shd w:val="clear" w:color="auto" w:fill="auto"/>
            <w:vAlign w:val="center"/>
          </w:tcPr>
          <w:p w:rsidR="007F277C" w:rsidRPr="001E3005" w:rsidRDefault="0062660D" w:rsidP="001E3005">
            <w:pPr>
              <w:jc w:val="left"/>
              <w:rPr>
                <w:rFonts w:cs="Arial"/>
              </w:rPr>
            </w:pPr>
            <w:r w:rsidRPr="001E3005">
              <w:rPr>
                <w:rFonts w:cs="Arial"/>
              </w:rPr>
              <w:t>-0.8% plus £242,300</w:t>
            </w:r>
          </w:p>
        </w:tc>
        <w:tc>
          <w:tcPr>
            <w:tcW w:w="2409" w:type="dxa"/>
            <w:shd w:val="clear" w:color="auto" w:fill="auto"/>
            <w:vAlign w:val="center"/>
          </w:tcPr>
          <w:p w:rsidR="007F277C" w:rsidRPr="001E3005" w:rsidRDefault="0062660D" w:rsidP="001E3005">
            <w:pPr>
              <w:jc w:val="left"/>
              <w:rPr>
                <w:rFonts w:cs="Arial"/>
              </w:rPr>
            </w:pPr>
            <w:r w:rsidRPr="001E3005">
              <w:rPr>
                <w:rFonts w:cs="Arial"/>
              </w:rPr>
              <w:t>12.3% plus £242,300</w:t>
            </w:r>
          </w:p>
        </w:tc>
      </w:tr>
      <w:tr w:rsidR="006A2C17" w:rsidTr="007D4064">
        <w:trPr>
          <w:cantSplit/>
        </w:trPr>
        <w:tc>
          <w:tcPr>
            <w:tcW w:w="3333" w:type="dxa"/>
            <w:shd w:val="clear" w:color="auto" w:fill="auto"/>
            <w:vAlign w:val="center"/>
          </w:tcPr>
          <w:p w:rsidR="007F277C" w:rsidRPr="001E3005" w:rsidRDefault="0062660D" w:rsidP="001E3005">
            <w:pPr>
              <w:jc w:val="left"/>
              <w:rPr>
                <w:rFonts w:cs="Arial"/>
              </w:rPr>
            </w:pPr>
            <w:r w:rsidRPr="001E3005">
              <w:rPr>
                <w:rFonts w:cs="Arial"/>
              </w:rPr>
              <w:t>Capita (transfer from Rossendale B.C)</w:t>
            </w:r>
          </w:p>
        </w:tc>
        <w:tc>
          <w:tcPr>
            <w:tcW w:w="1842" w:type="dxa"/>
            <w:shd w:val="clear" w:color="auto" w:fill="auto"/>
            <w:vAlign w:val="center"/>
          </w:tcPr>
          <w:p w:rsidR="007F277C" w:rsidRPr="001E3005" w:rsidRDefault="0062660D" w:rsidP="001E3005">
            <w:pPr>
              <w:jc w:val="left"/>
              <w:rPr>
                <w:rFonts w:cs="Arial"/>
              </w:rPr>
            </w:pPr>
            <w:r w:rsidRPr="001E3005">
              <w:rPr>
                <w:rFonts w:cs="Arial"/>
              </w:rPr>
              <w:t>5.6% plus £2,200</w:t>
            </w:r>
          </w:p>
        </w:tc>
        <w:tc>
          <w:tcPr>
            <w:tcW w:w="1843" w:type="dxa"/>
            <w:shd w:val="clear" w:color="auto" w:fill="auto"/>
            <w:vAlign w:val="center"/>
          </w:tcPr>
          <w:p w:rsidR="007F277C" w:rsidRPr="001E3005" w:rsidRDefault="0062660D" w:rsidP="001E3005">
            <w:pPr>
              <w:jc w:val="left"/>
              <w:rPr>
                <w:rFonts w:cs="Arial"/>
              </w:rPr>
            </w:pPr>
            <w:r w:rsidRPr="001E3005">
              <w:rPr>
                <w:rFonts w:cs="Arial"/>
              </w:rPr>
              <w:t>18.7% plus £2,200</w:t>
            </w:r>
          </w:p>
        </w:tc>
        <w:tc>
          <w:tcPr>
            <w:tcW w:w="1843" w:type="dxa"/>
            <w:shd w:val="clear" w:color="auto" w:fill="auto"/>
            <w:vAlign w:val="center"/>
          </w:tcPr>
          <w:p w:rsidR="007F277C" w:rsidRPr="001E3005" w:rsidRDefault="0062660D" w:rsidP="001E3005">
            <w:pPr>
              <w:jc w:val="left"/>
              <w:rPr>
                <w:rFonts w:cs="Arial"/>
              </w:rPr>
            </w:pPr>
            <w:r w:rsidRPr="001E3005">
              <w:rPr>
                <w:rFonts w:cs="Arial"/>
              </w:rPr>
              <w:t>5.6% plus £5,300</w:t>
            </w:r>
          </w:p>
        </w:tc>
        <w:tc>
          <w:tcPr>
            <w:tcW w:w="1984" w:type="dxa"/>
            <w:shd w:val="clear" w:color="auto" w:fill="auto"/>
            <w:vAlign w:val="center"/>
          </w:tcPr>
          <w:p w:rsidR="007F277C" w:rsidRPr="001E3005" w:rsidRDefault="0062660D" w:rsidP="001E3005">
            <w:pPr>
              <w:jc w:val="left"/>
              <w:rPr>
                <w:rFonts w:cs="Arial"/>
              </w:rPr>
            </w:pPr>
            <w:r w:rsidRPr="001E3005">
              <w:rPr>
                <w:rFonts w:cs="Arial"/>
              </w:rPr>
              <w:t>18.7% plus £5,300</w:t>
            </w:r>
          </w:p>
        </w:tc>
        <w:tc>
          <w:tcPr>
            <w:tcW w:w="2127" w:type="dxa"/>
            <w:shd w:val="clear" w:color="auto" w:fill="auto"/>
            <w:vAlign w:val="center"/>
          </w:tcPr>
          <w:p w:rsidR="007F277C" w:rsidRPr="001E3005" w:rsidRDefault="0062660D" w:rsidP="001E3005">
            <w:pPr>
              <w:jc w:val="left"/>
              <w:rPr>
                <w:rFonts w:cs="Arial"/>
              </w:rPr>
            </w:pPr>
            <w:r w:rsidRPr="001E3005">
              <w:rPr>
                <w:rFonts w:cs="Arial"/>
              </w:rPr>
              <w:t>5.6% plus £8,400</w:t>
            </w:r>
          </w:p>
        </w:tc>
        <w:tc>
          <w:tcPr>
            <w:tcW w:w="2409" w:type="dxa"/>
            <w:shd w:val="clear" w:color="auto" w:fill="auto"/>
            <w:vAlign w:val="center"/>
          </w:tcPr>
          <w:p w:rsidR="007F277C" w:rsidRPr="001E3005" w:rsidRDefault="0062660D" w:rsidP="001E3005">
            <w:pPr>
              <w:jc w:val="left"/>
              <w:rPr>
                <w:rFonts w:cs="Arial"/>
              </w:rPr>
            </w:pPr>
            <w:r w:rsidRPr="001E3005">
              <w:rPr>
                <w:rFonts w:cs="Arial"/>
              </w:rPr>
              <w:t>18.7% plus £8,400</w:t>
            </w:r>
          </w:p>
        </w:tc>
      </w:tr>
      <w:tr w:rsidR="006A2C17" w:rsidTr="007D4064">
        <w:trPr>
          <w:cantSplit/>
        </w:trPr>
        <w:tc>
          <w:tcPr>
            <w:tcW w:w="3333" w:type="dxa"/>
            <w:shd w:val="clear" w:color="auto" w:fill="auto"/>
            <w:vAlign w:val="center"/>
          </w:tcPr>
          <w:p w:rsidR="007F277C" w:rsidRPr="001E3005" w:rsidRDefault="0062660D" w:rsidP="001E3005">
            <w:pPr>
              <w:jc w:val="left"/>
              <w:rPr>
                <w:rFonts w:cs="Arial"/>
              </w:rPr>
            </w:pPr>
            <w:r w:rsidRPr="001E3005">
              <w:rPr>
                <w:rFonts w:cs="Arial"/>
              </w:rPr>
              <w:t>CAPITA Business Services</w:t>
            </w:r>
          </w:p>
        </w:tc>
        <w:tc>
          <w:tcPr>
            <w:tcW w:w="1842" w:type="dxa"/>
            <w:shd w:val="clear" w:color="auto" w:fill="auto"/>
            <w:vAlign w:val="center"/>
          </w:tcPr>
          <w:p w:rsidR="007F277C" w:rsidRPr="001E3005" w:rsidRDefault="0062660D" w:rsidP="001E3005">
            <w:pPr>
              <w:jc w:val="left"/>
              <w:rPr>
                <w:rFonts w:cs="Arial"/>
              </w:rPr>
            </w:pPr>
            <w:r w:rsidRPr="001E3005">
              <w:rPr>
                <w:rFonts w:cs="Arial"/>
              </w:rPr>
              <w:t>5.0% plus £258,500</w:t>
            </w:r>
          </w:p>
        </w:tc>
        <w:tc>
          <w:tcPr>
            <w:tcW w:w="1843" w:type="dxa"/>
            <w:shd w:val="clear" w:color="auto" w:fill="auto"/>
            <w:vAlign w:val="center"/>
          </w:tcPr>
          <w:p w:rsidR="007F277C" w:rsidRPr="001E3005" w:rsidRDefault="0062660D" w:rsidP="001E3005">
            <w:pPr>
              <w:jc w:val="left"/>
              <w:rPr>
                <w:rFonts w:cs="Arial"/>
              </w:rPr>
            </w:pPr>
            <w:r w:rsidRPr="001E3005">
              <w:rPr>
                <w:rFonts w:cs="Arial"/>
              </w:rPr>
              <w:t xml:space="preserve">18.1% plus </w:t>
            </w:r>
            <w:r w:rsidRPr="001E3005">
              <w:rPr>
                <w:rFonts w:cs="Arial"/>
              </w:rPr>
              <w:t>£258,500</w:t>
            </w:r>
          </w:p>
        </w:tc>
        <w:tc>
          <w:tcPr>
            <w:tcW w:w="1843" w:type="dxa"/>
            <w:shd w:val="clear" w:color="auto" w:fill="auto"/>
            <w:vAlign w:val="center"/>
          </w:tcPr>
          <w:p w:rsidR="007F277C" w:rsidRPr="001E3005" w:rsidRDefault="0062660D" w:rsidP="001E3005">
            <w:pPr>
              <w:jc w:val="left"/>
              <w:rPr>
                <w:rFonts w:cs="Arial"/>
              </w:rPr>
            </w:pPr>
            <w:r w:rsidRPr="001E3005">
              <w:rPr>
                <w:rFonts w:cs="Arial"/>
              </w:rPr>
              <w:t>5.0% plus £311,100</w:t>
            </w:r>
          </w:p>
        </w:tc>
        <w:tc>
          <w:tcPr>
            <w:tcW w:w="1984" w:type="dxa"/>
            <w:shd w:val="clear" w:color="auto" w:fill="auto"/>
            <w:vAlign w:val="center"/>
          </w:tcPr>
          <w:p w:rsidR="007F277C" w:rsidRPr="001E3005" w:rsidRDefault="0062660D" w:rsidP="001E3005">
            <w:pPr>
              <w:jc w:val="left"/>
              <w:rPr>
                <w:rFonts w:cs="Arial"/>
              </w:rPr>
            </w:pPr>
            <w:r w:rsidRPr="001E3005">
              <w:rPr>
                <w:rFonts w:cs="Arial"/>
              </w:rPr>
              <w:t>18.1% plus £311,100</w:t>
            </w:r>
          </w:p>
        </w:tc>
        <w:tc>
          <w:tcPr>
            <w:tcW w:w="2127" w:type="dxa"/>
            <w:shd w:val="clear" w:color="auto" w:fill="auto"/>
            <w:vAlign w:val="center"/>
          </w:tcPr>
          <w:p w:rsidR="007F277C" w:rsidRPr="001E3005" w:rsidRDefault="0062660D" w:rsidP="001E3005">
            <w:pPr>
              <w:jc w:val="left"/>
              <w:rPr>
                <w:rFonts w:cs="Arial"/>
              </w:rPr>
            </w:pPr>
            <w:r w:rsidRPr="001E3005">
              <w:rPr>
                <w:rFonts w:cs="Arial"/>
              </w:rPr>
              <w:t>5.0% plus £364,200</w:t>
            </w:r>
          </w:p>
        </w:tc>
        <w:tc>
          <w:tcPr>
            <w:tcW w:w="2409" w:type="dxa"/>
            <w:shd w:val="clear" w:color="auto" w:fill="auto"/>
            <w:vAlign w:val="center"/>
          </w:tcPr>
          <w:p w:rsidR="007F277C" w:rsidRPr="001E3005" w:rsidRDefault="0062660D" w:rsidP="001E3005">
            <w:pPr>
              <w:jc w:val="left"/>
              <w:rPr>
                <w:rFonts w:cs="Arial"/>
              </w:rPr>
            </w:pPr>
            <w:r w:rsidRPr="001E3005">
              <w:rPr>
                <w:rFonts w:cs="Arial"/>
              </w:rPr>
              <w:t>18.1% plus £364,200</w:t>
            </w:r>
          </w:p>
        </w:tc>
      </w:tr>
      <w:tr w:rsidR="006A2C17" w:rsidTr="007D4064">
        <w:trPr>
          <w:cantSplit/>
        </w:trPr>
        <w:tc>
          <w:tcPr>
            <w:tcW w:w="3333" w:type="dxa"/>
            <w:shd w:val="clear" w:color="auto" w:fill="auto"/>
            <w:vAlign w:val="center"/>
          </w:tcPr>
          <w:p w:rsidR="007F277C" w:rsidRPr="001E3005" w:rsidRDefault="0062660D" w:rsidP="001E3005">
            <w:pPr>
              <w:jc w:val="left"/>
              <w:rPr>
                <w:rFonts w:cs="Arial"/>
              </w:rPr>
            </w:pPr>
            <w:r w:rsidRPr="001E3005">
              <w:rPr>
                <w:rFonts w:cs="Arial"/>
              </w:rPr>
              <w:t>Cardinal Newman College</w:t>
            </w:r>
          </w:p>
        </w:tc>
        <w:tc>
          <w:tcPr>
            <w:tcW w:w="1842" w:type="dxa"/>
            <w:shd w:val="clear" w:color="auto" w:fill="auto"/>
            <w:vAlign w:val="center"/>
          </w:tcPr>
          <w:p w:rsidR="007F277C" w:rsidRPr="001E3005" w:rsidRDefault="0062660D" w:rsidP="001E3005">
            <w:pPr>
              <w:jc w:val="left"/>
              <w:rPr>
                <w:rFonts w:cs="Arial"/>
              </w:rPr>
            </w:pPr>
            <w:r w:rsidRPr="001E3005">
              <w:rPr>
                <w:rFonts w:cs="Arial"/>
              </w:rPr>
              <w:t>0.0% plus £46,500</w:t>
            </w:r>
          </w:p>
        </w:tc>
        <w:tc>
          <w:tcPr>
            <w:tcW w:w="1843" w:type="dxa"/>
            <w:shd w:val="clear" w:color="auto" w:fill="auto"/>
            <w:vAlign w:val="center"/>
          </w:tcPr>
          <w:p w:rsidR="007F277C" w:rsidRPr="001E3005" w:rsidRDefault="0062660D" w:rsidP="001E3005">
            <w:pPr>
              <w:jc w:val="left"/>
              <w:rPr>
                <w:rFonts w:cs="Arial"/>
              </w:rPr>
            </w:pPr>
            <w:r w:rsidRPr="001E3005">
              <w:rPr>
                <w:rFonts w:cs="Arial"/>
              </w:rPr>
              <w:t>13.1% plus £46,500</w:t>
            </w:r>
          </w:p>
        </w:tc>
        <w:tc>
          <w:tcPr>
            <w:tcW w:w="1843" w:type="dxa"/>
            <w:shd w:val="clear" w:color="auto" w:fill="auto"/>
            <w:vAlign w:val="center"/>
          </w:tcPr>
          <w:p w:rsidR="007F277C" w:rsidRPr="001E3005" w:rsidRDefault="0062660D" w:rsidP="001E3005">
            <w:pPr>
              <w:jc w:val="left"/>
              <w:rPr>
                <w:rFonts w:cs="Arial"/>
              </w:rPr>
            </w:pPr>
            <w:r w:rsidRPr="001E3005">
              <w:rPr>
                <w:rFonts w:cs="Arial"/>
              </w:rPr>
              <w:t>0.0% plus £48,400</w:t>
            </w:r>
          </w:p>
        </w:tc>
        <w:tc>
          <w:tcPr>
            <w:tcW w:w="1984" w:type="dxa"/>
            <w:shd w:val="clear" w:color="auto" w:fill="auto"/>
            <w:vAlign w:val="center"/>
          </w:tcPr>
          <w:p w:rsidR="007F277C" w:rsidRPr="001E3005" w:rsidRDefault="0062660D" w:rsidP="001E3005">
            <w:pPr>
              <w:jc w:val="left"/>
              <w:rPr>
                <w:rFonts w:cs="Arial"/>
              </w:rPr>
            </w:pPr>
            <w:r w:rsidRPr="001E3005">
              <w:rPr>
                <w:rFonts w:cs="Arial"/>
              </w:rPr>
              <w:t>13.1% plus £48,400</w:t>
            </w:r>
          </w:p>
        </w:tc>
        <w:tc>
          <w:tcPr>
            <w:tcW w:w="2127" w:type="dxa"/>
            <w:shd w:val="clear" w:color="auto" w:fill="auto"/>
            <w:vAlign w:val="center"/>
          </w:tcPr>
          <w:p w:rsidR="007F277C" w:rsidRPr="001E3005" w:rsidRDefault="0062660D" w:rsidP="001E3005">
            <w:pPr>
              <w:jc w:val="left"/>
              <w:rPr>
                <w:rFonts w:cs="Arial"/>
              </w:rPr>
            </w:pPr>
            <w:r w:rsidRPr="001E3005">
              <w:rPr>
                <w:rFonts w:cs="Arial"/>
              </w:rPr>
              <w:t>0.0% plus £50,400</w:t>
            </w:r>
          </w:p>
        </w:tc>
        <w:tc>
          <w:tcPr>
            <w:tcW w:w="2409" w:type="dxa"/>
            <w:shd w:val="clear" w:color="auto" w:fill="auto"/>
            <w:vAlign w:val="center"/>
          </w:tcPr>
          <w:p w:rsidR="007F277C" w:rsidRPr="001E3005" w:rsidRDefault="0062660D" w:rsidP="001E3005">
            <w:pPr>
              <w:jc w:val="left"/>
              <w:rPr>
                <w:rFonts w:cs="Arial"/>
              </w:rPr>
            </w:pPr>
            <w:r w:rsidRPr="001E3005">
              <w:rPr>
                <w:rFonts w:cs="Arial"/>
              </w:rPr>
              <w:t>13.1% plus £50,400</w:t>
            </w:r>
          </w:p>
        </w:tc>
      </w:tr>
      <w:tr w:rsidR="006A2C17" w:rsidTr="007D4064">
        <w:trPr>
          <w:cantSplit/>
        </w:trPr>
        <w:tc>
          <w:tcPr>
            <w:tcW w:w="3333" w:type="dxa"/>
            <w:shd w:val="clear" w:color="auto" w:fill="auto"/>
            <w:vAlign w:val="center"/>
          </w:tcPr>
          <w:p w:rsidR="007F277C" w:rsidRPr="001E3005" w:rsidRDefault="0062660D" w:rsidP="001E3005">
            <w:pPr>
              <w:jc w:val="left"/>
              <w:rPr>
                <w:rFonts w:cs="Arial"/>
              </w:rPr>
            </w:pPr>
            <w:r w:rsidRPr="001E3005">
              <w:rPr>
                <w:rFonts w:cs="Arial"/>
              </w:rPr>
              <w:t>Caritas Care Limited</w:t>
            </w:r>
          </w:p>
        </w:tc>
        <w:tc>
          <w:tcPr>
            <w:tcW w:w="1842" w:type="dxa"/>
            <w:shd w:val="clear" w:color="auto" w:fill="auto"/>
            <w:vAlign w:val="center"/>
          </w:tcPr>
          <w:p w:rsidR="007F277C" w:rsidRPr="001E3005" w:rsidRDefault="0062660D" w:rsidP="001E3005">
            <w:pPr>
              <w:jc w:val="left"/>
              <w:rPr>
                <w:rFonts w:cs="Arial"/>
              </w:rPr>
            </w:pPr>
            <w:r w:rsidRPr="001E3005">
              <w:rPr>
                <w:rFonts w:cs="Arial"/>
              </w:rPr>
              <w:t xml:space="preserve">1.9% plus </w:t>
            </w:r>
            <w:r w:rsidRPr="001E3005">
              <w:rPr>
                <w:rFonts w:cs="Arial"/>
              </w:rPr>
              <w:t>£67,500</w:t>
            </w:r>
          </w:p>
        </w:tc>
        <w:tc>
          <w:tcPr>
            <w:tcW w:w="1843" w:type="dxa"/>
            <w:shd w:val="clear" w:color="auto" w:fill="auto"/>
            <w:vAlign w:val="center"/>
          </w:tcPr>
          <w:p w:rsidR="007F277C" w:rsidRPr="001E3005" w:rsidRDefault="0062660D" w:rsidP="001E3005">
            <w:pPr>
              <w:jc w:val="left"/>
              <w:rPr>
                <w:rFonts w:cs="Arial"/>
              </w:rPr>
            </w:pPr>
            <w:r w:rsidRPr="001E3005">
              <w:rPr>
                <w:rFonts w:cs="Arial"/>
              </w:rPr>
              <w:t>15.0% plus £67,500</w:t>
            </w:r>
          </w:p>
        </w:tc>
        <w:tc>
          <w:tcPr>
            <w:tcW w:w="1843" w:type="dxa"/>
            <w:shd w:val="clear" w:color="auto" w:fill="auto"/>
            <w:vAlign w:val="center"/>
          </w:tcPr>
          <w:p w:rsidR="007F277C" w:rsidRPr="001E3005" w:rsidRDefault="0062660D" w:rsidP="001E3005">
            <w:pPr>
              <w:jc w:val="left"/>
              <w:rPr>
                <w:rFonts w:cs="Arial"/>
              </w:rPr>
            </w:pPr>
            <w:r w:rsidRPr="001E3005">
              <w:rPr>
                <w:rFonts w:cs="Arial"/>
              </w:rPr>
              <w:t>1.9% plus £70,300</w:t>
            </w:r>
          </w:p>
        </w:tc>
        <w:tc>
          <w:tcPr>
            <w:tcW w:w="1984" w:type="dxa"/>
            <w:shd w:val="clear" w:color="auto" w:fill="auto"/>
            <w:vAlign w:val="center"/>
          </w:tcPr>
          <w:p w:rsidR="007F277C" w:rsidRPr="001E3005" w:rsidRDefault="0062660D" w:rsidP="001E3005">
            <w:pPr>
              <w:jc w:val="left"/>
              <w:rPr>
                <w:rFonts w:cs="Arial"/>
              </w:rPr>
            </w:pPr>
            <w:r w:rsidRPr="001E3005">
              <w:rPr>
                <w:rFonts w:cs="Arial"/>
              </w:rPr>
              <w:t>15.0% plus £70,300</w:t>
            </w:r>
          </w:p>
        </w:tc>
        <w:tc>
          <w:tcPr>
            <w:tcW w:w="2127" w:type="dxa"/>
            <w:shd w:val="clear" w:color="auto" w:fill="auto"/>
            <w:vAlign w:val="center"/>
          </w:tcPr>
          <w:p w:rsidR="007F277C" w:rsidRPr="001E3005" w:rsidRDefault="0062660D" w:rsidP="001E3005">
            <w:pPr>
              <w:jc w:val="left"/>
              <w:rPr>
                <w:rFonts w:cs="Arial"/>
              </w:rPr>
            </w:pPr>
            <w:r w:rsidRPr="001E3005">
              <w:rPr>
                <w:rFonts w:cs="Arial"/>
              </w:rPr>
              <w:t>1.9% plus £73,200</w:t>
            </w:r>
          </w:p>
        </w:tc>
        <w:tc>
          <w:tcPr>
            <w:tcW w:w="2409" w:type="dxa"/>
            <w:shd w:val="clear" w:color="auto" w:fill="auto"/>
            <w:vAlign w:val="center"/>
          </w:tcPr>
          <w:p w:rsidR="007F277C" w:rsidRPr="001E3005" w:rsidRDefault="0062660D" w:rsidP="001E3005">
            <w:pPr>
              <w:jc w:val="left"/>
              <w:rPr>
                <w:rFonts w:cs="Arial"/>
              </w:rPr>
            </w:pPr>
            <w:r w:rsidRPr="001E3005">
              <w:rPr>
                <w:rFonts w:cs="Arial"/>
              </w:rPr>
              <w:t>15.0% plus £73,200</w:t>
            </w:r>
          </w:p>
        </w:tc>
      </w:tr>
      <w:tr w:rsidR="006A2C17" w:rsidTr="007D4064">
        <w:trPr>
          <w:cantSplit/>
        </w:trPr>
        <w:tc>
          <w:tcPr>
            <w:tcW w:w="3333" w:type="dxa"/>
            <w:shd w:val="clear" w:color="auto" w:fill="auto"/>
            <w:vAlign w:val="center"/>
          </w:tcPr>
          <w:p w:rsidR="007F277C" w:rsidRPr="001E3005" w:rsidRDefault="0062660D" w:rsidP="007D4064">
            <w:pPr>
              <w:jc w:val="left"/>
              <w:rPr>
                <w:rFonts w:cs="Arial"/>
              </w:rPr>
            </w:pPr>
            <w:proofErr w:type="spellStart"/>
            <w:r w:rsidRPr="001E3005">
              <w:rPr>
                <w:rFonts w:cs="Arial"/>
              </w:rPr>
              <w:t>Caterlink</w:t>
            </w:r>
            <w:proofErr w:type="spellEnd"/>
            <w:r w:rsidRPr="001E3005">
              <w:rPr>
                <w:rFonts w:cs="Arial"/>
              </w:rPr>
              <w:t xml:space="preserve"> Limited (</w:t>
            </w:r>
            <w:proofErr w:type="spellStart"/>
            <w:r>
              <w:rPr>
                <w:rFonts w:cs="Arial"/>
              </w:rPr>
              <w:t>P</w:t>
            </w:r>
            <w:r w:rsidRPr="001E3005">
              <w:rPr>
                <w:rFonts w:cs="Arial"/>
              </w:rPr>
              <w:t>leckgate</w:t>
            </w:r>
            <w:proofErr w:type="spellEnd"/>
            <w:r w:rsidRPr="001E3005">
              <w:rPr>
                <w:rFonts w:cs="Arial"/>
              </w:rPr>
              <w:t xml:space="preserve"> </w:t>
            </w:r>
            <w:r>
              <w:rPr>
                <w:rFonts w:cs="Arial"/>
              </w:rPr>
              <w:t>C</w:t>
            </w:r>
            <w:r w:rsidRPr="001E3005">
              <w:rPr>
                <w:rFonts w:cs="Arial"/>
              </w:rPr>
              <w:t>atering)</w:t>
            </w:r>
          </w:p>
        </w:tc>
        <w:tc>
          <w:tcPr>
            <w:tcW w:w="1842" w:type="dxa"/>
            <w:shd w:val="clear" w:color="auto" w:fill="auto"/>
            <w:vAlign w:val="center"/>
          </w:tcPr>
          <w:p w:rsidR="007F277C" w:rsidRPr="001E3005" w:rsidRDefault="0062660D" w:rsidP="001E3005">
            <w:pPr>
              <w:jc w:val="left"/>
              <w:rPr>
                <w:rFonts w:cs="Arial"/>
              </w:rPr>
            </w:pPr>
            <w:r w:rsidRPr="001E3005">
              <w:rPr>
                <w:rFonts w:cs="Arial"/>
              </w:rPr>
              <w:t>6.6%</w:t>
            </w:r>
          </w:p>
        </w:tc>
        <w:tc>
          <w:tcPr>
            <w:tcW w:w="1843" w:type="dxa"/>
            <w:shd w:val="clear" w:color="auto" w:fill="auto"/>
            <w:vAlign w:val="center"/>
          </w:tcPr>
          <w:p w:rsidR="007F277C" w:rsidRPr="001E3005" w:rsidRDefault="0062660D" w:rsidP="001E3005">
            <w:pPr>
              <w:jc w:val="left"/>
              <w:rPr>
                <w:rFonts w:cs="Arial"/>
              </w:rPr>
            </w:pPr>
            <w:r w:rsidRPr="001E3005">
              <w:rPr>
                <w:rFonts w:cs="Arial"/>
              </w:rPr>
              <w:t>19.7%</w:t>
            </w:r>
          </w:p>
        </w:tc>
        <w:tc>
          <w:tcPr>
            <w:tcW w:w="1843" w:type="dxa"/>
            <w:shd w:val="clear" w:color="auto" w:fill="auto"/>
            <w:vAlign w:val="center"/>
          </w:tcPr>
          <w:p w:rsidR="007F277C" w:rsidRPr="001E3005" w:rsidRDefault="0062660D" w:rsidP="001E3005">
            <w:pPr>
              <w:jc w:val="left"/>
              <w:rPr>
                <w:rFonts w:cs="Arial"/>
              </w:rPr>
            </w:pPr>
            <w:r w:rsidRPr="001E3005">
              <w:rPr>
                <w:rFonts w:cs="Arial"/>
              </w:rPr>
              <w:t>6.6%</w:t>
            </w:r>
          </w:p>
        </w:tc>
        <w:tc>
          <w:tcPr>
            <w:tcW w:w="1984" w:type="dxa"/>
            <w:shd w:val="clear" w:color="auto" w:fill="auto"/>
            <w:vAlign w:val="center"/>
          </w:tcPr>
          <w:p w:rsidR="007F277C" w:rsidRPr="001E3005" w:rsidRDefault="0062660D" w:rsidP="001E3005">
            <w:pPr>
              <w:jc w:val="left"/>
              <w:rPr>
                <w:rFonts w:cs="Arial"/>
              </w:rPr>
            </w:pPr>
            <w:r w:rsidRPr="001E3005">
              <w:rPr>
                <w:rFonts w:cs="Arial"/>
              </w:rPr>
              <w:t>19.7%</w:t>
            </w:r>
          </w:p>
        </w:tc>
        <w:tc>
          <w:tcPr>
            <w:tcW w:w="2127" w:type="dxa"/>
            <w:shd w:val="clear" w:color="auto" w:fill="auto"/>
            <w:vAlign w:val="center"/>
          </w:tcPr>
          <w:p w:rsidR="007F277C" w:rsidRPr="001E3005" w:rsidRDefault="0062660D" w:rsidP="001E3005">
            <w:pPr>
              <w:jc w:val="left"/>
              <w:rPr>
                <w:rFonts w:cs="Arial"/>
              </w:rPr>
            </w:pPr>
            <w:r w:rsidRPr="001E3005">
              <w:rPr>
                <w:rFonts w:cs="Arial"/>
              </w:rPr>
              <w:t>6.6%</w:t>
            </w:r>
          </w:p>
        </w:tc>
        <w:tc>
          <w:tcPr>
            <w:tcW w:w="2409" w:type="dxa"/>
            <w:shd w:val="clear" w:color="auto" w:fill="auto"/>
            <w:vAlign w:val="center"/>
          </w:tcPr>
          <w:p w:rsidR="007F277C" w:rsidRPr="001E3005" w:rsidRDefault="0062660D" w:rsidP="001E3005">
            <w:pPr>
              <w:jc w:val="left"/>
              <w:rPr>
                <w:rFonts w:cs="Arial"/>
              </w:rPr>
            </w:pPr>
            <w:r w:rsidRPr="001E3005">
              <w:rPr>
                <w:rFonts w:cs="Arial"/>
              </w:rPr>
              <w:t>19.7%</w:t>
            </w:r>
          </w:p>
        </w:tc>
      </w:tr>
      <w:tr w:rsidR="006A2C17" w:rsidTr="007D4064">
        <w:trPr>
          <w:cantSplit/>
        </w:trPr>
        <w:tc>
          <w:tcPr>
            <w:tcW w:w="3333" w:type="dxa"/>
            <w:shd w:val="clear" w:color="auto" w:fill="auto"/>
            <w:vAlign w:val="center"/>
          </w:tcPr>
          <w:p w:rsidR="007F277C" w:rsidRPr="001E3005" w:rsidRDefault="0062660D" w:rsidP="001E3005">
            <w:pPr>
              <w:jc w:val="left"/>
              <w:rPr>
                <w:rFonts w:cs="Arial"/>
              </w:rPr>
            </w:pPr>
            <w:proofErr w:type="spellStart"/>
            <w:r w:rsidRPr="001E3005">
              <w:rPr>
                <w:rFonts w:cs="Arial"/>
              </w:rPr>
              <w:t>Caterlink</w:t>
            </w:r>
            <w:proofErr w:type="spellEnd"/>
            <w:r w:rsidRPr="001E3005">
              <w:rPr>
                <w:rFonts w:cs="Arial"/>
              </w:rPr>
              <w:t xml:space="preserve"> Ltd (Ripley St Thomas) </w:t>
            </w:r>
          </w:p>
        </w:tc>
        <w:tc>
          <w:tcPr>
            <w:tcW w:w="1842" w:type="dxa"/>
            <w:shd w:val="clear" w:color="auto" w:fill="auto"/>
            <w:vAlign w:val="center"/>
          </w:tcPr>
          <w:p w:rsidR="007F277C" w:rsidRPr="001E3005" w:rsidRDefault="0062660D" w:rsidP="001E3005">
            <w:pPr>
              <w:jc w:val="left"/>
              <w:rPr>
                <w:rFonts w:cs="Arial"/>
              </w:rPr>
            </w:pPr>
            <w:r w:rsidRPr="001E3005">
              <w:rPr>
                <w:rFonts w:cs="Arial"/>
              </w:rPr>
              <w:t>4.9%</w:t>
            </w:r>
          </w:p>
        </w:tc>
        <w:tc>
          <w:tcPr>
            <w:tcW w:w="1843" w:type="dxa"/>
            <w:shd w:val="clear" w:color="auto" w:fill="auto"/>
            <w:vAlign w:val="center"/>
          </w:tcPr>
          <w:p w:rsidR="007F277C" w:rsidRPr="001E3005" w:rsidRDefault="0062660D" w:rsidP="001E3005">
            <w:pPr>
              <w:jc w:val="left"/>
              <w:rPr>
                <w:rFonts w:cs="Arial"/>
              </w:rPr>
            </w:pPr>
            <w:r w:rsidRPr="001E3005">
              <w:rPr>
                <w:rFonts w:cs="Arial"/>
              </w:rPr>
              <w:t>18.0%</w:t>
            </w:r>
          </w:p>
        </w:tc>
        <w:tc>
          <w:tcPr>
            <w:tcW w:w="1843" w:type="dxa"/>
            <w:shd w:val="clear" w:color="auto" w:fill="auto"/>
            <w:vAlign w:val="center"/>
          </w:tcPr>
          <w:p w:rsidR="007F277C" w:rsidRPr="001E3005" w:rsidRDefault="0062660D" w:rsidP="001E3005">
            <w:pPr>
              <w:jc w:val="left"/>
              <w:rPr>
                <w:rFonts w:cs="Arial"/>
              </w:rPr>
            </w:pPr>
            <w:r w:rsidRPr="001E3005">
              <w:rPr>
                <w:rFonts w:cs="Arial"/>
              </w:rPr>
              <w:t>4.9%</w:t>
            </w:r>
          </w:p>
        </w:tc>
        <w:tc>
          <w:tcPr>
            <w:tcW w:w="1984" w:type="dxa"/>
            <w:shd w:val="clear" w:color="auto" w:fill="auto"/>
            <w:vAlign w:val="center"/>
          </w:tcPr>
          <w:p w:rsidR="007F277C" w:rsidRPr="001E3005" w:rsidRDefault="0062660D" w:rsidP="001E3005">
            <w:pPr>
              <w:jc w:val="left"/>
              <w:rPr>
                <w:rFonts w:cs="Arial"/>
              </w:rPr>
            </w:pPr>
            <w:r w:rsidRPr="001E3005">
              <w:rPr>
                <w:rFonts w:cs="Arial"/>
              </w:rPr>
              <w:t>18.0%</w:t>
            </w:r>
          </w:p>
        </w:tc>
        <w:tc>
          <w:tcPr>
            <w:tcW w:w="2127" w:type="dxa"/>
            <w:shd w:val="clear" w:color="auto" w:fill="auto"/>
            <w:vAlign w:val="center"/>
          </w:tcPr>
          <w:p w:rsidR="007F277C" w:rsidRPr="001E3005" w:rsidRDefault="0062660D" w:rsidP="001E3005">
            <w:pPr>
              <w:jc w:val="left"/>
              <w:rPr>
                <w:rFonts w:cs="Arial"/>
              </w:rPr>
            </w:pPr>
            <w:r w:rsidRPr="001E3005">
              <w:rPr>
                <w:rFonts w:cs="Arial"/>
              </w:rPr>
              <w:t>4.9%</w:t>
            </w:r>
          </w:p>
        </w:tc>
        <w:tc>
          <w:tcPr>
            <w:tcW w:w="2409" w:type="dxa"/>
            <w:shd w:val="clear" w:color="auto" w:fill="auto"/>
            <w:vAlign w:val="center"/>
          </w:tcPr>
          <w:p w:rsidR="007F277C" w:rsidRPr="001E3005" w:rsidRDefault="0062660D" w:rsidP="001E3005">
            <w:pPr>
              <w:jc w:val="left"/>
              <w:rPr>
                <w:rFonts w:cs="Arial"/>
              </w:rPr>
            </w:pPr>
            <w:r w:rsidRPr="001E3005">
              <w:rPr>
                <w:rFonts w:cs="Arial"/>
              </w:rPr>
              <w:t>18.0%</w:t>
            </w:r>
          </w:p>
        </w:tc>
      </w:tr>
      <w:tr w:rsidR="006A2C17" w:rsidTr="007D4064">
        <w:trPr>
          <w:cantSplit/>
        </w:trPr>
        <w:tc>
          <w:tcPr>
            <w:tcW w:w="3333" w:type="dxa"/>
            <w:shd w:val="clear" w:color="auto" w:fill="auto"/>
            <w:vAlign w:val="center"/>
          </w:tcPr>
          <w:p w:rsidR="00230743" w:rsidRPr="001E3005" w:rsidRDefault="0062660D" w:rsidP="001E3005">
            <w:pPr>
              <w:jc w:val="left"/>
              <w:rPr>
                <w:rFonts w:cs="Arial"/>
              </w:rPr>
            </w:pPr>
            <w:r w:rsidRPr="001E3005">
              <w:rPr>
                <w:rFonts w:cs="Arial"/>
              </w:rPr>
              <w:t xml:space="preserve">Catterall </w:t>
            </w:r>
            <w:r w:rsidRPr="001E3005">
              <w:rPr>
                <w:rFonts w:cs="Arial"/>
              </w:rPr>
              <w:t>Parish Council</w:t>
            </w:r>
          </w:p>
        </w:tc>
        <w:tc>
          <w:tcPr>
            <w:tcW w:w="1842" w:type="dxa"/>
            <w:shd w:val="clear" w:color="auto" w:fill="auto"/>
            <w:vAlign w:val="center"/>
          </w:tcPr>
          <w:p w:rsidR="00230743" w:rsidRPr="001E3005" w:rsidRDefault="0062660D" w:rsidP="001E3005">
            <w:pPr>
              <w:jc w:val="left"/>
              <w:rPr>
                <w:rFonts w:cs="Arial"/>
              </w:rPr>
            </w:pPr>
            <w:r w:rsidRPr="001E3005">
              <w:rPr>
                <w:rFonts w:cs="Arial"/>
              </w:rPr>
              <w:t>8.2%</w:t>
            </w:r>
          </w:p>
        </w:tc>
        <w:tc>
          <w:tcPr>
            <w:tcW w:w="1843" w:type="dxa"/>
            <w:shd w:val="clear" w:color="auto" w:fill="auto"/>
            <w:vAlign w:val="center"/>
          </w:tcPr>
          <w:p w:rsidR="00230743" w:rsidRPr="001E3005" w:rsidRDefault="0062660D" w:rsidP="001E3005">
            <w:pPr>
              <w:jc w:val="left"/>
              <w:rPr>
                <w:rFonts w:cs="Arial"/>
              </w:rPr>
            </w:pPr>
            <w:r w:rsidRPr="001E3005">
              <w:rPr>
                <w:rFonts w:cs="Arial"/>
              </w:rPr>
              <w:t>21.3%</w:t>
            </w:r>
          </w:p>
        </w:tc>
        <w:tc>
          <w:tcPr>
            <w:tcW w:w="1843" w:type="dxa"/>
            <w:shd w:val="clear" w:color="auto" w:fill="auto"/>
            <w:vAlign w:val="center"/>
          </w:tcPr>
          <w:p w:rsidR="00230743" w:rsidRPr="001E3005" w:rsidRDefault="0062660D" w:rsidP="001E3005">
            <w:pPr>
              <w:jc w:val="left"/>
              <w:rPr>
                <w:rFonts w:cs="Arial"/>
              </w:rPr>
            </w:pPr>
            <w:r w:rsidRPr="001E3005">
              <w:rPr>
                <w:rFonts w:cs="Arial"/>
              </w:rPr>
              <w:t>8.2%</w:t>
            </w:r>
          </w:p>
        </w:tc>
        <w:tc>
          <w:tcPr>
            <w:tcW w:w="1984" w:type="dxa"/>
            <w:shd w:val="clear" w:color="auto" w:fill="auto"/>
            <w:vAlign w:val="center"/>
          </w:tcPr>
          <w:p w:rsidR="00230743" w:rsidRPr="001E3005" w:rsidRDefault="0062660D" w:rsidP="001E3005">
            <w:pPr>
              <w:jc w:val="left"/>
              <w:rPr>
                <w:rFonts w:cs="Arial"/>
              </w:rPr>
            </w:pPr>
            <w:r w:rsidRPr="001E3005">
              <w:rPr>
                <w:rFonts w:cs="Arial"/>
              </w:rPr>
              <w:t>21.3%</w:t>
            </w:r>
          </w:p>
        </w:tc>
        <w:tc>
          <w:tcPr>
            <w:tcW w:w="2127" w:type="dxa"/>
            <w:shd w:val="clear" w:color="auto" w:fill="auto"/>
            <w:vAlign w:val="center"/>
          </w:tcPr>
          <w:p w:rsidR="00230743" w:rsidRPr="001E3005" w:rsidRDefault="0062660D" w:rsidP="001E3005">
            <w:pPr>
              <w:jc w:val="left"/>
              <w:rPr>
                <w:rFonts w:cs="Arial"/>
              </w:rPr>
            </w:pPr>
            <w:r w:rsidRPr="001E3005">
              <w:rPr>
                <w:rFonts w:cs="Arial"/>
              </w:rPr>
              <w:t>8.2%</w:t>
            </w:r>
          </w:p>
        </w:tc>
        <w:tc>
          <w:tcPr>
            <w:tcW w:w="2409" w:type="dxa"/>
            <w:shd w:val="clear" w:color="auto" w:fill="auto"/>
            <w:vAlign w:val="center"/>
          </w:tcPr>
          <w:p w:rsidR="00230743" w:rsidRPr="001E3005" w:rsidRDefault="0062660D" w:rsidP="001E3005">
            <w:pPr>
              <w:jc w:val="left"/>
              <w:rPr>
                <w:rFonts w:cs="Arial"/>
              </w:rPr>
            </w:pPr>
            <w:r w:rsidRPr="001E3005">
              <w:rPr>
                <w:rFonts w:cs="Arial"/>
              </w:rPr>
              <w:t>21.3%</w:t>
            </w:r>
          </w:p>
        </w:tc>
      </w:tr>
      <w:tr w:rsidR="006A2C17" w:rsidTr="007D4064">
        <w:trPr>
          <w:cantSplit/>
        </w:trPr>
        <w:tc>
          <w:tcPr>
            <w:tcW w:w="3333" w:type="dxa"/>
            <w:shd w:val="clear" w:color="auto" w:fill="auto"/>
            <w:vAlign w:val="center"/>
          </w:tcPr>
          <w:p w:rsidR="00230743" w:rsidRPr="001E3005" w:rsidRDefault="0062660D" w:rsidP="001E3005">
            <w:pPr>
              <w:jc w:val="left"/>
              <w:rPr>
                <w:rFonts w:cs="Arial"/>
              </w:rPr>
            </w:pPr>
            <w:r w:rsidRPr="001E3005">
              <w:rPr>
                <w:rFonts w:cs="Arial"/>
              </w:rPr>
              <w:t>CG Cleaning (Heysham High)</w:t>
            </w:r>
          </w:p>
        </w:tc>
        <w:tc>
          <w:tcPr>
            <w:tcW w:w="1842" w:type="dxa"/>
            <w:shd w:val="clear" w:color="auto" w:fill="auto"/>
            <w:vAlign w:val="center"/>
          </w:tcPr>
          <w:p w:rsidR="00230743" w:rsidRPr="001E3005" w:rsidRDefault="0062660D" w:rsidP="001E3005">
            <w:pPr>
              <w:jc w:val="left"/>
              <w:rPr>
                <w:rFonts w:cs="Arial"/>
              </w:rPr>
            </w:pPr>
            <w:r w:rsidRPr="001E3005">
              <w:rPr>
                <w:rFonts w:cs="Arial"/>
              </w:rPr>
              <w:t>0.7%</w:t>
            </w:r>
          </w:p>
        </w:tc>
        <w:tc>
          <w:tcPr>
            <w:tcW w:w="1843" w:type="dxa"/>
            <w:shd w:val="clear" w:color="auto" w:fill="auto"/>
            <w:vAlign w:val="center"/>
          </w:tcPr>
          <w:p w:rsidR="00230743" w:rsidRPr="001E3005" w:rsidRDefault="0062660D" w:rsidP="001E3005">
            <w:pPr>
              <w:jc w:val="left"/>
              <w:rPr>
                <w:rFonts w:cs="Arial"/>
              </w:rPr>
            </w:pPr>
            <w:r w:rsidRPr="001E3005">
              <w:rPr>
                <w:rFonts w:cs="Arial"/>
              </w:rPr>
              <w:t>13.8%</w:t>
            </w:r>
          </w:p>
        </w:tc>
        <w:tc>
          <w:tcPr>
            <w:tcW w:w="1843" w:type="dxa"/>
            <w:shd w:val="clear" w:color="auto" w:fill="auto"/>
            <w:vAlign w:val="center"/>
          </w:tcPr>
          <w:p w:rsidR="00230743" w:rsidRPr="001E3005" w:rsidRDefault="0062660D" w:rsidP="001E3005">
            <w:pPr>
              <w:jc w:val="left"/>
              <w:rPr>
                <w:rFonts w:cs="Arial"/>
              </w:rPr>
            </w:pPr>
            <w:r w:rsidRPr="001E3005">
              <w:rPr>
                <w:rFonts w:cs="Arial"/>
              </w:rPr>
              <w:t>0.7%</w:t>
            </w:r>
          </w:p>
        </w:tc>
        <w:tc>
          <w:tcPr>
            <w:tcW w:w="1984" w:type="dxa"/>
            <w:shd w:val="clear" w:color="auto" w:fill="auto"/>
            <w:vAlign w:val="center"/>
          </w:tcPr>
          <w:p w:rsidR="00230743" w:rsidRPr="001E3005" w:rsidRDefault="0062660D" w:rsidP="001E3005">
            <w:pPr>
              <w:jc w:val="left"/>
              <w:rPr>
                <w:rFonts w:cs="Arial"/>
              </w:rPr>
            </w:pPr>
            <w:r w:rsidRPr="001E3005">
              <w:rPr>
                <w:rFonts w:cs="Arial"/>
              </w:rPr>
              <w:t>13.8%</w:t>
            </w:r>
          </w:p>
        </w:tc>
        <w:tc>
          <w:tcPr>
            <w:tcW w:w="2127" w:type="dxa"/>
            <w:shd w:val="clear" w:color="auto" w:fill="auto"/>
            <w:vAlign w:val="center"/>
          </w:tcPr>
          <w:p w:rsidR="00230743" w:rsidRPr="001E3005" w:rsidRDefault="0062660D" w:rsidP="001E3005">
            <w:pPr>
              <w:jc w:val="left"/>
              <w:rPr>
                <w:rFonts w:cs="Arial"/>
              </w:rPr>
            </w:pPr>
            <w:r w:rsidRPr="001E3005">
              <w:rPr>
                <w:rFonts w:cs="Arial"/>
              </w:rPr>
              <w:t>0.7%</w:t>
            </w:r>
          </w:p>
        </w:tc>
        <w:tc>
          <w:tcPr>
            <w:tcW w:w="2409" w:type="dxa"/>
            <w:shd w:val="clear" w:color="auto" w:fill="auto"/>
            <w:vAlign w:val="center"/>
          </w:tcPr>
          <w:p w:rsidR="00230743" w:rsidRPr="001E3005" w:rsidRDefault="0062660D" w:rsidP="001E3005">
            <w:pPr>
              <w:jc w:val="left"/>
              <w:rPr>
                <w:rFonts w:cs="Arial"/>
              </w:rPr>
            </w:pPr>
            <w:r w:rsidRPr="001E3005">
              <w:rPr>
                <w:rFonts w:cs="Arial"/>
              </w:rPr>
              <w:t>13.8%</w:t>
            </w:r>
          </w:p>
        </w:tc>
      </w:tr>
      <w:tr w:rsidR="006A2C17" w:rsidTr="007D4064">
        <w:trPr>
          <w:cantSplit/>
        </w:trPr>
        <w:tc>
          <w:tcPr>
            <w:tcW w:w="3333" w:type="dxa"/>
            <w:shd w:val="clear" w:color="auto" w:fill="auto"/>
            <w:vAlign w:val="center"/>
          </w:tcPr>
          <w:p w:rsidR="00230743" w:rsidRPr="001E3005" w:rsidRDefault="0062660D" w:rsidP="001E3005">
            <w:pPr>
              <w:jc w:val="left"/>
              <w:rPr>
                <w:rFonts w:cs="Arial"/>
              </w:rPr>
            </w:pPr>
            <w:r w:rsidRPr="001E3005">
              <w:rPr>
                <w:rFonts w:cs="Arial"/>
              </w:rPr>
              <w:t>CG Cleaning (St James the Less)</w:t>
            </w:r>
          </w:p>
        </w:tc>
        <w:tc>
          <w:tcPr>
            <w:tcW w:w="1842" w:type="dxa"/>
            <w:shd w:val="clear" w:color="auto" w:fill="auto"/>
            <w:vAlign w:val="center"/>
          </w:tcPr>
          <w:p w:rsidR="00230743" w:rsidRPr="001E3005" w:rsidRDefault="0062660D" w:rsidP="001E3005">
            <w:pPr>
              <w:jc w:val="left"/>
              <w:rPr>
                <w:rFonts w:cs="Arial"/>
              </w:rPr>
            </w:pPr>
            <w:r w:rsidRPr="001E3005">
              <w:rPr>
                <w:rFonts w:cs="Arial"/>
              </w:rPr>
              <w:t>-13.1%</w:t>
            </w:r>
          </w:p>
        </w:tc>
        <w:tc>
          <w:tcPr>
            <w:tcW w:w="1843" w:type="dxa"/>
            <w:shd w:val="clear" w:color="auto" w:fill="auto"/>
            <w:vAlign w:val="center"/>
          </w:tcPr>
          <w:p w:rsidR="00230743" w:rsidRPr="001E3005" w:rsidRDefault="0062660D" w:rsidP="001E3005">
            <w:pPr>
              <w:jc w:val="left"/>
              <w:rPr>
                <w:rFonts w:cs="Arial"/>
              </w:rPr>
            </w:pPr>
            <w:r w:rsidRPr="001E3005">
              <w:rPr>
                <w:rFonts w:cs="Arial"/>
              </w:rPr>
              <w:t>0.0%</w:t>
            </w:r>
          </w:p>
        </w:tc>
        <w:tc>
          <w:tcPr>
            <w:tcW w:w="1843" w:type="dxa"/>
            <w:shd w:val="clear" w:color="auto" w:fill="auto"/>
            <w:vAlign w:val="center"/>
          </w:tcPr>
          <w:p w:rsidR="00230743" w:rsidRPr="001E3005" w:rsidRDefault="0062660D" w:rsidP="001E3005">
            <w:pPr>
              <w:jc w:val="left"/>
              <w:rPr>
                <w:rFonts w:cs="Arial"/>
              </w:rPr>
            </w:pPr>
            <w:r w:rsidRPr="001E3005">
              <w:rPr>
                <w:rFonts w:cs="Arial"/>
              </w:rPr>
              <w:t>-13.1%</w:t>
            </w:r>
          </w:p>
        </w:tc>
        <w:tc>
          <w:tcPr>
            <w:tcW w:w="1984" w:type="dxa"/>
            <w:shd w:val="clear" w:color="auto" w:fill="auto"/>
            <w:vAlign w:val="center"/>
          </w:tcPr>
          <w:p w:rsidR="00230743" w:rsidRPr="001E3005" w:rsidRDefault="0062660D" w:rsidP="001E3005">
            <w:pPr>
              <w:jc w:val="left"/>
              <w:rPr>
                <w:rFonts w:cs="Arial"/>
              </w:rPr>
            </w:pPr>
            <w:r w:rsidRPr="001E3005">
              <w:rPr>
                <w:rFonts w:cs="Arial"/>
              </w:rPr>
              <w:t>0.0%</w:t>
            </w:r>
          </w:p>
        </w:tc>
        <w:tc>
          <w:tcPr>
            <w:tcW w:w="2127" w:type="dxa"/>
            <w:shd w:val="clear" w:color="auto" w:fill="auto"/>
            <w:vAlign w:val="center"/>
          </w:tcPr>
          <w:p w:rsidR="00230743" w:rsidRPr="001E3005" w:rsidRDefault="0062660D" w:rsidP="001E3005">
            <w:pPr>
              <w:jc w:val="left"/>
              <w:rPr>
                <w:rFonts w:cs="Arial"/>
              </w:rPr>
            </w:pPr>
            <w:r w:rsidRPr="001E3005">
              <w:rPr>
                <w:rFonts w:cs="Arial"/>
              </w:rPr>
              <w:t>-13.1%</w:t>
            </w:r>
          </w:p>
        </w:tc>
        <w:tc>
          <w:tcPr>
            <w:tcW w:w="2409" w:type="dxa"/>
            <w:shd w:val="clear" w:color="auto" w:fill="auto"/>
            <w:vAlign w:val="center"/>
          </w:tcPr>
          <w:p w:rsidR="00230743" w:rsidRPr="001E3005" w:rsidRDefault="0062660D" w:rsidP="001E3005">
            <w:pPr>
              <w:jc w:val="left"/>
              <w:rPr>
                <w:rFonts w:cs="Arial"/>
              </w:rPr>
            </w:pPr>
            <w:r w:rsidRPr="001E3005">
              <w:rPr>
                <w:rFonts w:cs="Arial"/>
              </w:rPr>
              <w:t>0.0%</w:t>
            </w:r>
          </w:p>
        </w:tc>
      </w:tr>
      <w:tr w:rsidR="006A2C17" w:rsidTr="007D4064">
        <w:trPr>
          <w:cantSplit/>
        </w:trPr>
        <w:tc>
          <w:tcPr>
            <w:tcW w:w="3333" w:type="dxa"/>
            <w:shd w:val="clear" w:color="auto" w:fill="auto"/>
            <w:vAlign w:val="center"/>
          </w:tcPr>
          <w:p w:rsidR="00230743" w:rsidRPr="001E3005" w:rsidRDefault="0062660D" w:rsidP="001E3005">
            <w:pPr>
              <w:jc w:val="left"/>
              <w:rPr>
                <w:rFonts w:cs="Arial"/>
              </w:rPr>
            </w:pPr>
            <w:r w:rsidRPr="001E3005">
              <w:rPr>
                <w:rFonts w:cs="Arial"/>
              </w:rPr>
              <w:t>CG Cleaning Ltd (</w:t>
            </w:r>
            <w:proofErr w:type="spellStart"/>
            <w:r w:rsidRPr="001E3005">
              <w:rPr>
                <w:rFonts w:cs="Arial"/>
              </w:rPr>
              <w:t>Balladen</w:t>
            </w:r>
            <w:proofErr w:type="spellEnd"/>
            <w:r w:rsidRPr="001E3005">
              <w:rPr>
                <w:rFonts w:cs="Arial"/>
              </w:rPr>
              <w:t>)</w:t>
            </w:r>
          </w:p>
        </w:tc>
        <w:tc>
          <w:tcPr>
            <w:tcW w:w="1842" w:type="dxa"/>
            <w:shd w:val="clear" w:color="auto" w:fill="auto"/>
            <w:vAlign w:val="center"/>
          </w:tcPr>
          <w:p w:rsidR="00230743" w:rsidRPr="001E3005" w:rsidRDefault="0062660D" w:rsidP="001E3005">
            <w:pPr>
              <w:jc w:val="left"/>
              <w:rPr>
                <w:rFonts w:cs="Arial"/>
              </w:rPr>
            </w:pPr>
            <w:r w:rsidRPr="001E3005">
              <w:rPr>
                <w:rFonts w:cs="Arial"/>
              </w:rPr>
              <w:t>4.9%</w:t>
            </w:r>
          </w:p>
        </w:tc>
        <w:tc>
          <w:tcPr>
            <w:tcW w:w="1843" w:type="dxa"/>
            <w:shd w:val="clear" w:color="auto" w:fill="auto"/>
            <w:vAlign w:val="center"/>
          </w:tcPr>
          <w:p w:rsidR="00230743" w:rsidRPr="001E3005" w:rsidRDefault="0062660D" w:rsidP="001E3005">
            <w:pPr>
              <w:jc w:val="left"/>
              <w:rPr>
                <w:rFonts w:cs="Arial"/>
              </w:rPr>
            </w:pPr>
            <w:r w:rsidRPr="001E3005">
              <w:rPr>
                <w:rFonts w:cs="Arial"/>
              </w:rPr>
              <w:t>18.0%</w:t>
            </w:r>
          </w:p>
        </w:tc>
        <w:tc>
          <w:tcPr>
            <w:tcW w:w="1843" w:type="dxa"/>
            <w:shd w:val="clear" w:color="auto" w:fill="auto"/>
            <w:vAlign w:val="center"/>
          </w:tcPr>
          <w:p w:rsidR="00230743" w:rsidRPr="001E3005" w:rsidRDefault="0062660D" w:rsidP="001E3005">
            <w:pPr>
              <w:jc w:val="left"/>
              <w:rPr>
                <w:rFonts w:cs="Arial"/>
              </w:rPr>
            </w:pPr>
            <w:r w:rsidRPr="001E3005">
              <w:rPr>
                <w:rFonts w:cs="Arial"/>
              </w:rPr>
              <w:t>4.9%</w:t>
            </w:r>
          </w:p>
        </w:tc>
        <w:tc>
          <w:tcPr>
            <w:tcW w:w="1984" w:type="dxa"/>
            <w:shd w:val="clear" w:color="auto" w:fill="auto"/>
            <w:vAlign w:val="center"/>
          </w:tcPr>
          <w:p w:rsidR="00230743" w:rsidRPr="001E3005" w:rsidRDefault="0062660D" w:rsidP="001E3005">
            <w:pPr>
              <w:jc w:val="left"/>
              <w:rPr>
                <w:rFonts w:cs="Arial"/>
              </w:rPr>
            </w:pPr>
            <w:r w:rsidRPr="001E3005">
              <w:rPr>
                <w:rFonts w:cs="Arial"/>
              </w:rPr>
              <w:t>18.0%</w:t>
            </w:r>
          </w:p>
        </w:tc>
        <w:tc>
          <w:tcPr>
            <w:tcW w:w="2127" w:type="dxa"/>
            <w:shd w:val="clear" w:color="auto" w:fill="auto"/>
            <w:vAlign w:val="center"/>
          </w:tcPr>
          <w:p w:rsidR="00230743" w:rsidRPr="001E3005" w:rsidRDefault="0062660D" w:rsidP="001E3005">
            <w:pPr>
              <w:jc w:val="left"/>
              <w:rPr>
                <w:rFonts w:cs="Arial"/>
              </w:rPr>
            </w:pPr>
            <w:r w:rsidRPr="001E3005">
              <w:rPr>
                <w:rFonts w:cs="Arial"/>
              </w:rPr>
              <w:t>4.9%</w:t>
            </w:r>
          </w:p>
        </w:tc>
        <w:tc>
          <w:tcPr>
            <w:tcW w:w="2409" w:type="dxa"/>
            <w:shd w:val="clear" w:color="auto" w:fill="auto"/>
            <w:vAlign w:val="center"/>
          </w:tcPr>
          <w:p w:rsidR="00230743" w:rsidRPr="001E3005" w:rsidRDefault="0062660D" w:rsidP="001E3005">
            <w:pPr>
              <w:jc w:val="left"/>
              <w:rPr>
                <w:rFonts w:cs="Arial"/>
              </w:rPr>
            </w:pPr>
            <w:r w:rsidRPr="001E3005">
              <w:rPr>
                <w:rFonts w:cs="Arial"/>
              </w:rPr>
              <w:t>18.0%</w:t>
            </w:r>
          </w:p>
        </w:tc>
      </w:tr>
      <w:tr w:rsidR="006A2C17" w:rsidTr="007D4064">
        <w:trPr>
          <w:cantSplit/>
        </w:trPr>
        <w:tc>
          <w:tcPr>
            <w:tcW w:w="3333" w:type="dxa"/>
            <w:shd w:val="clear" w:color="auto" w:fill="auto"/>
            <w:vAlign w:val="center"/>
          </w:tcPr>
          <w:p w:rsidR="00230743" w:rsidRPr="001E3005" w:rsidRDefault="0062660D" w:rsidP="001E3005">
            <w:pPr>
              <w:jc w:val="left"/>
              <w:rPr>
                <w:rFonts w:cs="Arial"/>
              </w:rPr>
            </w:pPr>
            <w:r w:rsidRPr="001E3005">
              <w:rPr>
                <w:rFonts w:cs="Arial"/>
              </w:rPr>
              <w:t xml:space="preserve">CG Cleaning Ltd </w:t>
            </w:r>
            <w:r w:rsidRPr="001E3005">
              <w:rPr>
                <w:rFonts w:cs="Arial"/>
              </w:rPr>
              <w:t>(St Patrick's)</w:t>
            </w:r>
          </w:p>
        </w:tc>
        <w:tc>
          <w:tcPr>
            <w:tcW w:w="1842" w:type="dxa"/>
            <w:shd w:val="clear" w:color="auto" w:fill="auto"/>
            <w:vAlign w:val="center"/>
          </w:tcPr>
          <w:p w:rsidR="00230743" w:rsidRPr="001E3005" w:rsidRDefault="0062660D" w:rsidP="001E3005">
            <w:pPr>
              <w:jc w:val="left"/>
              <w:rPr>
                <w:rFonts w:cs="Arial"/>
              </w:rPr>
            </w:pPr>
            <w:r w:rsidRPr="001E3005">
              <w:rPr>
                <w:rFonts w:cs="Arial"/>
              </w:rPr>
              <w:t>3.5%</w:t>
            </w:r>
          </w:p>
        </w:tc>
        <w:tc>
          <w:tcPr>
            <w:tcW w:w="1843" w:type="dxa"/>
            <w:shd w:val="clear" w:color="auto" w:fill="auto"/>
            <w:vAlign w:val="center"/>
          </w:tcPr>
          <w:p w:rsidR="00230743" w:rsidRPr="001E3005" w:rsidRDefault="0062660D" w:rsidP="001E3005">
            <w:pPr>
              <w:jc w:val="left"/>
              <w:rPr>
                <w:rFonts w:cs="Arial"/>
              </w:rPr>
            </w:pPr>
            <w:r w:rsidRPr="001E3005">
              <w:rPr>
                <w:rFonts w:cs="Arial"/>
              </w:rPr>
              <w:t>16.6%</w:t>
            </w:r>
          </w:p>
        </w:tc>
        <w:tc>
          <w:tcPr>
            <w:tcW w:w="1843" w:type="dxa"/>
            <w:shd w:val="clear" w:color="auto" w:fill="auto"/>
            <w:vAlign w:val="center"/>
          </w:tcPr>
          <w:p w:rsidR="00230743" w:rsidRPr="001E3005" w:rsidRDefault="0062660D" w:rsidP="001E3005">
            <w:pPr>
              <w:jc w:val="left"/>
              <w:rPr>
                <w:rFonts w:cs="Arial"/>
              </w:rPr>
            </w:pPr>
            <w:r w:rsidRPr="001E3005">
              <w:rPr>
                <w:rFonts w:cs="Arial"/>
              </w:rPr>
              <w:t>3.5%</w:t>
            </w:r>
          </w:p>
        </w:tc>
        <w:tc>
          <w:tcPr>
            <w:tcW w:w="1984" w:type="dxa"/>
            <w:shd w:val="clear" w:color="auto" w:fill="auto"/>
            <w:vAlign w:val="center"/>
          </w:tcPr>
          <w:p w:rsidR="00230743" w:rsidRPr="001E3005" w:rsidRDefault="0062660D" w:rsidP="001E3005">
            <w:pPr>
              <w:jc w:val="left"/>
              <w:rPr>
                <w:rFonts w:cs="Arial"/>
              </w:rPr>
            </w:pPr>
            <w:r w:rsidRPr="001E3005">
              <w:rPr>
                <w:rFonts w:cs="Arial"/>
              </w:rPr>
              <w:t>16.6%</w:t>
            </w:r>
          </w:p>
        </w:tc>
        <w:tc>
          <w:tcPr>
            <w:tcW w:w="2127" w:type="dxa"/>
            <w:shd w:val="clear" w:color="auto" w:fill="auto"/>
            <w:vAlign w:val="center"/>
          </w:tcPr>
          <w:p w:rsidR="00230743" w:rsidRPr="001E3005" w:rsidRDefault="0062660D" w:rsidP="001E3005">
            <w:pPr>
              <w:jc w:val="left"/>
              <w:rPr>
                <w:rFonts w:cs="Arial"/>
              </w:rPr>
            </w:pPr>
            <w:r w:rsidRPr="001E3005">
              <w:rPr>
                <w:rFonts w:cs="Arial"/>
              </w:rPr>
              <w:t>3.5%</w:t>
            </w:r>
          </w:p>
        </w:tc>
        <w:tc>
          <w:tcPr>
            <w:tcW w:w="2409" w:type="dxa"/>
            <w:shd w:val="clear" w:color="auto" w:fill="auto"/>
            <w:vAlign w:val="center"/>
          </w:tcPr>
          <w:p w:rsidR="00230743" w:rsidRPr="001E3005" w:rsidRDefault="0062660D" w:rsidP="001E3005">
            <w:pPr>
              <w:jc w:val="left"/>
              <w:rPr>
                <w:rFonts w:cs="Arial"/>
              </w:rPr>
            </w:pPr>
            <w:r w:rsidRPr="001E3005">
              <w:rPr>
                <w:rFonts w:cs="Arial"/>
              </w:rPr>
              <w:t>16.6%</w:t>
            </w:r>
          </w:p>
        </w:tc>
      </w:tr>
      <w:tr w:rsidR="006A2C17" w:rsidTr="007D4064">
        <w:trPr>
          <w:cantSplit/>
        </w:trPr>
        <w:tc>
          <w:tcPr>
            <w:tcW w:w="3333" w:type="dxa"/>
            <w:shd w:val="clear" w:color="auto" w:fill="auto"/>
            <w:vAlign w:val="center"/>
          </w:tcPr>
          <w:p w:rsidR="00230743" w:rsidRPr="001E3005" w:rsidRDefault="0062660D" w:rsidP="001E3005">
            <w:pPr>
              <w:jc w:val="left"/>
              <w:rPr>
                <w:rFonts w:cs="Arial"/>
              </w:rPr>
            </w:pPr>
            <w:r w:rsidRPr="001E3005">
              <w:rPr>
                <w:rFonts w:cs="Arial"/>
              </w:rPr>
              <w:t>Chorley Borough Council</w:t>
            </w:r>
          </w:p>
        </w:tc>
        <w:tc>
          <w:tcPr>
            <w:tcW w:w="1842" w:type="dxa"/>
            <w:shd w:val="clear" w:color="auto" w:fill="auto"/>
            <w:vAlign w:val="center"/>
          </w:tcPr>
          <w:p w:rsidR="00230743" w:rsidRPr="001E3005" w:rsidRDefault="0062660D" w:rsidP="001E3005">
            <w:pPr>
              <w:jc w:val="left"/>
              <w:rPr>
                <w:rFonts w:cs="Arial"/>
              </w:rPr>
            </w:pPr>
            <w:r w:rsidRPr="001E3005">
              <w:rPr>
                <w:rFonts w:cs="Arial"/>
              </w:rPr>
              <w:t>-2.0% plus £709,600</w:t>
            </w:r>
          </w:p>
        </w:tc>
        <w:tc>
          <w:tcPr>
            <w:tcW w:w="1843" w:type="dxa"/>
            <w:shd w:val="clear" w:color="auto" w:fill="auto"/>
            <w:vAlign w:val="center"/>
          </w:tcPr>
          <w:p w:rsidR="00230743" w:rsidRPr="001E3005" w:rsidRDefault="0062660D" w:rsidP="001E3005">
            <w:pPr>
              <w:jc w:val="left"/>
              <w:rPr>
                <w:rFonts w:cs="Arial"/>
              </w:rPr>
            </w:pPr>
            <w:r w:rsidRPr="001E3005">
              <w:rPr>
                <w:rFonts w:cs="Arial"/>
              </w:rPr>
              <w:t>11.1% plus £709,600</w:t>
            </w:r>
          </w:p>
        </w:tc>
        <w:tc>
          <w:tcPr>
            <w:tcW w:w="1843" w:type="dxa"/>
            <w:shd w:val="clear" w:color="auto" w:fill="auto"/>
            <w:vAlign w:val="center"/>
          </w:tcPr>
          <w:p w:rsidR="00230743" w:rsidRPr="001E3005" w:rsidRDefault="0062660D" w:rsidP="001E3005">
            <w:pPr>
              <w:jc w:val="left"/>
              <w:rPr>
                <w:rFonts w:cs="Arial"/>
              </w:rPr>
            </w:pPr>
            <w:r w:rsidRPr="001E3005">
              <w:rPr>
                <w:rFonts w:cs="Arial"/>
              </w:rPr>
              <w:t>-2.0% plus £831,900</w:t>
            </w:r>
          </w:p>
        </w:tc>
        <w:tc>
          <w:tcPr>
            <w:tcW w:w="1984" w:type="dxa"/>
            <w:shd w:val="clear" w:color="auto" w:fill="auto"/>
            <w:vAlign w:val="center"/>
          </w:tcPr>
          <w:p w:rsidR="00230743" w:rsidRPr="001E3005" w:rsidRDefault="0062660D" w:rsidP="001E3005">
            <w:pPr>
              <w:jc w:val="left"/>
              <w:rPr>
                <w:rFonts w:cs="Arial"/>
              </w:rPr>
            </w:pPr>
            <w:r w:rsidRPr="001E3005">
              <w:rPr>
                <w:rFonts w:cs="Arial"/>
              </w:rPr>
              <w:t>11.1% plus £831,900</w:t>
            </w:r>
          </w:p>
        </w:tc>
        <w:tc>
          <w:tcPr>
            <w:tcW w:w="2127" w:type="dxa"/>
            <w:shd w:val="clear" w:color="auto" w:fill="auto"/>
            <w:vAlign w:val="center"/>
          </w:tcPr>
          <w:p w:rsidR="00230743" w:rsidRPr="001E3005" w:rsidRDefault="0062660D" w:rsidP="001E3005">
            <w:pPr>
              <w:jc w:val="left"/>
              <w:rPr>
                <w:rFonts w:cs="Arial"/>
              </w:rPr>
            </w:pPr>
            <w:r w:rsidRPr="001E3005">
              <w:rPr>
                <w:rFonts w:cs="Arial"/>
              </w:rPr>
              <w:t>-2.0% plus £955,600</w:t>
            </w:r>
          </w:p>
        </w:tc>
        <w:tc>
          <w:tcPr>
            <w:tcW w:w="2409" w:type="dxa"/>
            <w:shd w:val="clear" w:color="auto" w:fill="auto"/>
            <w:vAlign w:val="center"/>
          </w:tcPr>
          <w:p w:rsidR="00230743" w:rsidRPr="001E3005" w:rsidRDefault="0062660D" w:rsidP="001E3005">
            <w:pPr>
              <w:jc w:val="left"/>
              <w:rPr>
                <w:rFonts w:cs="Arial"/>
              </w:rPr>
            </w:pPr>
            <w:r w:rsidRPr="001E3005">
              <w:rPr>
                <w:rFonts w:cs="Arial"/>
              </w:rPr>
              <w:t>11.1% plus £955,600</w:t>
            </w:r>
          </w:p>
        </w:tc>
      </w:tr>
      <w:tr w:rsidR="006A2C17" w:rsidTr="007D4064">
        <w:trPr>
          <w:cantSplit/>
        </w:trPr>
        <w:tc>
          <w:tcPr>
            <w:tcW w:w="3333" w:type="dxa"/>
            <w:shd w:val="clear" w:color="auto" w:fill="auto"/>
            <w:vAlign w:val="center"/>
          </w:tcPr>
          <w:p w:rsidR="00230743" w:rsidRPr="001E3005" w:rsidRDefault="0062660D" w:rsidP="001E3005">
            <w:pPr>
              <w:jc w:val="left"/>
              <w:rPr>
                <w:rFonts w:cs="Arial"/>
              </w:rPr>
            </w:pPr>
            <w:r w:rsidRPr="001E3005">
              <w:rPr>
                <w:rFonts w:cs="Arial"/>
              </w:rPr>
              <w:t>Chorley Community Housing Ltd</w:t>
            </w:r>
          </w:p>
        </w:tc>
        <w:tc>
          <w:tcPr>
            <w:tcW w:w="1842" w:type="dxa"/>
            <w:shd w:val="clear" w:color="auto" w:fill="auto"/>
            <w:vAlign w:val="center"/>
          </w:tcPr>
          <w:p w:rsidR="00230743" w:rsidRPr="001E3005" w:rsidRDefault="0062660D" w:rsidP="001E3005">
            <w:pPr>
              <w:jc w:val="left"/>
              <w:rPr>
                <w:rFonts w:cs="Arial"/>
              </w:rPr>
            </w:pPr>
            <w:r w:rsidRPr="001E3005">
              <w:rPr>
                <w:rFonts w:cs="Arial"/>
              </w:rPr>
              <w:t>1.5%</w:t>
            </w:r>
          </w:p>
        </w:tc>
        <w:tc>
          <w:tcPr>
            <w:tcW w:w="1843" w:type="dxa"/>
            <w:shd w:val="clear" w:color="auto" w:fill="auto"/>
            <w:vAlign w:val="center"/>
          </w:tcPr>
          <w:p w:rsidR="00230743" w:rsidRPr="001E3005" w:rsidRDefault="0062660D" w:rsidP="001E3005">
            <w:pPr>
              <w:jc w:val="left"/>
              <w:rPr>
                <w:rFonts w:cs="Arial"/>
              </w:rPr>
            </w:pPr>
            <w:r w:rsidRPr="001E3005">
              <w:rPr>
                <w:rFonts w:cs="Arial"/>
              </w:rPr>
              <w:t>14.6%</w:t>
            </w:r>
          </w:p>
        </w:tc>
        <w:tc>
          <w:tcPr>
            <w:tcW w:w="1843" w:type="dxa"/>
            <w:shd w:val="clear" w:color="auto" w:fill="auto"/>
            <w:vAlign w:val="center"/>
          </w:tcPr>
          <w:p w:rsidR="00230743" w:rsidRPr="001E3005" w:rsidRDefault="0062660D" w:rsidP="001E3005">
            <w:pPr>
              <w:jc w:val="left"/>
              <w:rPr>
                <w:rFonts w:cs="Arial"/>
              </w:rPr>
            </w:pPr>
            <w:r w:rsidRPr="001E3005">
              <w:rPr>
                <w:rFonts w:cs="Arial"/>
              </w:rPr>
              <w:t>2.0%</w:t>
            </w:r>
          </w:p>
        </w:tc>
        <w:tc>
          <w:tcPr>
            <w:tcW w:w="1984" w:type="dxa"/>
            <w:shd w:val="clear" w:color="auto" w:fill="auto"/>
            <w:vAlign w:val="center"/>
          </w:tcPr>
          <w:p w:rsidR="00230743" w:rsidRPr="001E3005" w:rsidRDefault="0062660D" w:rsidP="001E3005">
            <w:pPr>
              <w:jc w:val="left"/>
              <w:rPr>
                <w:rFonts w:cs="Arial"/>
              </w:rPr>
            </w:pPr>
            <w:r w:rsidRPr="001E3005">
              <w:rPr>
                <w:rFonts w:cs="Arial"/>
              </w:rPr>
              <w:t>15.1%</w:t>
            </w:r>
          </w:p>
        </w:tc>
        <w:tc>
          <w:tcPr>
            <w:tcW w:w="2127" w:type="dxa"/>
            <w:shd w:val="clear" w:color="auto" w:fill="auto"/>
            <w:vAlign w:val="center"/>
          </w:tcPr>
          <w:p w:rsidR="00230743" w:rsidRPr="001E3005" w:rsidRDefault="0062660D" w:rsidP="001E3005">
            <w:pPr>
              <w:jc w:val="left"/>
              <w:rPr>
                <w:rFonts w:cs="Arial"/>
              </w:rPr>
            </w:pPr>
            <w:r w:rsidRPr="001E3005">
              <w:rPr>
                <w:rFonts w:cs="Arial"/>
              </w:rPr>
              <w:t>2.5%</w:t>
            </w:r>
          </w:p>
        </w:tc>
        <w:tc>
          <w:tcPr>
            <w:tcW w:w="2409" w:type="dxa"/>
            <w:shd w:val="clear" w:color="auto" w:fill="auto"/>
            <w:vAlign w:val="center"/>
          </w:tcPr>
          <w:p w:rsidR="00230743" w:rsidRPr="001E3005" w:rsidRDefault="0062660D" w:rsidP="001E3005">
            <w:pPr>
              <w:jc w:val="left"/>
              <w:rPr>
                <w:rFonts w:cs="Arial"/>
              </w:rPr>
            </w:pPr>
            <w:r w:rsidRPr="001E3005">
              <w:rPr>
                <w:rFonts w:cs="Arial"/>
              </w:rPr>
              <w:t>15.6%</w:t>
            </w:r>
          </w:p>
        </w:tc>
      </w:tr>
      <w:tr w:rsidR="006A2C17" w:rsidTr="007D4064">
        <w:trPr>
          <w:cantSplit/>
        </w:trPr>
        <w:tc>
          <w:tcPr>
            <w:tcW w:w="3333" w:type="dxa"/>
            <w:shd w:val="clear" w:color="auto" w:fill="auto"/>
            <w:vAlign w:val="center"/>
          </w:tcPr>
          <w:p w:rsidR="00230743" w:rsidRPr="001E3005" w:rsidRDefault="0062660D" w:rsidP="001E3005">
            <w:pPr>
              <w:jc w:val="left"/>
              <w:rPr>
                <w:rFonts w:cs="Arial"/>
              </w:rPr>
            </w:pPr>
            <w:r w:rsidRPr="001E3005">
              <w:rPr>
                <w:rFonts w:cs="Arial"/>
              </w:rPr>
              <w:t>Church Road Day Care Unit</w:t>
            </w:r>
          </w:p>
        </w:tc>
        <w:tc>
          <w:tcPr>
            <w:tcW w:w="1842" w:type="dxa"/>
            <w:shd w:val="clear" w:color="auto" w:fill="auto"/>
            <w:vAlign w:val="center"/>
          </w:tcPr>
          <w:p w:rsidR="00230743" w:rsidRPr="001E3005" w:rsidRDefault="0062660D" w:rsidP="001E3005">
            <w:pPr>
              <w:jc w:val="left"/>
              <w:rPr>
                <w:rFonts w:cs="Arial"/>
              </w:rPr>
            </w:pPr>
            <w:r w:rsidRPr="001E3005">
              <w:rPr>
                <w:rFonts w:cs="Arial"/>
              </w:rPr>
              <w:t>12.7% plus £3,100</w:t>
            </w:r>
          </w:p>
        </w:tc>
        <w:tc>
          <w:tcPr>
            <w:tcW w:w="1843" w:type="dxa"/>
            <w:shd w:val="clear" w:color="auto" w:fill="auto"/>
            <w:vAlign w:val="center"/>
          </w:tcPr>
          <w:p w:rsidR="00230743" w:rsidRPr="001E3005" w:rsidRDefault="0062660D" w:rsidP="001E3005">
            <w:pPr>
              <w:jc w:val="left"/>
              <w:rPr>
                <w:rFonts w:cs="Arial"/>
              </w:rPr>
            </w:pPr>
            <w:r w:rsidRPr="001E3005">
              <w:rPr>
                <w:rFonts w:cs="Arial"/>
              </w:rPr>
              <w:t>25.8% plus £3,100</w:t>
            </w:r>
          </w:p>
        </w:tc>
        <w:tc>
          <w:tcPr>
            <w:tcW w:w="1843" w:type="dxa"/>
            <w:shd w:val="clear" w:color="auto" w:fill="auto"/>
            <w:vAlign w:val="center"/>
          </w:tcPr>
          <w:p w:rsidR="00230743" w:rsidRPr="001E3005" w:rsidRDefault="0062660D" w:rsidP="001E3005">
            <w:pPr>
              <w:jc w:val="left"/>
              <w:rPr>
                <w:rFonts w:cs="Arial"/>
              </w:rPr>
            </w:pPr>
            <w:r w:rsidRPr="001E3005">
              <w:rPr>
                <w:rFonts w:cs="Arial"/>
              </w:rPr>
              <w:t>12.7% plus £11,900</w:t>
            </w:r>
          </w:p>
        </w:tc>
        <w:tc>
          <w:tcPr>
            <w:tcW w:w="1984" w:type="dxa"/>
            <w:shd w:val="clear" w:color="auto" w:fill="auto"/>
            <w:vAlign w:val="center"/>
          </w:tcPr>
          <w:p w:rsidR="00230743" w:rsidRPr="001E3005" w:rsidRDefault="0062660D" w:rsidP="001E3005">
            <w:pPr>
              <w:jc w:val="left"/>
              <w:rPr>
                <w:rFonts w:cs="Arial"/>
              </w:rPr>
            </w:pPr>
            <w:r w:rsidRPr="001E3005">
              <w:rPr>
                <w:rFonts w:cs="Arial"/>
              </w:rPr>
              <w:t>25.8% plus £11,900</w:t>
            </w:r>
          </w:p>
        </w:tc>
        <w:tc>
          <w:tcPr>
            <w:tcW w:w="2127" w:type="dxa"/>
            <w:shd w:val="clear" w:color="auto" w:fill="auto"/>
            <w:vAlign w:val="center"/>
          </w:tcPr>
          <w:p w:rsidR="00230743" w:rsidRPr="001E3005" w:rsidRDefault="0062660D" w:rsidP="001E3005">
            <w:pPr>
              <w:jc w:val="left"/>
              <w:rPr>
                <w:rFonts w:cs="Arial"/>
              </w:rPr>
            </w:pPr>
            <w:r w:rsidRPr="001E3005">
              <w:rPr>
                <w:rFonts w:cs="Arial"/>
              </w:rPr>
              <w:t>12.7% plus £20,700</w:t>
            </w:r>
          </w:p>
        </w:tc>
        <w:tc>
          <w:tcPr>
            <w:tcW w:w="2409" w:type="dxa"/>
            <w:shd w:val="clear" w:color="auto" w:fill="auto"/>
            <w:vAlign w:val="center"/>
          </w:tcPr>
          <w:p w:rsidR="00230743" w:rsidRPr="001E3005" w:rsidRDefault="0062660D" w:rsidP="001E3005">
            <w:pPr>
              <w:jc w:val="left"/>
              <w:rPr>
                <w:rFonts w:cs="Arial"/>
              </w:rPr>
            </w:pPr>
            <w:r w:rsidRPr="001E3005">
              <w:rPr>
                <w:rFonts w:cs="Arial"/>
              </w:rPr>
              <w:t>25.8% plus £20,700</w:t>
            </w:r>
          </w:p>
        </w:tc>
      </w:tr>
      <w:tr w:rsidR="006A2C17" w:rsidTr="007D4064">
        <w:trPr>
          <w:cantSplit/>
        </w:trPr>
        <w:tc>
          <w:tcPr>
            <w:tcW w:w="3333" w:type="dxa"/>
            <w:shd w:val="clear" w:color="auto" w:fill="auto"/>
            <w:vAlign w:val="center"/>
          </w:tcPr>
          <w:p w:rsidR="00230743" w:rsidRPr="001E3005" w:rsidRDefault="0062660D" w:rsidP="001E3005">
            <w:pPr>
              <w:jc w:val="left"/>
              <w:rPr>
                <w:rFonts w:cs="Arial"/>
              </w:rPr>
            </w:pPr>
            <w:r w:rsidRPr="001E3005">
              <w:rPr>
                <w:rFonts w:cs="Arial"/>
              </w:rPr>
              <w:t>Clitheroe Royal Grammar School (Academy)</w:t>
            </w:r>
          </w:p>
        </w:tc>
        <w:tc>
          <w:tcPr>
            <w:tcW w:w="1842" w:type="dxa"/>
            <w:shd w:val="clear" w:color="auto" w:fill="auto"/>
            <w:vAlign w:val="center"/>
          </w:tcPr>
          <w:p w:rsidR="00230743" w:rsidRPr="001E3005" w:rsidRDefault="0062660D" w:rsidP="001E3005">
            <w:pPr>
              <w:jc w:val="left"/>
              <w:rPr>
                <w:rFonts w:cs="Arial"/>
              </w:rPr>
            </w:pPr>
            <w:r w:rsidRPr="001E3005">
              <w:rPr>
                <w:rFonts w:cs="Arial"/>
              </w:rPr>
              <w:t>2.9% plus £43,100</w:t>
            </w:r>
          </w:p>
        </w:tc>
        <w:tc>
          <w:tcPr>
            <w:tcW w:w="1843" w:type="dxa"/>
            <w:shd w:val="clear" w:color="auto" w:fill="auto"/>
            <w:vAlign w:val="center"/>
          </w:tcPr>
          <w:p w:rsidR="00230743" w:rsidRPr="001E3005" w:rsidRDefault="0062660D" w:rsidP="001E3005">
            <w:pPr>
              <w:jc w:val="left"/>
              <w:rPr>
                <w:rFonts w:cs="Arial"/>
              </w:rPr>
            </w:pPr>
            <w:r w:rsidRPr="001E3005">
              <w:rPr>
                <w:rFonts w:cs="Arial"/>
              </w:rPr>
              <w:t>16.0% plus £43,100</w:t>
            </w:r>
          </w:p>
        </w:tc>
        <w:tc>
          <w:tcPr>
            <w:tcW w:w="1843" w:type="dxa"/>
            <w:shd w:val="clear" w:color="auto" w:fill="auto"/>
            <w:vAlign w:val="center"/>
          </w:tcPr>
          <w:p w:rsidR="00230743" w:rsidRPr="001E3005" w:rsidRDefault="0062660D" w:rsidP="001E3005">
            <w:pPr>
              <w:jc w:val="left"/>
              <w:rPr>
                <w:rFonts w:cs="Arial"/>
              </w:rPr>
            </w:pPr>
            <w:r w:rsidRPr="001E3005">
              <w:rPr>
                <w:rFonts w:cs="Arial"/>
              </w:rPr>
              <w:t>2.9% plus £51,500</w:t>
            </w:r>
          </w:p>
        </w:tc>
        <w:tc>
          <w:tcPr>
            <w:tcW w:w="1984" w:type="dxa"/>
            <w:shd w:val="clear" w:color="auto" w:fill="auto"/>
            <w:vAlign w:val="center"/>
          </w:tcPr>
          <w:p w:rsidR="00230743" w:rsidRPr="001E3005" w:rsidRDefault="0062660D" w:rsidP="001E3005">
            <w:pPr>
              <w:jc w:val="left"/>
              <w:rPr>
                <w:rFonts w:cs="Arial"/>
              </w:rPr>
            </w:pPr>
            <w:r w:rsidRPr="001E3005">
              <w:rPr>
                <w:rFonts w:cs="Arial"/>
              </w:rPr>
              <w:t>16.0% plus £51,500</w:t>
            </w:r>
          </w:p>
        </w:tc>
        <w:tc>
          <w:tcPr>
            <w:tcW w:w="2127" w:type="dxa"/>
            <w:shd w:val="clear" w:color="auto" w:fill="auto"/>
            <w:vAlign w:val="center"/>
          </w:tcPr>
          <w:p w:rsidR="00230743" w:rsidRPr="001E3005" w:rsidRDefault="0062660D" w:rsidP="001E3005">
            <w:pPr>
              <w:jc w:val="left"/>
              <w:rPr>
                <w:rFonts w:cs="Arial"/>
              </w:rPr>
            </w:pPr>
            <w:r w:rsidRPr="001E3005">
              <w:rPr>
                <w:rFonts w:cs="Arial"/>
              </w:rPr>
              <w:t>2.9% plus £60,000</w:t>
            </w:r>
          </w:p>
        </w:tc>
        <w:tc>
          <w:tcPr>
            <w:tcW w:w="2409" w:type="dxa"/>
            <w:shd w:val="clear" w:color="auto" w:fill="auto"/>
            <w:vAlign w:val="center"/>
          </w:tcPr>
          <w:p w:rsidR="00230743" w:rsidRPr="001E3005" w:rsidRDefault="0062660D" w:rsidP="001E3005">
            <w:pPr>
              <w:jc w:val="left"/>
              <w:rPr>
                <w:rFonts w:cs="Arial"/>
              </w:rPr>
            </w:pPr>
            <w:r w:rsidRPr="001E3005">
              <w:rPr>
                <w:rFonts w:cs="Arial"/>
              </w:rPr>
              <w:t>16.0% plus £60,000</w:t>
            </w:r>
          </w:p>
        </w:tc>
      </w:tr>
      <w:tr w:rsidR="006A2C17" w:rsidTr="007D4064">
        <w:trPr>
          <w:cantSplit/>
        </w:trPr>
        <w:tc>
          <w:tcPr>
            <w:tcW w:w="3333" w:type="dxa"/>
            <w:shd w:val="clear" w:color="auto" w:fill="auto"/>
            <w:vAlign w:val="center"/>
          </w:tcPr>
          <w:p w:rsidR="00230743" w:rsidRPr="001E3005" w:rsidRDefault="0062660D" w:rsidP="001E3005">
            <w:pPr>
              <w:jc w:val="left"/>
              <w:rPr>
                <w:rFonts w:cs="Arial"/>
              </w:rPr>
            </w:pPr>
            <w:r w:rsidRPr="001E3005">
              <w:rPr>
                <w:rFonts w:cs="Arial"/>
              </w:rPr>
              <w:t>Community and Business Partnership</w:t>
            </w:r>
          </w:p>
        </w:tc>
        <w:tc>
          <w:tcPr>
            <w:tcW w:w="1842" w:type="dxa"/>
            <w:shd w:val="clear" w:color="auto" w:fill="auto"/>
            <w:vAlign w:val="center"/>
          </w:tcPr>
          <w:p w:rsidR="00230743" w:rsidRPr="001E3005" w:rsidRDefault="0062660D" w:rsidP="001E3005">
            <w:pPr>
              <w:jc w:val="left"/>
              <w:rPr>
                <w:rFonts w:cs="Arial"/>
              </w:rPr>
            </w:pPr>
            <w:r w:rsidRPr="001E3005">
              <w:rPr>
                <w:rFonts w:cs="Arial"/>
              </w:rPr>
              <w:t>-0.3%</w:t>
            </w:r>
          </w:p>
        </w:tc>
        <w:tc>
          <w:tcPr>
            <w:tcW w:w="1843" w:type="dxa"/>
            <w:shd w:val="clear" w:color="auto" w:fill="auto"/>
            <w:vAlign w:val="center"/>
          </w:tcPr>
          <w:p w:rsidR="00230743" w:rsidRPr="001E3005" w:rsidRDefault="0062660D" w:rsidP="001E3005">
            <w:pPr>
              <w:jc w:val="left"/>
              <w:rPr>
                <w:rFonts w:cs="Arial"/>
              </w:rPr>
            </w:pPr>
            <w:r w:rsidRPr="001E3005">
              <w:rPr>
                <w:rFonts w:cs="Arial"/>
              </w:rPr>
              <w:t>12.8%</w:t>
            </w:r>
          </w:p>
        </w:tc>
        <w:tc>
          <w:tcPr>
            <w:tcW w:w="1843" w:type="dxa"/>
            <w:shd w:val="clear" w:color="auto" w:fill="auto"/>
            <w:vAlign w:val="center"/>
          </w:tcPr>
          <w:p w:rsidR="00230743" w:rsidRPr="001E3005" w:rsidRDefault="0062660D" w:rsidP="001E3005">
            <w:pPr>
              <w:jc w:val="left"/>
              <w:rPr>
                <w:rFonts w:cs="Arial"/>
              </w:rPr>
            </w:pPr>
            <w:r w:rsidRPr="001E3005">
              <w:rPr>
                <w:rFonts w:cs="Arial"/>
              </w:rPr>
              <w:t>-0.3%</w:t>
            </w:r>
          </w:p>
        </w:tc>
        <w:tc>
          <w:tcPr>
            <w:tcW w:w="1984" w:type="dxa"/>
            <w:shd w:val="clear" w:color="auto" w:fill="auto"/>
            <w:vAlign w:val="center"/>
          </w:tcPr>
          <w:p w:rsidR="00230743" w:rsidRPr="001E3005" w:rsidRDefault="0062660D" w:rsidP="001E3005">
            <w:pPr>
              <w:jc w:val="left"/>
              <w:rPr>
                <w:rFonts w:cs="Arial"/>
              </w:rPr>
            </w:pPr>
            <w:r w:rsidRPr="001E3005">
              <w:rPr>
                <w:rFonts w:cs="Arial"/>
              </w:rPr>
              <w:t>12.8%</w:t>
            </w:r>
          </w:p>
        </w:tc>
        <w:tc>
          <w:tcPr>
            <w:tcW w:w="2127" w:type="dxa"/>
            <w:shd w:val="clear" w:color="auto" w:fill="auto"/>
            <w:vAlign w:val="center"/>
          </w:tcPr>
          <w:p w:rsidR="00230743" w:rsidRPr="001E3005" w:rsidRDefault="0062660D" w:rsidP="001E3005">
            <w:pPr>
              <w:jc w:val="left"/>
              <w:rPr>
                <w:rFonts w:cs="Arial"/>
              </w:rPr>
            </w:pPr>
            <w:r w:rsidRPr="001E3005">
              <w:rPr>
                <w:rFonts w:cs="Arial"/>
              </w:rPr>
              <w:t>-0.3%</w:t>
            </w:r>
          </w:p>
        </w:tc>
        <w:tc>
          <w:tcPr>
            <w:tcW w:w="2409" w:type="dxa"/>
            <w:shd w:val="clear" w:color="auto" w:fill="auto"/>
            <w:vAlign w:val="center"/>
          </w:tcPr>
          <w:p w:rsidR="00230743" w:rsidRPr="001E3005" w:rsidRDefault="0062660D" w:rsidP="001E3005">
            <w:pPr>
              <w:jc w:val="left"/>
              <w:rPr>
                <w:rFonts w:cs="Arial"/>
              </w:rPr>
            </w:pPr>
            <w:r w:rsidRPr="001E3005">
              <w:rPr>
                <w:rFonts w:cs="Arial"/>
              </w:rPr>
              <w:t>12.8%</w:t>
            </w:r>
          </w:p>
        </w:tc>
      </w:tr>
      <w:tr w:rsidR="006A2C17" w:rsidTr="007D4064">
        <w:trPr>
          <w:cantSplit/>
        </w:trPr>
        <w:tc>
          <w:tcPr>
            <w:tcW w:w="3333" w:type="dxa"/>
            <w:shd w:val="clear" w:color="auto" w:fill="auto"/>
            <w:vAlign w:val="center"/>
          </w:tcPr>
          <w:p w:rsidR="00230743" w:rsidRPr="001E3005" w:rsidRDefault="0062660D" w:rsidP="001E3005">
            <w:pPr>
              <w:jc w:val="left"/>
              <w:rPr>
                <w:rFonts w:cs="Arial"/>
              </w:rPr>
            </w:pPr>
            <w:r w:rsidRPr="001E3005">
              <w:rPr>
                <w:rFonts w:cs="Arial"/>
              </w:rPr>
              <w:t>Community Council of Lancs</w:t>
            </w:r>
          </w:p>
        </w:tc>
        <w:tc>
          <w:tcPr>
            <w:tcW w:w="1842" w:type="dxa"/>
            <w:shd w:val="clear" w:color="auto" w:fill="auto"/>
            <w:vAlign w:val="center"/>
          </w:tcPr>
          <w:p w:rsidR="00230743" w:rsidRPr="001E3005" w:rsidRDefault="0062660D" w:rsidP="001E3005">
            <w:pPr>
              <w:jc w:val="left"/>
              <w:rPr>
                <w:rFonts w:cs="Arial"/>
              </w:rPr>
            </w:pPr>
            <w:r w:rsidRPr="001E3005">
              <w:rPr>
                <w:rFonts w:cs="Arial"/>
              </w:rPr>
              <w:t>7.7% plus £4,400</w:t>
            </w:r>
          </w:p>
        </w:tc>
        <w:tc>
          <w:tcPr>
            <w:tcW w:w="1843" w:type="dxa"/>
            <w:shd w:val="clear" w:color="auto" w:fill="auto"/>
            <w:vAlign w:val="center"/>
          </w:tcPr>
          <w:p w:rsidR="00230743" w:rsidRPr="001E3005" w:rsidRDefault="0062660D" w:rsidP="001E3005">
            <w:pPr>
              <w:jc w:val="left"/>
              <w:rPr>
                <w:rFonts w:cs="Arial"/>
              </w:rPr>
            </w:pPr>
            <w:r w:rsidRPr="001E3005">
              <w:rPr>
                <w:rFonts w:cs="Arial"/>
              </w:rPr>
              <w:t>20.8% plus £4,400</w:t>
            </w:r>
          </w:p>
        </w:tc>
        <w:tc>
          <w:tcPr>
            <w:tcW w:w="1843" w:type="dxa"/>
            <w:shd w:val="clear" w:color="auto" w:fill="auto"/>
            <w:vAlign w:val="center"/>
          </w:tcPr>
          <w:p w:rsidR="00230743" w:rsidRPr="001E3005" w:rsidRDefault="0062660D" w:rsidP="001E3005">
            <w:pPr>
              <w:jc w:val="left"/>
              <w:rPr>
                <w:rFonts w:cs="Arial"/>
              </w:rPr>
            </w:pPr>
            <w:r w:rsidRPr="001E3005">
              <w:rPr>
                <w:rFonts w:cs="Arial"/>
              </w:rPr>
              <w:t>7.7% plus £9,200</w:t>
            </w:r>
          </w:p>
        </w:tc>
        <w:tc>
          <w:tcPr>
            <w:tcW w:w="1984" w:type="dxa"/>
            <w:shd w:val="clear" w:color="auto" w:fill="auto"/>
            <w:vAlign w:val="center"/>
          </w:tcPr>
          <w:p w:rsidR="00230743" w:rsidRPr="001E3005" w:rsidRDefault="0062660D" w:rsidP="001E3005">
            <w:pPr>
              <w:jc w:val="left"/>
              <w:rPr>
                <w:rFonts w:cs="Arial"/>
              </w:rPr>
            </w:pPr>
            <w:r w:rsidRPr="001E3005">
              <w:rPr>
                <w:rFonts w:cs="Arial"/>
              </w:rPr>
              <w:t>20.8% plus £9,200</w:t>
            </w:r>
          </w:p>
        </w:tc>
        <w:tc>
          <w:tcPr>
            <w:tcW w:w="2127" w:type="dxa"/>
            <w:shd w:val="clear" w:color="auto" w:fill="auto"/>
            <w:vAlign w:val="center"/>
          </w:tcPr>
          <w:p w:rsidR="00230743" w:rsidRPr="001E3005" w:rsidRDefault="0062660D" w:rsidP="001E3005">
            <w:pPr>
              <w:jc w:val="left"/>
              <w:rPr>
                <w:rFonts w:cs="Arial"/>
              </w:rPr>
            </w:pPr>
            <w:r w:rsidRPr="001E3005">
              <w:rPr>
                <w:rFonts w:cs="Arial"/>
              </w:rPr>
              <w:t>7.7% plus £13,900</w:t>
            </w:r>
          </w:p>
        </w:tc>
        <w:tc>
          <w:tcPr>
            <w:tcW w:w="2409" w:type="dxa"/>
            <w:shd w:val="clear" w:color="auto" w:fill="auto"/>
            <w:vAlign w:val="center"/>
          </w:tcPr>
          <w:p w:rsidR="00230743" w:rsidRPr="001E3005" w:rsidRDefault="0062660D" w:rsidP="001E3005">
            <w:pPr>
              <w:jc w:val="left"/>
              <w:rPr>
                <w:rFonts w:cs="Arial"/>
              </w:rPr>
            </w:pPr>
            <w:r w:rsidRPr="001E3005">
              <w:rPr>
                <w:rFonts w:cs="Arial"/>
              </w:rPr>
              <w:t>20.8% plus £13,900</w:t>
            </w:r>
          </w:p>
        </w:tc>
      </w:tr>
      <w:tr w:rsidR="006A2C17" w:rsidTr="007D4064">
        <w:trPr>
          <w:cantSplit/>
        </w:trPr>
        <w:tc>
          <w:tcPr>
            <w:tcW w:w="3333" w:type="dxa"/>
            <w:shd w:val="clear" w:color="auto" w:fill="auto"/>
            <w:vAlign w:val="center"/>
          </w:tcPr>
          <w:p w:rsidR="00230743" w:rsidRPr="001E3005" w:rsidRDefault="0062660D" w:rsidP="001E3005">
            <w:pPr>
              <w:jc w:val="left"/>
              <w:rPr>
                <w:rFonts w:cs="Arial"/>
              </w:rPr>
            </w:pPr>
            <w:r w:rsidRPr="001E3005">
              <w:rPr>
                <w:rFonts w:cs="Arial"/>
              </w:rPr>
              <w:t xml:space="preserve">Community </w:t>
            </w:r>
            <w:r w:rsidRPr="001E3005">
              <w:rPr>
                <w:rFonts w:cs="Arial"/>
              </w:rPr>
              <w:t>Gateway Association Ltd</w:t>
            </w:r>
          </w:p>
        </w:tc>
        <w:tc>
          <w:tcPr>
            <w:tcW w:w="1842" w:type="dxa"/>
            <w:shd w:val="clear" w:color="auto" w:fill="auto"/>
            <w:vAlign w:val="center"/>
          </w:tcPr>
          <w:p w:rsidR="00230743" w:rsidRPr="001E3005" w:rsidRDefault="0062660D" w:rsidP="001E3005">
            <w:pPr>
              <w:jc w:val="left"/>
              <w:rPr>
                <w:rFonts w:cs="Arial"/>
              </w:rPr>
            </w:pPr>
            <w:r w:rsidRPr="001E3005">
              <w:rPr>
                <w:rFonts w:cs="Arial"/>
              </w:rPr>
              <w:t>1.8% plus £16,300</w:t>
            </w:r>
          </w:p>
        </w:tc>
        <w:tc>
          <w:tcPr>
            <w:tcW w:w="1843" w:type="dxa"/>
            <w:shd w:val="clear" w:color="auto" w:fill="auto"/>
            <w:vAlign w:val="center"/>
          </w:tcPr>
          <w:p w:rsidR="00230743" w:rsidRPr="001E3005" w:rsidRDefault="0062660D" w:rsidP="001E3005">
            <w:pPr>
              <w:jc w:val="left"/>
              <w:rPr>
                <w:rFonts w:cs="Arial"/>
              </w:rPr>
            </w:pPr>
            <w:r w:rsidRPr="001E3005">
              <w:rPr>
                <w:rFonts w:cs="Arial"/>
              </w:rPr>
              <w:t>14.9% plus £16,300</w:t>
            </w:r>
          </w:p>
        </w:tc>
        <w:tc>
          <w:tcPr>
            <w:tcW w:w="1843" w:type="dxa"/>
            <w:shd w:val="clear" w:color="auto" w:fill="auto"/>
            <w:vAlign w:val="center"/>
          </w:tcPr>
          <w:p w:rsidR="00230743" w:rsidRPr="001E3005" w:rsidRDefault="0062660D" w:rsidP="001E3005">
            <w:pPr>
              <w:jc w:val="left"/>
              <w:rPr>
                <w:rFonts w:cs="Arial"/>
              </w:rPr>
            </w:pPr>
            <w:r w:rsidRPr="001E3005">
              <w:rPr>
                <w:rFonts w:cs="Arial"/>
              </w:rPr>
              <w:t>1.8% plus £20,600</w:t>
            </w:r>
          </w:p>
        </w:tc>
        <w:tc>
          <w:tcPr>
            <w:tcW w:w="1984" w:type="dxa"/>
            <w:shd w:val="clear" w:color="auto" w:fill="auto"/>
            <w:vAlign w:val="center"/>
          </w:tcPr>
          <w:p w:rsidR="00230743" w:rsidRPr="001E3005" w:rsidRDefault="0062660D" w:rsidP="001E3005">
            <w:pPr>
              <w:jc w:val="left"/>
              <w:rPr>
                <w:rFonts w:cs="Arial"/>
              </w:rPr>
            </w:pPr>
            <w:r w:rsidRPr="001E3005">
              <w:rPr>
                <w:rFonts w:cs="Arial"/>
              </w:rPr>
              <w:t>14.9% plus £20,600</w:t>
            </w:r>
          </w:p>
        </w:tc>
        <w:tc>
          <w:tcPr>
            <w:tcW w:w="2127" w:type="dxa"/>
            <w:shd w:val="clear" w:color="auto" w:fill="auto"/>
            <w:vAlign w:val="center"/>
          </w:tcPr>
          <w:p w:rsidR="00230743" w:rsidRPr="001E3005" w:rsidRDefault="0062660D" w:rsidP="001E3005">
            <w:pPr>
              <w:jc w:val="left"/>
              <w:rPr>
                <w:rFonts w:cs="Arial"/>
              </w:rPr>
            </w:pPr>
            <w:r w:rsidRPr="001E3005">
              <w:rPr>
                <w:rFonts w:cs="Arial"/>
              </w:rPr>
              <w:t>1.8% plus £24,900</w:t>
            </w:r>
          </w:p>
        </w:tc>
        <w:tc>
          <w:tcPr>
            <w:tcW w:w="2409" w:type="dxa"/>
            <w:shd w:val="clear" w:color="auto" w:fill="auto"/>
            <w:vAlign w:val="center"/>
          </w:tcPr>
          <w:p w:rsidR="00230743" w:rsidRPr="001E3005" w:rsidRDefault="0062660D" w:rsidP="001E3005">
            <w:pPr>
              <w:jc w:val="left"/>
              <w:rPr>
                <w:rFonts w:cs="Arial"/>
              </w:rPr>
            </w:pPr>
            <w:r w:rsidRPr="001E3005">
              <w:rPr>
                <w:rFonts w:cs="Arial"/>
              </w:rPr>
              <w:t>14.9% plus £24,900</w:t>
            </w:r>
          </w:p>
        </w:tc>
      </w:tr>
      <w:tr w:rsidR="006A2C17" w:rsidTr="007D4064">
        <w:trPr>
          <w:cantSplit/>
        </w:trPr>
        <w:tc>
          <w:tcPr>
            <w:tcW w:w="3333" w:type="dxa"/>
            <w:shd w:val="clear" w:color="auto" w:fill="auto"/>
            <w:vAlign w:val="center"/>
          </w:tcPr>
          <w:p w:rsidR="00230743" w:rsidRPr="001E3005" w:rsidRDefault="0062660D" w:rsidP="001E3005">
            <w:pPr>
              <w:jc w:val="left"/>
              <w:rPr>
                <w:rFonts w:cs="Arial"/>
              </w:rPr>
            </w:pPr>
            <w:r w:rsidRPr="001E3005">
              <w:rPr>
                <w:rFonts w:cs="Arial"/>
              </w:rPr>
              <w:t>Consultant Caterers Ltd</w:t>
            </w:r>
          </w:p>
        </w:tc>
        <w:tc>
          <w:tcPr>
            <w:tcW w:w="1842" w:type="dxa"/>
            <w:shd w:val="clear" w:color="auto" w:fill="auto"/>
            <w:vAlign w:val="center"/>
          </w:tcPr>
          <w:p w:rsidR="00230743" w:rsidRPr="001E3005" w:rsidRDefault="0062660D" w:rsidP="001E3005">
            <w:pPr>
              <w:jc w:val="left"/>
              <w:rPr>
                <w:rFonts w:cs="Arial"/>
              </w:rPr>
            </w:pPr>
            <w:r w:rsidRPr="001E3005">
              <w:rPr>
                <w:rFonts w:cs="Arial"/>
              </w:rPr>
              <w:t>4.1%</w:t>
            </w:r>
          </w:p>
        </w:tc>
        <w:tc>
          <w:tcPr>
            <w:tcW w:w="1843" w:type="dxa"/>
            <w:shd w:val="clear" w:color="auto" w:fill="auto"/>
            <w:vAlign w:val="center"/>
          </w:tcPr>
          <w:p w:rsidR="00230743" w:rsidRPr="001E3005" w:rsidRDefault="0062660D" w:rsidP="001E3005">
            <w:pPr>
              <w:jc w:val="left"/>
              <w:rPr>
                <w:rFonts w:cs="Arial"/>
              </w:rPr>
            </w:pPr>
            <w:r w:rsidRPr="001E3005">
              <w:rPr>
                <w:rFonts w:cs="Arial"/>
              </w:rPr>
              <w:t>17.2%</w:t>
            </w:r>
          </w:p>
        </w:tc>
        <w:tc>
          <w:tcPr>
            <w:tcW w:w="1843" w:type="dxa"/>
            <w:shd w:val="clear" w:color="auto" w:fill="auto"/>
            <w:vAlign w:val="center"/>
          </w:tcPr>
          <w:p w:rsidR="00230743" w:rsidRPr="001E3005" w:rsidRDefault="0062660D" w:rsidP="001E3005">
            <w:pPr>
              <w:jc w:val="left"/>
              <w:rPr>
                <w:rFonts w:cs="Arial"/>
              </w:rPr>
            </w:pPr>
            <w:r w:rsidRPr="001E3005">
              <w:rPr>
                <w:rFonts w:cs="Arial"/>
              </w:rPr>
              <w:t>4.1%</w:t>
            </w:r>
          </w:p>
        </w:tc>
        <w:tc>
          <w:tcPr>
            <w:tcW w:w="1984" w:type="dxa"/>
            <w:shd w:val="clear" w:color="auto" w:fill="auto"/>
            <w:vAlign w:val="center"/>
          </w:tcPr>
          <w:p w:rsidR="00230743" w:rsidRPr="001E3005" w:rsidRDefault="0062660D" w:rsidP="001E3005">
            <w:pPr>
              <w:jc w:val="left"/>
              <w:rPr>
                <w:rFonts w:cs="Arial"/>
              </w:rPr>
            </w:pPr>
            <w:r w:rsidRPr="001E3005">
              <w:rPr>
                <w:rFonts w:cs="Arial"/>
              </w:rPr>
              <w:t>17.2%</w:t>
            </w:r>
          </w:p>
        </w:tc>
        <w:tc>
          <w:tcPr>
            <w:tcW w:w="2127" w:type="dxa"/>
            <w:shd w:val="clear" w:color="auto" w:fill="auto"/>
            <w:vAlign w:val="center"/>
          </w:tcPr>
          <w:p w:rsidR="00230743" w:rsidRPr="001E3005" w:rsidRDefault="0062660D" w:rsidP="001E3005">
            <w:pPr>
              <w:jc w:val="left"/>
              <w:rPr>
                <w:rFonts w:cs="Arial"/>
              </w:rPr>
            </w:pPr>
            <w:r w:rsidRPr="001E3005">
              <w:rPr>
                <w:rFonts w:cs="Arial"/>
              </w:rPr>
              <w:t>4.1%</w:t>
            </w:r>
          </w:p>
        </w:tc>
        <w:tc>
          <w:tcPr>
            <w:tcW w:w="2409" w:type="dxa"/>
            <w:shd w:val="clear" w:color="auto" w:fill="auto"/>
            <w:vAlign w:val="center"/>
          </w:tcPr>
          <w:p w:rsidR="00230743" w:rsidRPr="001E3005" w:rsidRDefault="0062660D" w:rsidP="001E3005">
            <w:pPr>
              <w:jc w:val="left"/>
              <w:rPr>
                <w:rFonts w:cs="Arial"/>
              </w:rPr>
            </w:pPr>
            <w:r w:rsidRPr="001E3005">
              <w:rPr>
                <w:rFonts w:cs="Arial"/>
              </w:rPr>
              <w:t>17.2%</w:t>
            </w:r>
          </w:p>
        </w:tc>
      </w:tr>
      <w:tr w:rsidR="006A2C17" w:rsidTr="007D4064">
        <w:trPr>
          <w:cantSplit/>
        </w:trPr>
        <w:tc>
          <w:tcPr>
            <w:tcW w:w="3333" w:type="dxa"/>
            <w:shd w:val="clear" w:color="auto" w:fill="auto"/>
            <w:vAlign w:val="center"/>
          </w:tcPr>
          <w:p w:rsidR="00230743" w:rsidRPr="001E3005" w:rsidRDefault="0062660D" w:rsidP="001E3005">
            <w:pPr>
              <w:jc w:val="left"/>
              <w:rPr>
                <w:rFonts w:cs="Arial"/>
              </w:rPr>
            </w:pPr>
            <w:r w:rsidRPr="001E3005">
              <w:rPr>
                <w:rFonts w:cs="Arial"/>
              </w:rPr>
              <w:t>Contour Housing Group</w:t>
            </w:r>
          </w:p>
        </w:tc>
        <w:tc>
          <w:tcPr>
            <w:tcW w:w="1842" w:type="dxa"/>
            <w:shd w:val="clear" w:color="auto" w:fill="auto"/>
            <w:vAlign w:val="center"/>
          </w:tcPr>
          <w:p w:rsidR="00230743" w:rsidRPr="001E3005" w:rsidRDefault="0062660D" w:rsidP="001E3005">
            <w:pPr>
              <w:jc w:val="left"/>
              <w:rPr>
                <w:rFonts w:cs="Arial"/>
              </w:rPr>
            </w:pPr>
            <w:r w:rsidRPr="001E3005">
              <w:rPr>
                <w:rFonts w:cs="Arial"/>
              </w:rPr>
              <w:t>-6.5%</w:t>
            </w:r>
          </w:p>
        </w:tc>
        <w:tc>
          <w:tcPr>
            <w:tcW w:w="1843" w:type="dxa"/>
            <w:shd w:val="clear" w:color="auto" w:fill="auto"/>
            <w:vAlign w:val="center"/>
          </w:tcPr>
          <w:p w:rsidR="00230743" w:rsidRPr="001E3005" w:rsidRDefault="0062660D" w:rsidP="001E3005">
            <w:pPr>
              <w:jc w:val="left"/>
              <w:rPr>
                <w:rFonts w:cs="Arial"/>
              </w:rPr>
            </w:pPr>
            <w:r w:rsidRPr="001E3005">
              <w:rPr>
                <w:rFonts w:cs="Arial"/>
              </w:rPr>
              <w:t>6.6%</w:t>
            </w:r>
          </w:p>
        </w:tc>
        <w:tc>
          <w:tcPr>
            <w:tcW w:w="1843" w:type="dxa"/>
            <w:shd w:val="clear" w:color="auto" w:fill="auto"/>
            <w:vAlign w:val="center"/>
          </w:tcPr>
          <w:p w:rsidR="00230743" w:rsidRPr="001E3005" w:rsidRDefault="0062660D" w:rsidP="001E3005">
            <w:pPr>
              <w:jc w:val="left"/>
              <w:rPr>
                <w:rFonts w:cs="Arial"/>
              </w:rPr>
            </w:pPr>
            <w:r w:rsidRPr="001E3005">
              <w:rPr>
                <w:rFonts w:cs="Arial"/>
              </w:rPr>
              <w:t>-6.5%</w:t>
            </w:r>
          </w:p>
        </w:tc>
        <w:tc>
          <w:tcPr>
            <w:tcW w:w="1984" w:type="dxa"/>
            <w:shd w:val="clear" w:color="auto" w:fill="auto"/>
            <w:vAlign w:val="center"/>
          </w:tcPr>
          <w:p w:rsidR="00230743" w:rsidRPr="001E3005" w:rsidRDefault="0062660D" w:rsidP="001E3005">
            <w:pPr>
              <w:jc w:val="left"/>
              <w:rPr>
                <w:rFonts w:cs="Arial"/>
              </w:rPr>
            </w:pPr>
            <w:r w:rsidRPr="001E3005">
              <w:rPr>
                <w:rFonts w:cs="Arial"/>
              </w:rPr>
              <w:t>6.6%</w:t>
            </w:r>
          </w:p>
        </w:tc>
        <w:tc>
          <w:tcPr>
            <w:tcW w:w="2127" w:type="dxa"/>
            <w:shd w:val="clear" w:color="auto" w:fill="auto"/>
            <w:vAlign w:val="center"/>
          </w:tcPr>
          <w:p w:rsidR="00230743" w:rsidRPr="001E3005" w:rsidRDefault="0062660D" w:rsidP="001E3005">
            <w:pPr>
              <w:jc w:val="left"/>
              <w:rPr>
                <w:rFonts w:cs="Arial"/>
              </w:rPr>
            </w:pPr>
            <w:r w:rsidRPr="001E3005">
              <w:rPr>
                <w:rFonts w:cs="Arial"/>
              </w:rPr>
              <w:t>-6.5%</w:t>
            </w:r>
          </w:p>
        </w:tc>
        <w:tc>
          <w:tcPr>
            <w:tcW w:w="2409" w:type="dxa"/>
            <w:shd w:val="clear" w:color="auto" w:fill="auto"/>
            <w:vAlign w:val="center"/>
          </w:tcPr>
          <w:p w:rsidR="00230743" w:rsidRPr="001E3005" w:rsidRDefault="0062660D" w:rsidP="001E3005">
            <w:pPr>
              <w:jc w:val="left"/>
              <w:rPr>
                <w:rFonts w:cs="Arial"/>
              </w:rPr>
            </w:pPr>
            <w:r w:rsidRPr="001E3005">
              <w:rPr>
                <w:rFonts w:cs="Arial"/>
              </w:rPr>
              <w:t>6.6%</w:t>
            </w:r>
          </w:p>
        </w:tc>
      </w:tr>
      <w:tr w:rsidR="006A2C17" w:rsidTr="007D4064">
        <w:trPr>
          <w:cantSplit/>
        </w:trPr>
        <w:tc>
          <w:tcPr>
            <w:tcW w:w="3333" w:type="dxa"/>
            <w:shd w:val="clear" w:color="auto" w:fill="auto"/>
            <w:vAlign w:val="center"/>
          </w:tcPr>
          <w:p w:rsidR="00230743" w:rsidRPr="001E3005" w:rsidRDefault="0062660D" w:rsidP="001E3005">
            <w:pPr>
              <w:jc w:val="left"/>
              <w:rPr>
                <w:rFonts w:cs="Arial"/>
              </w:rPr>
            </w:pPr>
            <w:r w:rsidRPr="001E3005">
              <w:rPr>
                <w:rFonts w:cs="Arial"/>
              </w:rPr>
              <w:t>Creative Support Ltd</w:t>
            </w:r>
          </w:p>
        </w:tc>
        <w:tc>
          <w:tcPr>
            <w:tcW w:w="1842" w:type="dxa"/>
            <w:shd w:val="clear" w:color="auto" w:fill="auto"/>
            <w:vAlign w:val="center"/>
          </w:tcPr>
          <w:p w:rsidR="00230743" w:rsidRPr="001E3005" w:rsidRDefault="0062660D" w:rsidP="001E3005">
            <w:pPr>
              <w:jc w:val="left"/>
              <w:rPr>
                <w:rFonts w:cs="Arial"/>
              </w:rPr>
            </w:pPr>
            <w:r w:rsidRPr="001E3005">
              <w:rPr>
                <w:rFonts w:cs="Arial"/>
              </w:rPr>
              <w:t>-5.2%</w:t>
            </w:r>
          </w:p>
        </w:tc>
        <w:tc>
          <w:tcPr>
            <w:tcW w:w="1843" w:type="dxa"/>
            <w:shd w:val="clear" w:color="auto" w:fill="auto"/>
            <w:vAlign w:val="center"/>
          </w:tcPr>
          <w:p w:rsidR="00230743" w:rsidRPr="001E3005" w:rsidRDefault="0062660D" w:rsidP="001E3005">
            <w:pPr>
              <w:jc w:val="left"/>
              <w:rPr>
                <w:rFonts w:cs="Arial"/>
              </w:rPr>
            </w:pPr>
            <w:r w:rsidRPr="001E3005">
              <w:rPr>
                <w:rFonts w:cs="Arial"/>
              </w:rPr>
              <w:t>7.9%</w:t>
            </w:r>
          </w:p>
        </w:tc>
        <w:tc>
          <w:tcPr>
            <w:tcW w:w="1843" w:type="dxa"/>
            <w:shd w:val="clear" w:color="auto" w:fill="auto"/>
            <w:vAlign w:val="center"/>
          </w:tcPr>
          <w:p w:rsidR="00230743" w:rsidRPr="001E3005" w:rsidRDefault="0062660D" w:rsidP="001E3005">
            <w:pPr>
              <w:jc w:val="left"/>
              <w:rPr>
                <w:rFonts w:cs="Arial"/>
              </w:rPr>
            </w:pPr>
            <w:r w:rsidRPr="001E3005">
              <w:rPr>
                <w:rFonts w:cs="Arial"/>
              </w:rPr>
              <w:t>-5.2%</w:t>
            </w:r>
          </w:p>
        </w:tc>
        <w:tc>
          <w:tcPr>
            <w:tcW w:w="1984" w:type="dxa"/>
            <w:shd w:val="clear" w:color="auto" w:fill="auto"/>
            <w:vAlign w:val="center"/>
          </w:tcPr>
          <w:p w:rsidR="00230743" w:rsidRPr="001E3005" w:rsidRDefault="0062660D" w:rsidP="001E3005">
            <w:pPr>
              <w:jc w:val="left"/>
              <w:rPr>
                <w:rFonts w:cs="Arial"/>
              </w:rPr>
            </w:pPr>
            <w:r w:rsidRPr="001E3005">
              <w:rPr>
                <w:rFonts w:cs="Arial"/>
              </w:rPr>
              <w:t>7.9%</w:t>
            </w:r>
          </w:p>
        </w:tc>
        <w:tc>
          <w:tcPr>
            <w:tcW w:w="2127" w:type="dxa"/>
            <w:shd w:val="clear" w:color="auto" w:fill="auto"/>
            <w:vAlign w:val="center"/>
          </w:tcPr>
          <w:p w:rsidR="00230743" w:rsidRPr="001E3005" w:rsidRDefault="0062660D" w:rsidP="001E3005">
            <w:pPr>
              <w:jc w:val="left"/>
              <w:rPr>
                <w:rFonts w:cs="Arial"/>
              </w:rPr>
            </w:pPr>
            <w:r w:rsidRPr="001E3005">
              <w:rPr>
                <w:rFonts w:cs="Arial"/>
              </w:rPr>
              <w:t>-5.2%</w:t>
            </w:r>
          </w:p>
        </w:tc>
        <w:tc>
          <w:tcPr>
            <w:tcW w:w="2409" w:type="dxa"/>
            <w:shd w:val="clear" w:color="auto" w:fill="auto"/>
            <w:vAlign w:val="center"/>
          </w:tcPr>
          <w:p w:rsidR="00230743" w:rsidRPr="001E3005" w:rsidRDefault="0062660D" w:rsidP="001E3005">
            <w:pPr>
              <w:jc w:val="left"/>
              <w:rPr>
                <w:rFonts w:cs="Arial"/>
              </w:rPr>
            </w:pPr>
            <w:r w:rsidRPr="001E3005">
              <w:rPr>
                <w:rFonts w:cs="Arial"/>
              </w:rPr>
              <w:t>7.9%</w:t>
            </w:r>
          </w:p>
        </w:tc>
      </w:tr>
      <w:tr w:rsidR="006A2C17" w:rsidTr="007D4064">
        <w:trPr>
          <w:cantSplit/>
        </w:trPr>
        <w:tc>
          <w:tcPr>
            <w:tcW w:w="3333" w:type="dxa"/>
            <w:shd w:val="clear" w:color="auto" w:fill="auto"/>
            <w:vAlign w:val="center"/>
          </w:tcPr>
          <w:p w:rsidR="00230743" w:rsidRPr="001E3005" w:rsidRDefault="0062660D" w:rsidP="001E3005">
            <w:pPr>
              <w:jc w:val="left"/>
              <w:rPr>
                <w:rFonts w:cs="Arial"/>
              </w:rPr>
            </w:pPr>
            <w:r w:rsidRPr="001E3005">
              <w:rPr>
                <w:rFonts w:cs="Arial"/>
              </w:rPr>
              <w:t>Creative Support Ltd (Midway)</w:t>
            </w:r>
          </w:p>
        </w:tc>
        <w:tc>
          <w:tcPr>
            <w:tcW w:w="1842" w:type="dxa"/>
            <w:shd w:val="clear" w:color="auto" w:fill="auto"/>
            <w:vAlign w:val="center"/>
          </w:tcPr>
          <w:p w:rsidR="00230743" w:rsidRPr="001E3005" w:rsidRDefault="0062660D" w:rsidP="001E3005">
            <w:pPr>
              <w:jc w:val="left"/>
              <w:rPr>
                <w:rFonts w:cs="Arial"/>
              </w:rPr>
            </w:pPr>
            <w:r w:rsidRPr="001E3005">
              <w:rPr>
                <w:rFonts w:cs="Arial"/>
              </w:rPr>
              <w:t>1.1%</w:t>
            </w:r>
          </w:p>
        </w:tc>
        <w:tc>
          <w:tcPr>
            <w:tcW w:w="1843" w:type="dxa"/>
            <w:shd w:val="clear" w:color="auto" w:fill="auto"/>
            <w:vAlign w:val="center"/>
          </w:tcPr>
          <w:p w:rsidR="00230743" w:rsidRPr="001E3005" w:rsidRDefault="0062660D" w:rsidP="001E3005">
            <w:pPr>
              <w:jc w:val="left"/>
              <w:rPr>
                <w:rFonts w:cs="Arial"/>
              </w:rPr>
            </w:pPr>
            <w:r w:rsidRPr="001E3005">
              <w:rPr>
                <w:rFonts w:cs="Arial"/>
              </w:rPr>
              <w:t>14.2%</w:t>
            </w:r>
          </w:p>
        </w:tc>
        <w:tc>
          <w:tcPr>
            <w:tcW w:w="1843" w:type="dxa"/>
            <w:shd w:val="clear" w:color="auto" w:fill="auto"/>
            <w:vAlign w:val="center"/>
          </w:tcPr>
          <w:p w:rsidR="00230743" w:rsidRPr="001E3005" w:rsidRDefault="0062660D" w:rsidP="001E3005">
            <w:pPr>
              <w:jc w:val="left"/>
              <w:rPr>
                <w:rFonts w:cs="Arial"/>
              </w:rPr>
            </w:pPr>
            <w:r w:rsidRPr="001E3005">
              <w:rPr>
                <w:rFonts w:cs="Arial"/>
              </w:rPr>
              <w:t>1.2%</w:t>
            </w:r>
          </w:p>
        </w:tc>
        <w:tc>
          <w:tcPr>
            <w:tcW w:w="1984" w:type="dxa"/>
            <w:shd w:val="clear" w:color="auto" w:fill="auto"/>
            <w:vAlign w:val="center"/>
          </w:tcPr>
          <w:p w:rsidR="00230743" w:rsidRPr="001E3005" w:rsidRDefault="0062660D" w:rsidP="001E3005">
            <w:pPr>
              <w:jc w:val="left"/>
              <w:rPr>
                <w:rFonts w:cs="Arial"/>
              </w:rPr>
            </w:pPr>
            <w:r w:rsidRPr="001E3005">
              <w:rPr>
                <w:rFonts w:cs="Arial"/>
              </w:rPr>
              <w:t>14.3%</w:t>
            </w:r>
          </w:p>
        </w:tc>
        <w:tc>
          <w:tcPr>
            <w:tcW w:w="2127" w:type="dxa"/>
            <w:shd w:val="clear" w:color="auto" w:fill="auto"/>
            <w:vAlign w:val="center"/>
          </w:tcPr>
          <w:p w:rsidR="00230743" w:rsidRPr="001E3005" w:rsidRDefault="0062660D" w:rsidP="001E3005">
            <w:pPr>
              <w:jc w:val="left"/>
              <w:rPr>
                <w:rFonts w:cs="Arial"/>
              </w:rPr>
            </w:pPr>
            <w:r w:rsidRPr="001E3005">
              <w:rPr>
                <w:rFonts w:cs="Arial"/>
              </w:rPr>
              <w:t>1.3%</w:t>
            </w:r>
          </w:p>
        </w:tc>
        <w:tc>
          <w:tcPr>
            <w:tcW w:w="2409" w:type="dxa"/>
            <w:shd w:val="clear" w:color="auto" w:fill="auto"/>
            <w:vAlign w:val="center"/>
          </w:tcPr>
          <w:p w:rsidR="00230743" w:rsidRPr="001E3005" w:rsidRDefault="0062660D" w:rsidP="001E3005">
            <w:pPr>
              <w:jc w:val="left"/>
              <w:rPr>
                <w:rFonts w:cs="Arial"/>
              </w:rPr>
            </w:pPr>
            <w:r w:rsidRPr="001E3005">
              <w:rPr>
                <w:rFonts w:cs="Arial"/>
              </w:rPr>
              <w:t>14.4%</w:t>
            </w:r>
          </w:p>
        </w:tc>
      </w:tr>
      <w:tr w:rsidR="006A2C17" w:rsidTr="007D4064">
        <w:trPr>
          <w:cantSplit/>
        </w:trPr>
        <w:tc>
          <w:tcPr>
            <w:tcW w:w="3333" w:type="dxa"/>
            <w:shd w:val="clear" w:color="auto" w:fill="auto"/>
            <w:vAlign w:val="center"/>
          </w:tcPr>
          <w:p w:rsidR="00230743" w:rsidRPr="001E3005" w:rsidRDefault="0062660D" w:rsidP="001E3005">
            <w:pPr>
              <w:jc w:val="left"/>
              <w:rPr>
                <w:rFonts w:cs="Arial"/>
              </w:rPr>
            </w:pPr>
            <w:r w:rsidRPr="001E3005">
              <w:rPr>
                <w:rFonts w:cs="Arial"/>
              </w:rPr>
              <w:t>CX Ltd</w:t>
            </w:r>
          </w:p>
        </w:tc>
        <w:tc>
          <w:tcPr>
            <w:tcW w:w="1842" w:type="dxa"/>
            <w:shd w:val="clear" w:color="auto" w:fill="auto"/>
            <w:vAlign w:val="center"/>
          </w:tcPr>
          <w:p w:rsidR="00230743" w:rsidRPr="001E3005" w:rsidRDefault="0062660D" w:rsidP="001E3005">
            <w:pPr>
              <w:jc w:val="left"/>
              <w:rPr>
                <w:rFonts w:cs="Arial"/>
              </w:rPr>
            </w:pPr>
            <w:r w:rsidRPr="001E3005">
              <w:rPr>
                <w:rFonts w:cs="Arial"/>
              </w:rPr>
              <w:t>-1.5%</w:t>
            </w:r>
          </w:p>
        </w:tc>
        <w:tc>
          <w:tcPr>
            <w:tcW w:w="1843" w:type="dxa"/>
            <w:shd w:val="clear" w:color="auto" w:fill="auto"/>
            <w:vAlign w:val="center"/>
          </w:tcPr>
          <w:p w:rsidR="00230743" w:rsidRPr="001E3005" w:rsidRDefault="0062660D" w:rsidP="001E3005">
            <w:pPr>
              <w:jc w:val="left"/>
              <w:rPr>
                <w:rFonts w:cs="Arial"/>
              </w:rPr>
            </w:pPr>
            <w:r w:rsidRPr="001E3005">
              <w:rPr>
                <w:rFonts w:cs="Arial"/>
              </w:rPr>
              <w:t>11.6%</w:t>
            </w:r>
          </w:p>
        </w:tc>
        <w:tc>
          <w:tcPr>
            <w:tcW w:w="1843" w:type="dxa"/>
            <w:shd w:val="clear" w:color="auto" w:fill="auto"/>
            <w:vAlign w:val="center"/>
          </w:tcPr>
          <w:p w:rsidR="00230743" w:rsidRPr="001E3005" w:rsidRDefault="0062660D" w:rsidP="001E3005">
            <w:pPr>
              <w:jc w:val="left"/>
              <w:rPr>
                <w:rFonts w:cs="Arial"/>
              </w:rPr>
            </w:pPr>
            <w:r w:rsidRPr="001E3005">
              <w:rPr>
                <w:rFonts w:cs="Arial"/>
              </w:rPr>
              <w:t>-1.5%</w:t>
            </w:r>
          </w:p>
        </w:tc>
        <w:tc>
          <w:tcPr>
            <w:tcW w:w="1984" w:type="dxa"/>
            <w:shd w:val="clear" w:color="auto" w:fill="auto"/>
            <w:vAlign w:val="center"/>
          </w:tcPr>
          <w:p w:rsidR="00230743" w:rsidRPr="001E3005" w:rsidRDefault="0062660D" w:rsidP="001E3005">
            <w:pPr>
              <w:jc w:val="left"/>
              <w:rPr>
                <w:rFonts w:cs="Arial"/>
              </w:rPr>
            </w:pPr>
            <w:r w:rsidRPr="001E3005">
              <w:rPr>
                <w:rFonts w:cs="Arial"/>
              </w:rPr>
              <w:t>11.6%</w:t>
            </w:r>
          </w:p>
        </w:tc>
        <w:tc>
          <w:tcPr>
            <w:tcW w:w="2127" w:type="dxa"/>
            <w:shd w:val="clear" w:color="auto" w:fill="auto"/>
            <w:vAlign w:val="center"/>
          </w:tcPr>
          <w:p w:rsidR="00230743" w:rsidRPr="001E3005" w:rsidRDefault="0062660D" w:rsidP="001E3005">
            <w:pPr>
              <w:jc w:val="left"/>
              <w:rPr>
                <w:rFonts w:cs="Arial"/>
              </w:rPr>
            </w:pPr>
            <w:r w:rsidRPr="001E3005">
              <w:rPr>
                <w:rFonts w:cs="Arial"/>
              </w:rPr>
              <w:t>-1.5%</w:t>
            </w:r>
          </w:p>
        </w:tc>
        <w:tc>
          <w:tcPr>
            <w:tcW w:w="2409" w:type="dxa"/>
            <w:shd w:val="clear" w:color="auto" w:fill="auto"/>
            <w:vAlign w:val="center"/>
          </w:tcPr>
          <w:p w:rsidR="00230743" w:rsidRPr="001E3005" w:rsidRDefault="0062660D" w:rsidP="001E3005">
            <w:pPr>
              <w:jc w:val="left"/>
              <w:rPr>
                <w:rFonts w:cs="Arial"/>
              </w:rPr>
            </w:pPr>
            <w:r w:rsidRPr="001E3005">
              <w:rPr>
                <w:rFonts w:cs="Arial"/>
              </w:rPr>
              <w:t>11.6%</w:t>
            </w:r>
          </w:p>
        </w:tc>
      </w:tr>
      <w:tr w:rsidR="006A2C17" w:rsidTr="007D4064">
        <w:trPr>
          <w:cantSplit/>
        </w:trPr>
        <w:tc>
          <w:tcPr>
            <w:tcW w:w="3333" w:type="dxa"/>
            <w:shd w:val="clear" w:color="auto" w:fill="auto"/>
            <w:vAlign w:val="center"/>
          </w:tcPr>
          <w:p w:rsidR="00230743" w:rsidRPr="001E3005" w:rsidRDefault="0062660D" w:rsidP="001E3005">
            <w:pPr>
              <w:jc w:val="left"/>
              <w:rPr>
                <w:rFonts w:cs="Arial"/>
              </w:rPr>
            </w:pPr>
            <w:r w:rsidRPr="001E3005">
              <w:rPr>
                <w:rFonts w:cs="Arial"/>
              </w:rPr>
              <w:t>Darwen Aldridge Community Academy</w:t>
            </w:r>
          </w:p>
        </w:tc>
        <w:tc>
          <w:tcPr>
            <w:tcW w:w="1842" w:type="dxa"/>
            <w:shd w:val="clear" w:color="auto" w:fill="auto"/>
            <w:vAlign w:val="center"/>
          </w:tcPr>
          <w:p w:rsidR="00230743" w:rsidRPr="001E3005" w:rsidRDefault="0062660D" w:rsidP="001E3005">
            <w:pPr>
              <w:jc w:val="left"/>
              <w:rPr>
                <w:rFonts w:cs="Arial"/>
              </w:rPr>
            </w:pPr>
            <w:r w:rsidRPr="001E3005">
              <w:rPr>
                <w:rFonts w:cs="Arial"/>
              </w:rPr>
              <w:t>-1.5%</w:t>
            </w:r>
          </w:p>
        </w:tc>
        <w:tc>
          <w:tcPr>
            <w:tcW w:w="1843" w:type="dxa"/>
            <w:shd w:val="clear" w:color="auto" w:fill="auto"/>
            <w:vAlign w:val="center"/>
          </w:tcPr>
          <w:p w:rsidR="00230743" w:rsidRPr="001E3005" w:rsidRDefault="0062660D" w:rsidP="001E3005">
            <w:pPr>
              <w:jc w:val="left"/>
              <w:rPr>
                <w:rFonts w:cs="Arial"/>
              </w:rPr>
            </w:pPr>
            <w:r w:rsidRPr="001E3005">
              <w:rPr>
                <w:rFonts w:cs="Arial"/>
              </w:rPr>
              <w:t>11.6%</w:t>
            </w:r>
          </w:p>
        </w:tc>
        <w:tc>
          <w:tcPr>
            <w:tcW w:w="1843" w:type="dxa"/>
            <w:shd w:val="clear" w:color="auto" w:fill="auto"/>
            <w:vAlign w:val="center"/>
          </w:tcPr>
          <w:p w:rsidR="00230743" w:rsidRPr="001E3005" w:rsidRDefault="0062660D" w:rsidP="001E3005">
            <w:pPr>
              <w:jc w:val="left"/>
              <w:rPr>
                <w:rFonts w:cs="Arial"/>
              </w:rPr>
            </w:pPr>
            <w:r w:rsidRPr="001E3005">
              <w:rPr>
                <w:rFonts w:cs="Arial"/>
              </w:rPr>
              <w:t>-1.5%</w:t>
            </w:r>
          </w:p>
        </w:tc>
        <w:tc>
          <w:tcPr>
            <w:tcW w:w="1984" w:type="dxa"/>
            <w:shd w:val="clear" w:color="auto" w:fill="auto"/>
            <w:vAlign w:val="center"/>
          </w:tcPr>
          <w:p w:rsidR="00230743" w:rsidRPr="001E3005" w:rsidRDefault="0062660D" w:rsidP="001E3005">
            <w:pPr>
              <w:jc w:val="left"/>
              <w:rPr>
                <w:rFonts w:cs="Arial"/>
              </w:rPr>
            </w:pPr>
            <w:r w:rsidRPr="001E3005">
              <w:rPr>
                <w:rFonts w:cs="Arial"/>
              </w:rPr>
              <w:t>11.6%</w:t>
            </w:r>
          </w:p>
        </w:tc>
        <w:tc>
          <w:tcPr>
            <w:tcW w:w="2127" w:type="dxa"/>
            <w:shd w:val="clear" w:color="auto" w:fill="auto"/>
            <w:vAlign w:val="center"/>
          </w:tcPr>
          <w:p w:rsidR="00230743" w:rsidRPr="001E3005" w:rsidRDefault="0062660D" w:rsidP="001E3005">
            <w:pPr>
              <w:jc w:val="left"/>
              <w:rPr>
                <w:rFonts w:cs="Arial"/>
              </w:rPr>
            </w:pPr>
            <w:r w:rsidRPr="001E3005">
              <w:rPr>
                <w:rFonts w:cs="Arial"/>
              </w:rPr>
              <w:t>-1.5%</w:t>
            </w:r>
          </w:p>
        </w:tc>
        <w:tc>
          <w:tcPr>
            <w:tcW w:w="2409" w:type="dxa"/>
            <w:shd w:val="clear" w:color="auto" w:fill="auto"/>
            <w:vAlign w:val="center"/>
          </w:tcPr>
          <w:p w:rsidR="00230743" w:rsidRPr="001E3005" w:rsidRDefault="0062660D" w:rsidP="001E3005">
            <w:pPr>
              <w:jc w:val="left"/>
              <w:rPr>
                <w:rFonts w:cs="Arial"/>
              </w:rPr>
            </w:pPr>
            <w:r w:rsidRPr="001E3005">
              <w:rPr>
                <w:rFonts w:cs="Arial"/>
              </w:rPr>
              <w:t>11.6%</w:t>
            </w:r>
          </w:p>
        </w:tc>
      </w:tr>
      <w:tr w:rsidR="006A2C17" w:rsidTr="007D4064">
        <w:trPr>
          <w:cantSplit/>
        </w:trPr>
        <w:tc>
          <w:tcPr>
            <w:tcW w:w="3333" w:type="dxa"/>
            <w:shd w:val="clear" w:color="auto" w:fill="auto"/>
            <w:vAlign w:val="center"/>
          </w:tcPr>
          <w:p w:rsidR="00230743" w:rsidRPr="001E3005" w:rsidRDefault="0062660D" w:rsidP="001E3005">
            <w:pPr>
              <w:jc w:val="left"/>
              <w:rPr>
                <w:rFonts w:cs="Arial"/>
              </w:rPr>
            </w:pPr>
            <w:r w:rsidRPr="001E3005">
              <w:rPr>
                <w:rFonts w:cs="Arial"/>
              </w:rPr>
              <w:t>Darwen Town Council</w:t>
            </w:r>
          </w:p>
        </w:tc>
        <w:tc>
          <w:tcPr>
            <w:tcW w:w="1842" w:type="dxa"/>
            <w:shd w:val="clear" w:color="auto" w:fill="auto"/>
            <w:vAlign w:val="center"/>
          </w:tcPr>
          <w:p w:rsidR="00230743" w:rsidRPr="001E3005" w:rsidRDefault="0062660D" w:rsidP="001E3005">
            <w:pPr>
              <w:jc w:val="left"/>
              <w:rPr>
                <w:rFonts w:cs="Arial"/>
              </w:rPr>
            </w:pPr>
            <w:r w:rsidRPr="001E3005">
              <w:rPr>
                <w:rFonts w:cs="Arial"/>
              </w:rPr>
              <w:t>TBC</w:t>
            </w:r>
          </w:p>
        </w:tc>
        <w:tc>
          <w:tcPr>
            <w:tcW w:w="1843" w:type="dxa"/>
            <w:shd w:val="clear" w:color="auto" w:fill="auto"/>
            <w:vAlign w:val="center"/>
          </w:tcPr>
          <w:p w:rsidR="00230743" w:rsidRPr="001E3005" w:rsidRDefault="0062660D" w:rsidP="001E3005">
            <w:pPr>
              <w:jc w:val="left"/>
              <w:rPr>
                <w:rFonts w:cs="Arial"/>
              </w:rPr>
            </w:pPr>
            <w:r w:rsidRPr="001E3005">
              <w:rPr>
                <w:rFonts w:cs="Arial"/>
              </w:rPr>
              <w:t>TBC</w:t>
            </w:r>
          </w:p>
        </w:tc>
        <w:tc>
          <w:tcPr>
            <w:tcW w:w="1843" w:type="dxa"/>
            <w:shd w:val="clear" w:color="auto" w:fill="auto"/>
            <w:vAlign w:val="center"/>
          </w:tcPr>
          <w:p w:rsidR="00230743" w:rsidRPr="001E3005" w:rsidRDefault="0062660D" w:rsidP="001E3005">
            <w:pPr>
              <w:jc w:val="left"/>
              <w:rPr>
                <w:rFonts w:cs="Arial"/>
              </w:rPr>
            </w:pPr>
            <w:r w:rsidRPr="001E3005">
              <w:rPr>
                <w:rFonts w:cs="Arial"/>
              </w:rPr>
              <w:t>TBC</w:t>
            </w:r>
          </w:p>
        </w:tc>
        <w:tc>
          <w:tcPr>
            <w:tcW w:w="1984" w:type="dxa"/>
            <w:shd w:val="clear" w:color="auto" w:fill="auto"/>
            <w:vAlign w:val="center"/>
          </w:tcPr>
          <w:p w:rsidR="00230743" w:rsidRPr="001E3005" w:rsidRDefault="0062660D" w:rsidP="001E3005">
            <w:pPr>
              <w:jc w:val="left"/>
              <w:rPr>
                <w:rFonts w:cs="Arial"/>
              </w:rPr>
            </w:pPr>
            <w:r w:rsidRPr="001E3005">
              <w:rPr>
                <w:rFonts w:cs="Arial"/>
              </w:rPr>
              <w:t>TBC</w:t>
            </w:r>
          </w:p>
        </w:tc>
        <w:tc>
          <w:tcPr>
            <w:tcW w:w="2127" w:type="dxa"/>
            <w:shd w:val="clear" w:color="auto" w:fill="auto"/>
            <w:vAlign w:val="center"/>
          </w:tcPr>
          <w:p w:rsidR="00230743" w:rsidRPr="001E3005" w:rsidRDefault="0062660D" w:rsidP="001E3005">
            <w:pPr>
              <w:jc w:val="left"/>
              <w:rPr>
                <w:rFonts w:cs="Arial"/>
              </w:rPr>
            </w:pPr>
            <w:r w:rsidRPr="001E3005">
              <w:rPr>
                <w:rFonts w:cs="Arial"/>
              </w:rPr>
              <w:t>TBC</w:t>
            </w:r>
          </w:p>
        </w:tc>
        <w:tc>
          <w:tcPr>
            <w:tcW w:w="2409" w:type="dxa"/>
            <w:shd w:val="clear" w:color="auto" w:fill="auto"/>
            <w:vAlign w:val="center"/>
          </w:tcPr>
          <w:p w:rsidR="00230743" w:rsidRPr="001E3005" w:rsidRDefault="0062660D" w:rsidP="001E3005">
            <w:pPr>
              <w:jc w:val="left"/>
              <w:rPr>
                <w:rFonts w:cs="Arial"/>
              </w:rPr>
            </w:pPr>
            <w:r w:rsidRPr="001E3005">
              <w:rPr>
                <w:rFonts w:cs="Arial"/>
              </w:rPr>
              <w:t>TBC</w:t>
            </w:r>
          </w:p>
        </w:tc>
      </w:tr>
      <w:tr w:rsidR="006A2C17" w:rsidTr="007D4064">
        <w:trPr>
          <w:cantSplit/>
        </w:trPr>
        <w:tc>
          <w:tcPr>
            <w:tcW w:w="3333" w:type="dxa"/>
            <w:shd w:val="clear" w:color="auto" w:fill="auto"/>
            <w:vAlign w:val="center"/>
          </w:tcPr>
          <w:p w:rsidR="00230743" w:rsidRPr="001E3005" w:rsidRDefault="0062660D" w:rsidP="001E3005">
            <w:pPr>
              <w:jc w:val="left"/>
              <w:rPr>
                <w:rFonts w:cs="Arial"/>
              </w:rPr>
            </w:pPr>
            <w:r w:rsidRPr="001E3005">
              <w:rPr>
                <w:rFonts w:cs="Arial"/>
              </w:rPr>
              <w:t>E ON UK PLC</w:t>
            </w:r>
          </w:p>
        </w:tc>
        <w:tc>
          <w:tcPr>
            <w:tcW w:w="1842" w:type="dxa"/>
            <w:shd w:val="clear" w:color="auto" w:fill="auto"/>
            <w:vAlign w:val="center"/>
          </w:tcPr>
          <w:p w:rsidR="00230743" w:rsidRPr="001E3005" w:rsidRDefault="0062660D" w:rsidP="001E3005">
            <w:pPr>
              <w:jc w:val="left"/>
              <w:rPr>
                <w:rFonts w:cs="Arial"/>
              </w:rPr>
            </w:pPr>
            <w:r w:rsidRPr="001E3005">
              <w:rPr>
                <w:rFonts w:cs="Arial"/>
              </w:rPr>
              <w:t>0.0%</w:t>
            </w:r>
          </w:p>
        </w:tc>
        <w:tc>
          <w:tcPr>
            <w:tcW w:w="1843" w:type="dxa"/>
            <w:shd w:val="clear" w:color="auto" w:fill="auto"/>
            <w:vAlign w:val="center"/>
          </w:tcPr>
          <w:p w:rsidR="00230743" w:rsidRPr="001E3005" w:rsidRDefault="0062660D" w:rsidP="001E3005">
            <w:pPr>
              <w:jc w:val="left"/>
              <w:rPr>
                <w:rFonts w:cs="Arial"/>
              </w:rPr>
            </w:pPr>
            <w:r w:rsidRPr="001E3005">
              <w:rPr>
                <w:rFonts w:cs="Arial"/>
              </w:rPr>
              <w:t>13.1%</w:t>
            </w:r>
          </w:p>
        </w:tc>
        <w:tc>
          <w:tcPr>
            <w:tcW w:w="1843" w:type="dxa"/>
            <w:shd w:val="clear" w:color="auto" w:fill="auto"/>
            <w:vAlign w:val="center"/>
          </w:tcPr>
          <w:p w:rsidR="00230743" w:rsidRPr="001E3005" w:rsidRDefault="0062660D" w:rsidP="001E3005">
            <w:pPr>
              <w:jc w:val="left"/>
              <w:rPr>
                <w:rFonts w:cs="Arial"/>
              </w:rPr>
            </w:pPr>
            <w:r w:rsidRPr="001E3005">
              <w:rPr>
                <w:rFonts w:cs="Arial"/>
              </w:rPr>
              <w:t>0.0%</w:t>
            </w:r>
          </w:p>
        </w:tc>
        <w:tc>
          <w:tcPr>
            <w:tcW w:w="1984" w:type="dxa"/>
            <w:shd w:val="clear" w:color="auto" w:fill="auto"/>
            <w:vAlign w:val="center"/>
          </w:tcPr>
          <w:p w:rsidR="00230743" w:rsidRPr="001E3005" w:rsidRDefault="0062660D" w:rsidP="001E3005">
            <w:pPr>
              <w:jc w:val="left"/>
              <w:rPr>
                <w:rFonts w:cs="Arial"/>
              </w:rPr>
            </w:pPr>
            <w:r w:rsidRPr="001E3005">
              <w:rPr>
                <w:rFonts w:cs="Arial"/>
              </w:rPr>
              <w:t>13.1%</w:t>
            </w:r>
          </w:p>
        </w:tc>
        <w:tc>
          <w:tcPr>
            <w:tcW w:w="2127" w:type="dxa"/>
            <w:shd w:val="clear" w:color="auto" w:fill="auto"/>
            <w:vAlign w:val="center"/>
          </w:tcPr>
          <w:p w:rsidR="00230743" w:rsidRPr="001E3005" w:rsidRDefault="0062660D" w:rsidP="001E3005">
            <w:pPr>
              <w:jc w:val="left"/>
              <w:rPr>
                <w:rFonts w:cs="Arial"/>
              </w:rPr>
            </w:pPr>
            <w:r w:rsidRPr="001E3005">
              <w:rPr>
                <w:rFonts w:cs="Arial"/>
              </w:rPr>
              <w:t>0.0%</w:t>
            </w:r>
          </w:p>
        </w:tc>
        <w:tc>
          <w:tcPr>
            <w:tcW w:w="2409" w:type="dxa"/>
            <w:shd w:val="clear" w:color="auto" w:fill="auto"/>
            <w:vAlign w:val="center"/>
          </w:tcPr>
          <w:p w:rsidR="00230743" w:rsidRPr="001E3005" w:rsidRDefault="0062660D" w:rsidP="001E3005">
            <w:pPr>
              <w:jc w:val="left"/>
              <w:rPr>
                <w:rFonts w:cs="Arial"/>
              </w:rPr>
            </w:pPr>
            <w:r w:rsidRPr="001E3005">
              <w:rPr>
                <w:rFonts w:cs="Arial"/>
              </w:rPr>
              <w:t>13.1%</w:t>
            </w:r>
          </w:p>
        </w:tc>
      </w:tr>
      <w:tr w:rsidR="006A2C17" w:rsidTr="007D4064">
        <w:trPr>
          <w:cantSplit/>
        </w:trPr>
        <w:tc>
          <w:tcPr>
            <w:tcW w:w="3333" w:type="dxa"/>
            <w:shd w:val="clear" w:color="auto" w:fill="auto"/>
            <w:vAlign w:val="center"/>
          </w:tcPr>
          <w:p w:rsidR="00230743" w:rsidRPr="001E3005" w:rsidRDefault="0062660D" w:rsidP="001E3005">
            <w:pPr>
              <w:jc w:val="left"/>
              <w:rPr>
                <w:rFonts w:cs="Arial"/>
              </w:rPr>
            </w:pPr>
            <w:r w:rsidRPr="001E3005">
              <w:rPr>
                <w:rFonts w:cs="Arial"/>
              </w:rPr>
              <w:t>Edge Hill University</w:t>
            </w:r>
          </w:p>
        </w:tc>
        <w:tc>
          <w:tcPr>
            <w:tcW w:w="1842" w:type="dxa"/>
            <w:shd w:val="clear" w:color="auto" w:fill="auto"/>
            <w:vAlign w:val="center"/>
          </w:tcPr>
          <w:p w:rsidR="00230743" w:rsidRPr="001E3005" w:rsidRDefault="0062660D" w:rsidP="001E3005">
            <w:pPr>
              <w:jc w:val="left"/>
              <w:rPr>
                <w:rFonts w:cs="Arial"/>
              </w:rPr>
            </w:pPr>
            <w:r w:rsidRPr="001E3005">
              <w:rPr>
                <w:rFonts w:cs="Arial"/>
              </w:rPr>
              <w:t>-0.7% plus £660,200</w:t>
            </w:r>
          </w:p>
        </w:tc>
        <w:tc>
          <w:tcPr>
            <w:tcW w:w="1843" w:type="dxa"/>
            <w:shd w:val="clear" w:color="auto" w:fill="auto"/>
            <w:vAlign w:val="center"/>
          </w:tcPr>
          <w:p w:rsidR="00230743" w:rsidRPr="001E3005" w:rsidRDefault="0062660D" w:rsidP="001E3005">
            <w:pPr>
              <w:jc w:val="left"/>
              <w:rPr>
                <w:rFonts w:cs="Arial"/>
              </w:rPr>
            </w:pPr>
            <w:r w:rsidRPr="001E3005">
              <w:rPr>
                <w:rFonts w:cs="Arial"/>
              </w:rPr>
              <w:t>12.4% plus £660,200</w:t>
            </w:r>
          </w:p>
        </w:tc>
        <w:tc>
          <w:tcPr>
            <w:tcW w:w="1843" w:type="dxa"/>
            <w:shd w:val="clear" w:color="auto" w:fill="auto"/>
            <w:vAlign w:val="center"/>
          </w:tcPr>
          <w:p w:rsidR="00230743" w:rsidRPr="001E3005" w:rsidRDefault="0062660D" w:rsidP="001E3005">
            <w:pPr>
              <w:jc w:val="left"/>
              <w:rPr>
                <w:rFonts w:cs="Arial"/>
              </w:rPr>
            </w:pPr>
            <w:r w:rsidRPr="001E3005">
              <w:rPr>
                <w:rFonts w:cs="Arial"/>
              </w:rPr>
              <w:t>-0.7% plus £853,900</w:t>
            </w:r>
          </w:p>
        </w:tc>
        <w:tc>
          <w:tcPr>
            <w:tcW w:w="1984" w:type="dxa"/>
            <w:shd w:val="clear" w:color="auto" w:fill="auto"/>
            <w:vAlign w:val="center"/>
          </w:tcPr>
          <w:p w:rsidR="00230743" w:rsidRPr="001E3005" w:rsidRDefault="0062660D" w:rsidP="001E3005">
            <w:pPr>
              <w:jc w:val="left"/>
              <w:rPr>
                <w:rFonts w:cs="Arial"/>
              </w:rPr>
            </w:pPr>
            <w:r w:rsidRPr="001E3005">
              <w:rPr>
                <w:rFonts w:cs="Arial"/>
              </w:rPr>
              <w:t>12.4% plus £853,900</w:t>
            </w:r>
          </w:p>
        </w:tc>
        <w:tc>
          <w:tcPr>
            <w:tcW w:w="2127" w:type="dxa"/>
            <w:shd w:val="clear" w:color="auto" w:fill="auto"/>
            <w:vAlign w:val="center"/>
          </w:tcPr>
          <w:p w:rsidR="00230743" w:rsidRPr="001E3005" w:rsidRDefault="0062660D" w:rsidP="001E3005">
            <w:pPr>
              <w:jc w:val="left"/>
              <w:rPr>
                <w:rFonts w:cs="Arial"/>
              </w:rPr>
            </w:pPr>
            <w:r w:rsidRPr="001E3005">
              <w:rPr>
                <w:rFonts w:cs="Arial"/>
              </w:rPr>
              <w:t>-0.7% plus £1,049,300</w:t>
            </w:r>
          </w:p>
        </w:tc>
        <w:tc>
          <w:tcPr>
            <w:tcW w:w="2409" w:type="dxa"/>
            <w:shd w:val="clear" w:color="auto" w:fill="auto"/>
            <w:vAlign w:val="center"/>
          </w:tcPr>
          <w:p w:rsidR="00230743" w:rsidRPr="001E3005" w:rsidRDefault="0062660D" w:rsidP="001E3005">
            <w:pPr>
              <w:jc w:val="left"/>
              <w:rPr>
                <w:rFonts w:cs="Arial"/>
              </w:rPr>
            </w:pPr>
            <w:r w:rsidRPr="001E3005">
              <w:rPr>
                <w:rFonts w:cs="Arial"/>
              </w:rPr>
              <w:t>12.4% plus £1,049,300</w:t>
            </w:r>
          </w:p>
        </w:tc>
      </w:tr>
      <w:tr w:rsidR="006A2C17" w:rsidTr="007D4064">
        <w:trPr>
          <w:cantSplit/>
        </w:trPr>
        <w:tc>
          <w:tcPr>
            <w:tcW w:w="3333" w:type="dxa"/>
            <w:shd w:val="clear" w:color="auto" w:fill="auto"/>
            <w:vAlign w:val="center"/>
          </w:tcPr>
          <w:p w:rsidR="00230743" w:rsidRPr="001E3005" w:rsidRDefault="0062660D" w:rsidP="001E3005">
            <w:pPr>
              <w:jc w:val="left"/>
              <w:rPr>
                <w:rFonts w:cs="Arial"/>
              </w:rPr>
            </w:pPr>
            <w:r w:rsidRPr="001E3005">
              <w:rPr>
                <w:rFonts w:cs="Arial"/>
              </w:rPr>
              <w:t>Elite Cleaning and Environment</w:t>
            </w:r>
          </w:p>
        </w:tc>
        <w:tc>
          <w:tcPr>
            <w:tcW w:w="1842" w:type="dxa"/>
            <w:shd w:val="clear" w:color="auto" w:fill="auto"/>
            <w:vAlign w:val="center"/>
          </w:tcPr>
          <w:p w:rsidR="00230743" w:rsidRPr="001E3005" w:rsidRDefault="0062660D" w:rsidP="001E3005">
            <w:pPr>
              <w:jc w:val="left"/>
              <w:rPr>
                <w:rFonts w:cs="Arial"/>
              </w:rPr>
            </w:pPr>
            <w:r w:rsidRPr="001E3005">
              <w:rPr>
                <w:rFonts w:cs="Arial"/>
              </w:rPr>
              <w:t>-0.6%</w:t>
            </w:r>
          </w:p>
        </w:tc>
        <w:tc>
          <w:tcPr>
            <w:tcW w:w="1843" w:type="dxa"/>
            <w:shd w:val="clear" w:color="auto" w:fill="auto"/>
            <w:vAlign w:val="center"/>
          </w:tcPr>
          <w:p w:rsidR="00230743" w:rsidRPr="001E3005" w:rsidRDefault="0062660D" w:rsidP="001E3005">
            <w:pPr>
              <w:jc w:val="left"/>
              <w:rPr>
                <w:rFonts w:cs="Arial"/>
              </w:rPr>
            </w:pPr>
            <w:r w:rsidRPr="001E3005">
              <w:rPr>
                <w:rFonts w:cs="Arial"/>
              </w:rPr>
              <w:t>12.5%</w:t>
            </w:r>
          </w:p>
        </w:tc>
        <w:tc>
          <w:tcPr>
            <w:tcW w:w="1843" w:type="dxa"/>
            <w:shd w:val="clear" w:color="auto" w:fill="auto"/>
            <w:vAlign w:val="center"/>
          </w:tcPr>
          <w:p w:rsidR="00230743" w:rsidRPr="001E3005" w:rsidRDefault="0062660D" w:rsidP="001E3005">
            <w:pPr>
              <w:jc w:val="left"/>
              <w:rPr>
                <w:rFonts w:cs="Arial"/>
              </w:rPr>
            </w:pPr>
            <w:r w:rsidRPr="001E3005">
              <w:rPr>
                <w:rFonts w:cs="Arial"/>
              </w:rPr>
              <w:t>-0.6%</w:t>
            </w:r>
          </w:p>
        </w:tc>
        <w:tc>
          <w:tcPr>
            <w:tcW w:w="1984" w:type="dxa"/>
            <w:shd w:val="clear" w:color="auto" w:fill="auto"/>
            <w:vAlign w:val="center"/>
          </w:tcPr>
          <w:p w:rsidR="00230743" w:rsidRPr="001E3005" w:rsidRDefault="0062660D" w:rsidP="001E3005">
            <w:pPr>
              <w:jc w:val="left"/>
              <w:rPr>
                <w:rFonts w:cs="Arial"/>
              </w:rPr>
            </w:pPr>
            <w:r w:rsidRPr="001E3005">
              <w:rPr>
                <w:rFonts w:cs="Arial"/>
              </w:rPr>
              <w:t>12.5%</w:t>
            </w:r>
          </w:p>
        </w:tc>
        <w:tc>
          <w:tcPr>
            <w:tcW w:w="2127" w:type="dxa"/>
            <w:shd w:val="clear" w:color="auto" w:fill="auto"/>
            <w:vAlign w:val="center"/>
          </w:tcPr>
          <w:p w:rsidR="00230743" w:rsidRPr="001E3005" w:rsidRDefault="0062660D" w:rsidP="001E3005">
            <w:pPr>
              <w:jc w:val="left"/>
              <w:rPr>
                <w:rFonts w:cs="Arial"/>
              </w:rPr>
            </w:pPr>
            <w:r w:rsidRPr="001E3005">
              <w:rPr>
                <w:rFonts w:cs="Arial"/>
              </w:rPr>
              <w:t>-0.6%</w:t>
            </w:r>
          </w:p>
        </w:tc>
        <w:tc>
          <w:tcPr>
            <w:tcW w:w="2409" w:type="dxa"/>
            <w:shd w:val="clear" w:color="auto" w:fill="auto"/>
            <w:vAlign w:val="center"/>
          </w:tcPr>
          <w:p w:rsidR="00230743" w:rsidRPr="001E3005" w:rsidRDefault="0062660D" w:rsidP="001E3005">
            <w:pPr>
              <w:jc w:val="left"/>
              <w:rPr>
                <w:rFonts w:cs="Arial"/>
              </w:rPr>
            </w:pPr>
            <w:r w:rsidRPr="001E3005">
              <w:rPr>
                <w:rFonts w:cs="Arial"/>
              </w:rPr>
              <w:t>12.5%</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Enterprise Managed Services</w:t>
            </w:r>
          </w:p>
        </w:tc>
        <w:tc>
          <w:tcPr>
            <w:tcW w:w="1842" w:type="dxa"/>
            <w:shd w:val="clear" w:color="auto" w:fill="auto"/>
            <w:vAlign w:val="center"/>
          </w:tcPr>
          <w:p w:rsidR="00230743" w:rsidRPr="00802177" w:rsidRDefault="0062660D" w:rsidP="001E3005">
            <w:pPr>
              <w:jc w:val="left"/>
              <w:rPr>
                <w:szCs w:val="22"/>
              </w:rPr>
            </w:pPr>
            <w:r w:rsidRPr="00802177">
              <w:rPr>
                <w:szCs w:val="22"/>
              </w:rPr>
              <w:t>2.8% plus £4,600</w:t>
            </w:r>
          </w:p>
        </w:tc>
        <w:tc>
          <w:tcPr>
            <w:tcW w:w="1843" w:type="dxa"/>
            <w:shd w:val="clear" w:color="auto" w:fill="auto"/>
            <w:vAlign w:val="center"/>
          </w:tcPr>
          <w:p w:rsidR="00230743" w:rsidRPr="00802177" w:rsidRDefault="0062660D" w:rsidP="001E3005">
            <w:pPr>
              <w:jc w:val="left"/>
              <w:rPr>
                <w:szCs w:val="22"/>
              </w:rPr>
            </w:pPr>
            <w:r w:rsidRPr="00802177">
              <w:rPr>
                <w:szCs w:val="22"/>
              </w:rPr>
              <w:t>15.9% plus £4,600</w:t>
            </w:r>
          </w:p>
        </w:tc>
        <w:tc>
          <w:tcPr>
            <w:tcW w:w="1843" w:type="dxa"/>
            <w:shd w:val="clear" w:color="auto" w:fill="auto"/>
            <w:vAlign w:val="center"/>
          </w:tcPr>
          <w:p w:rsidR="00230743" w:rsidRPr="00802177" w:rsidRDefault="0062660D" w:rsidP="001E3005">
            <w:pPr>
              <w:jc w:val="left"/>
              <w:rPr>
                <w:szCs w:val="22"/>
              </w:rPr>
            </w:pPr>
            <w:r w:rsidRPr="00802177">
              <w:rPr>
                <w:szCs w:val="22"/>
              </w:rPr>
              <w:t>2.8% plus £4,800</w:t>
            </w:r>
          </w:p>
        </w:tc>
        <w:tc>
          <w:tcPr>
            <w:tcW w:w="1984" w:type="dxa"/>
            <w:shd w:val="clear" w:color="auto" w:fill="auto"/>
            <w:vAlign w:val="center"/>
          </w:tcPr>
          <w:p w:rsidR="00230743" w:rsidRPr="00802177" w:rsidRDefault="0062660D" w:rsidP="001E3005">
            <w:pPr>
              <w:jc w:val="left"/>
              <w:rPr>
                <w:szCs w:val="22"/>
              </w:rPr>
            </w:pPr>
            <w:r w:rsidRPr="00802177">
              <w:rPr>
                <w:szCs w:val="22"/>
              </w:rPr>
              <w:t>15.9% plus £4,800</w:t>
            </w:r>
          </w:p>
        </w:tc>
        <w:tc>
          <w:tcPr>
            <w:tcW w:w="2127" w:type="dxa"/>
            <w:shd w:val="clear" w:color="auto" w:fill="auto"/>
            <w:vAlign w:val="center"/>
          </w:tcPr>
          <w:p w:rsidR="00230743" w:rsidRPr="00802177" w:rsidRDefault="0062660D" w:rsidP="001E3005">
            <w:pPr>
              <w:jc w:val="left"/>
              <w:rPr>
                <w:szCs w:val="22"/>
              </w:rPr>
            </w:pPr>
            <w:r w:rsidRPr="00802177">
              <w:rPr>
                <w:szCs w:val="22"/>
              </w:rPr>
              <w:t>2.8% plus £5,000</w:t>
            </w:r>
          </w:p>
        </w:tc>
        <w:tc>
          <w:tcPr>
            <w:tcW w:w="2409" w:type="dxa"/>
            <w:shd w:val="clear" w:color="auto" w:fill="auto"/>
            <w:vAlign w:val="center"/>
          </w:tcPr>
          <w:p w:rsidR="00230743" w:rsidRPr="00802177" w:rsidRDefault="0062660D" w:rsidP="001E3005">
            <w:pPr>
              <w:jc w:val="left"/>
              <w:rPr>
                <w:szCs w:val="22"/>
              </w:rPr>
            </w:pPr>
            <w:r w:rsidRPr="00802177">
              <w:rPr>
                <w:szCs w:val="22"/>
              </w:rPr>
              <w:t>15.9% plus £5,000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Eric Wright (Highfield HS Catering)</w:t>
            </w:r>
          </w:p>
        </w:tc>
        <w:tc>
          <w:tcPr>
            <w:tcW w:w="1842" w:type="dxa"/>
            <w:shd w:val="clear" w:color="auto" w:fill="auto"/>
            <w:vAlign w:val="center"/>
          </w:tcPr>
          <w:p w:rsidR="00230743" w:rsidRPr="00802177" w:rsidRDefault="0062660D" w:rsidP="001E3005">
            <w:pPr>
              <w:jc w:val="left"/>
              <w:rPr>
                <w:szCs w:val="22"/>
              </w:rPr>
            </w:pPr>
            <w:r w:rsidRPr="00802177">
              <w:rPr>
                <w:szCs w:val="22"/>
              </w:rPr>
              <w:t>5.6%</w:t>
            </w:r>
          </w:p>
        </w:tc>
        <w:tc>
          <w:tcPr>
            <w:tcW w:w="1843" w:type="dxa"/>
            <w:shd w:val="clear" w:color="auto" w:fill="auto"/>
            <w:vAlign w:val="center"/>
          </w:tcPr>
          <w:p w:rsidR="00230743" w:rsidRPr="00802177" w:rsidRDefault="0062660D" w:rsidP="001E3005">
            <w:pPr>
              <w:jc w:val="left"/>
              <w:rPr>
                <w:szCs w:val="22"/>
              </w:rPr>
            </w:pPr>
            <w:r w:rsidRPr="00802177">
              <w:rPr>
                <w:szCs w:val="22"/>
              </w:rPr>
              <w:t>18.7%</w:t>
            </w:r>
          </w:p>
        </w:tc>
        <w:tc>
          <w:tcPr>
            <w:tcW w:w="1843" w:type="dxa"/>
            <w:shd w:val="clear" w:color="auto" w:fill="auto"/>
            <w:vAlign w:val="center"/>
          </w:tcPr>
          <w:p w:rsidR="00230743" w:rsidRPr="00802177" w:rsidRDefault="0062660D" w:rsidP="001E3005">
            <w:pPr>
              <w:jc w:val="left"/>
              <w:rPr>
                <w:szCs w:val="22"/>
              </w:rPr>
            </w:pPr>
            <w:r w:rsidRPr="00802177">
              <w:rPr>
                <w:szCs w:val="22"/>
              </w:rPr>
              <w:t>5.6%</w:t>
            </w:r>
          </w:p>
        </w:tc>
        <w:tc>
          <w:tcPr>
            <w:tcW w:w="1984" w:type="dxa"/>
            <w:shd w:val="clear" w:color="auto" w:fill="auto"/>
            <w:vAlign w:val="center"/>
          </w:tcPr>
          <w:p w:rsidR="00230743" w:rsidRPr="00802177" w:rsidRDefault="0062660D" w:rsidP="001E3005">
            <w:pPr>
              <w:jc w:val="left"/>
              <w:rPr>
                <w:szCs w:val="22"/>
              </w:rPr>
            </w:pPr>
            <w:r w:rsidRPr="00802177">
              <w:rPr>
                <w:szCs w:val="22"/>
              </w:rPr>
              <w:t>18.7%</w:t>
            </w:r>
          </w:p>
        </w:tc>
        <w:tc>
          <w:tcPr>
            <w:tcW w:w="2127" w:type="dxa"/>
            <w:shd w:val="clear" w:color="auto" w:fill="auto"/>
            <w:vAlign w:val="center"/>
          </w:tcPr>
          <w:p w:rsidR="00230743" w:rsidRPr="00802177" w:rsidRDefault="0062660D" w:rsidP="001E3005">
            <w:pPr>
              <w:jc w:val="left"/>
              <w:rPr>
                <w:szCs w:val="22"/>
              </w:rPr>
            </w:pPr>
            <w:r w:rsidRPr="00802177">
              <w:rPr>
                <w:szCs w:val="22"/>
              </w:rPr>
              <w:t>5.6%</w:t>
            </w:r>
          </w:p>
        </w:tc>
        <w:tc>
          <w:tcPr>
            <w:tcW w:w="2409" w:type="dxa"/>
            <w:shd w:val="clear" w:color="auto" w:fill="auto"/>
            <w:vAlign w:val="center"/>
          </w:tcPr>
          <w:p w:rsidR="00230743" w:rsidRPr="00802177" w:rsidRDefault="0062660D" w:rsidP="001E3005">
            <w:pPr>
              <w:jc w:val="left"/>
              <w:rPr>
                <w:szCs w:val="22"/>
              </w:rPr>
            </w:pPr>
            <w:r w:rsidRPr="00802177">
              <w:rPr>
                <w:szCs w:val="22"/>
              </w:rPr>
              <w:t>18.7%</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 xml:space="preserve">Eric Wright </w:t>
            </w:r>
            <w:r w:rsidRPr="00FF2F9D">
              <w:rPr>
                <w:szCs w:val="22"/>
              </w:rPr>
              <w:t>(Highfield HS Site supervisors)</w:t>
            </w:r>
          </w:p>
        </w:tc>
        <w:tc>
          <w:tcPr>
            <w:tcW w:w="1842" w:type="dxa"/>
            <w:shd w:val="clear" w:color="auto" w:fill="auto"/>
            <w:vAlign w:val="center"/>
          </w:tcPr>
          <w:p w:rsidR="00230743" w:rsidRPr="00802177" w:rsidRDefault="0062660D" w:rsidP="001E3005">
            <w:pPr>
              <w:jc w:val="left"/>
              <w:rPr>
                <w:szCs w:val="22"/>
              </w:rPr>
            </w:pPr>
            <w:r w:rsidRPr="00802177">
              <w:rPr>
                <w:szCs w:val="22"/>
              </w:rPr>
              <w:t>5.6%</w:t>
            </w:r>
          </w:p>
        </w:tc>
        <w:tc>
          <w:tcPr>
            <w:tcW w:w="1843" w:type="dxa"/>
            <w:shd w:val="clear" w:color="auto" w:fill="auto"/>
            <w:vAlign w:val="center"/>
          </w:tcPr>
          <w:p w:rsidR="00230743" w:rsidRPr="00802177" w:rsidRDefault="0062660D" w:rsidP="001E3005">
            <w:pPr>
              <w:jc w:val="left"/>
              <w:rPr>
                <w:szCs w:val="22"/>
              </w:rPr>
            </w:pPr>
            <w:r w:rsidRPr="00802177">
              <w:rPr>
                <w:szCs w:val="22"/>
              </w:rPr>
              <w:t>18.7%</w:t>
            </w:r>
          </w:p>
        </w:tc>
        <w:tc>
          <w:tcPr>
            <w:tcW w:w="1843" w:type="dxa"/>
            <w:shd w:val="clear" w:color="auto" w:fill="auto"/>
            <w:vAlign w:val="center"/>
          </w:tcPr>
          <w:p w:rsidR="00230743" w:rsidRPr="00802177" w:rsidRDefault="0062660D" w:rsidP="001E3005">
            <w:pPr>
              <w:jc w:val="left"/>
              <w:rPr>
                <w:szCs w:val="22"/>
              </w:rPr>
            </w:pPr>
            <w:r w:rsidRPr="00802177">
              <w:rPr>
                <w:szCs w:val="22"/>
              </w:rPr>
              <w:t>5.6%</w:t>
            </w:r>
          </w:p>
        </w:tc>
        <w:tc>
          <w:tcPr>
            <w:tcW w:w="1984" w:type="dxa"/>
            <w:shd w:val="clear" w:color="auto" w:fill="auto"/>
            <w:vAlign w:val="center"/>
          </w:tcPr>
          <w:p w:rsidR="00230743" w:rsidRPr="00802177" w:rsidRDefault="0062660D" w:rsidP="001E3005">
            <w:pPr>
              <w:jc w:val="left"/>
              <w:rPr>
                <w:szCs w:val="22"/>
              </w:rPr>
            </w:pPr>
            <w:r w:rsidRPr="00802177">
              <w:rPr>
                <w:szCs w:val="22"/>
              </w:rPr>
              <w:t>18.7%</w:t>
            </w:r>
          </w:p>
        </w:tc>
        <w:tc>
          <w:tcPr>
            <w:tcW w:w="2127" w:type="dxa"/>
            <w:shd w:val="clear" w:color="auto" w:fill="auto"/>
            <w:vAlign w:val="center"/>
          </w:tcPr>
          <w:p w:rsidR="00230743" w:rsidRPr="00802177" w:rsidRDefault="0062660D" w:rsidP="001E3005">
            <w:pPr>
              <w:jc w:val="left"/>
              <w:rPr>
                <w:szCs w:val="22"/>
              </w:rPr>
            </w:pPr>
            <w:r w:rsidRPr="00802177">
              <w:rPr>
                <w:szCs w:val="22"/>
              </w:rPr>
              <w:t>5.6%</w:t>
            </w:r>
          </w:p>
        </w:tc>
        <w:tc>
          <w:tcPr>
            <w:tcW w:w="2409" w:type="dxa"/>
            <w:shd w:val="clear" w:color="auto" w:fill="auto"/>
            <w:vAlign w:val="center"/>
          </w:tcPr>
          <w:p w:rsidR="00230743" w:rsidRPr="00802177" w:rsidRDefault="0062660D" w:rsidP="001E3005">
            <w:pPr>
              <w:jc w:val="left"/>
              <w:rPr>
                <w:szCs w:val="22"/>
              </w:rPr>
            </w:pPr>
            <w:r w:rsidRPr="00802177">
              <w:rPr>
                <w:szCs w:val="22"/>
              </w:rPr>
              <w:t>18.7%</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Four Seasons Health Care Group</w:t>
            </w:r>
          </w:p>
        </w:tc>
        <w:tc>
          <w:tcPr>
            <w:tcW w:w="1842" w:type="dxa"/>
            <w:shd w:val="clear" w:color="auto" w:fill="auto"/>
            <w:vAlign w:val="center"/>
          </w:tcPr>
          <w:p w:rsidR="00230743" w:rsidRPr="00802177" w:rsidRDefault="0062660D" w:rsidP="001E3005">
            <w:pPr>
              <w:jc w:val="left"/>
              <w:rPr>
                <w:szCs w:val="22"/>
              </w:rPr>
            </w:pPr>
            <w:r w:rsidRPr="00802177">
              <w:rPr>
                <w:szCs w:val="22"/>
              </w:rPr>
              <w:t>-2.8%</w:t>
            </w:r>
          </w:p>
        </w:tc>
        <w:tc>
          <w:tcPr>
            <w:tcW w:w="1843" w:type="dxa"/>
            <w:shd w:val="clear" w:color="auto" w:fill="auto"/>
            <w:vAlign w:val="center"/>
          </w:tcPr>
          <w:p w:rsidR="00230743" w:rsidRPr="00802177" w:rsidRDefault="0062660D" w:rsidP="001E3005">
            <w:pPr>
              <w:jc w:val="left"/>
              <w:rPr>
                <w:szCs w:val="22"/>
              </w:rPr>
            </w:pPr>
            <w:r w:rsidRPr="00802177">
              <w:rPr>
                <w:szCs w:val="22"/>
              </w:rPr>
              <w:t>10.3%</w:t>
            </w:r>
          </w:p>
        </w:tc>
        <w:tc>
          <w:tcPr>
            <w:tcW w:w="1843" w:type="dxa"/>
            <w:shd w:val="clear" w:color="auto" w:fill="auto"/>
            <w:vAlign w:val="center"/>
          </w:tcPr>
          <w:p w:rsidR="00230743" w:rsidRPr="00802177" w:rsidRDefault="0062660D" w:rsidP="001E3005">
            <w:pPr>
              <w:jc w:val="left"/>
              <w:rPr>
                <w:szCs w:val="22"/>
              </w:rPr>
            </w:pPr>
            <w:r w:rsidRPr="00802177">
              <w:rPr>
                <w:szCs w:val="22"/>
              </w:rPr>
              <w:t>-2.8%</w:t>
            </w:r>
          </w:p>
        </w:tc>
        <w:tc>
          <w:tcPr>
            <w:tcW w:w="1984" w:type="dxa"/>
            <w:shd w:val="clear" w:color="auto" w:fill="auto"/>
            <w:vAlign w:val="center"/>
          </w:tcPr>
          <w:p w:rsidR="00230743" w:rsidRPr="00802177" w:rsidRDefault="0062660D" w:rsidP="001E3005">
            <w:pPr>
              <w:jc w:val="left"/>
              <w:rPr>
                <w:szCs w:val="22"/>
              </w:rPr>
            </w:pPr>
            <w:r w:rsidRPr="00802177">
              <w:rPr>
                <w:szCs w:val="22"/>
              </w:rPr>
              <w:t>10.3%</w:t>
            </w:r>
          </w:p>
        </w:tc>
        <w:tc>
          <w:tcPr>
            <w:tcW w:w="2127" w:type="dxa"/>
            <w:shd w:val="clear" w:color="auto" w:fill="auto"/>
            <w:vAlign w:val="center"/>
          </w:tcPr>
          <w:p w:rsidR="00230743" w:rsidRPr="00802177" w:rsidRDefault="0062660D" w:rsidP="001E3005">
            <w:pPr>
              <w:jc w:val="left"/>
              <w:rPr>
                <w:szCs w:val="22"/>
              </w:rPr>
            </w:pPr>
            <w:r w:rsidRPr="00802177">
              <w:rPr>
                <w:szCs w:val="22"/>
              </w:rPr>
              <w:t>-2.8%</w:t>
            </w:r>
          </w:p>
        </w:tc>
        <w:tc>
          <w:tcPr>
            <w:tcW w:w="2409" w:type="dxa"/>
            <w:shd w:val="clear" w:color="auto" w:fill="auto"/>
            <w:vAlign w:val="center"/>
          </w:tcPr>
          <w:p w:rsidR="00230743" w:rsidRPr="00802177" w:rsidRDefault="0062660D" w:rsidP="001E3005">
            <w:pPr>
              <w:jc w:val="left"/>
              <w:rPr>
                <w:szCs w:val="22"/>
              </w:rPr>
            </w:pPr>
            <w:r w:rsidRPr="00802177">
              <w:rPr>
                <w:szCs w:val="22"/>
              </w:rPr>
              <w:t>10.3%</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Fulwood Academy</w:t>
            </w:r>
          </w:p>
        </w:tc>
        <w:tc>
          <w:tcPr>
            <w:tcW w:w="1842" w:type="dxa"/>
            <w:shd w:val="clear" w:color="auto" w:fill="auto"/>
            <w:vAlign w:val="center"/>
          </w:tcPr>
          <w:p w:rsidR="00230743" w:rsidRPr="00802177" w:rsidRDefault="0062660D" w:rsidP="001E3005">
            <w:pPr>
              <w:jc w:val="left"/>
              <w:rPr>
                <w:szCs w:val="22"/>
              </w:rPr>
            </w:pPr>
            <w:r w:rsidRPr="00802177">
              <w:rPr>
                <w:szCs w:val="22"/>
              </w:rPr>
              <w:t>-1.7%</w:t>
            </w:r>
          </w:p>
        </w:tc>
        <w:tc>
          <w:tcPr>
            <w:tcW w:w="1843" w:type="dxa"/>
            <w:shd w:val="clear" w:color="auto" w:fill="auto"/>
            <w:vAlign w:val="center"/>
          </w:tcPr>
          <w:p w:rsidR="00230743" w:rsidRPr="00802177" w:rsidRDefault="0062660D" w:rsidP="001E3005">
            <w:pPr>
              <w:jc w:val="left"/>
              <w:rPr>
                <w:szCs w:val="22"/>
              </w:rPr>
            </w:pPr>
            <w:r w:rsidRPr="00802177">
              <w:rPr>
                <w:szCs w:val="22"/>
              </w:rPr>
              <w:t>11.4%</w:t>
            </w:r>
          </w:p>
        </w:tc>
        <w:tc>
          <w:tcPr>
            <w:tcW w:w="1843" w:type="dxa"/>
            <w:shd w:val="clear" w:color="auto" w:fill="auto"/>
            <w:vAlign w:val="center"/>
          </w:tcPr>
          <w:p w:rsidR="00230743" w:rsidRPr="00802177" w:rsidRDefault="0062660D" w:rsidP="001E3005">
            <w:pPr>
              <w:jc w:val="left"/>
              <w:rPr>
                <w:szCs w:val="22"/>
              </w:rPr>
            </w:pPr>
            <w:r w:rsidRPr="00802177">
              <w:rPr>
                <w:szCs w:val="22"/>
              </w:rPr>
              <w:t>-1.5%</w:t>
            </w:r>
          </w:p>
        </w:tc>
        <w:tc>
          <w:tcPr>
            <w:tcW w:w="1984" w:type="dxa"/>
            <w:shd w:val="clear" w:color="auto" w:fill="auto"/>
            <w:vAlign w:val="center"/>
          </w:tcPr>
          <w:p w:rsidR="00230743" w:rsidRPr="00802177" w:rsidRDefault="0062660D" w:rsidP="001E3005">
            <w:pPr>
              <w:jc w:val="left"/>
              <w:rPr>
                <w:szCs w:val="22"/>
              </w:rPr>
            </w:pPr>
            <w:r w:rsidRPr="00802177">
              <w:rPr>
                <w:szCs w:val="22"/>
              </w:rPr>
              <w:t>11.6%</w:t>
            </w:r>
          </w:p>
        </w:tc>
        <w:tc>
          <w:tcPr>
            <w:tcW w:w="2127" w:type="dxa"/>
            <w:shd w:val="clear" w:color="auto" w:fill="auto"/>
            <w:vAlign w:val="center"/>
          </w:tcPr>
          <w:p w:rsidR="00230743" w:rsidRPr="00802177" w:rsidRDefault="0062660D" w:rsidP="001E3005">
            <w:pPr>
              <w:jc w:val="left"/>
              <w:rPr>
                <w:szCs w:val="22"/>
              </w:rPr>
            </w:pPr>
            <w:r w:rsidRPr="00802177">
              <w:rPr>
                <w:szCs w:val="22"/>
              </w:rPr>
              <w:t>-1.3%</w:t>
            </w:r>
          </w:p>
        </w:tc>
        <w:tc>
          <w:tcPr>
            <w:tcW w:w="2409" w:type="dxa"/>
            <w:shd w:val="clear" w:color="auto" w:fill="auto"/>
            <w:vAlign w:val="center"/>
          </w:tcPr>
          <w:p w:rsidR="00230743" w:rsidRPr="00802177" w:rsidRDefault="0062660D" w:rsidP="001E3005">
            <w:pPr>
              <w:jc w:val="left"/>
              <w:rPr>
                <w:szCs w:val="22"/>
              </w:rPr>
            </w:pPr>
            <w:r w:rsidRPr="00802177">
              <w:rPr>
                <w:szCs w:val="22"/>
              </w:rPr>
              <w:t>11.8%</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Fylde Borough Council</w:t>
            </w:r>
          </w:p>
        </w:tc>
        <w:tc>
          <w:tcPr>
            <w:tcW w:w="1842" w:type="dxa"/>
            <w:shd w:val="clear" w:color="auto" w:fill="auto"/>
            <w:vAlign w:val="center"/>
          </w:tcPr>
          <w:p w:rsidR="00230743" w:rsidRPr="00802177" w:rsidRDefault="0062660D" w:rsidP="001E3005">
            <w:pPr>
              <w:jc w:val="left"/>
              <w:rPr>
                <w:szCs w:val="22"/>
              </w:rPr>
            </w:pPr>
            <w:r w:rsidRPr="00802177">
              <w:rPr>
                <w:szCs w:val="22"/>
              </w:rPr>
              <w:t>-0.6% plus £484,500</w:t>
            </w:r>
          </w:p>
        </w:tc>
        <w:tc>
          <w:tcPr>
            <w:tcW w:w="1843" w:type="dxa"/>
            <w:shd w:val="clear" w:color="auto" w:fill="auto"/>
            <w:vAlign w:val="center"/>
          </w:tcPr>
          <w:p w:rsidR="00230743" w:rsidRPr="00802177" w:rsidRDefault="0062660D" w:rsidP="001E3005">
            <w:pPr>
              <w:jc w:val="left"/>
              <w:rPr>
                <w:szCs w:val="22"/>
              </w:rPr>
            </w:pPr>
            <w:r w:rsidRPr="00802177">
              <w:rPr>
                <w:szCs w:val="22"/>
              </w:rPr>
              <w:t>12.5% plus £484,500</w:t>
            </w:r>
          </w:p>
        </w:tc>
        <w:tc>
          <w:tcPr>
            <w:tcW w:w="1843" w:type="dxa"/>
            <w:shd w:val="clear" w:color="auto" w:fill="auto"/>
            <w:vAlign w:val="center"/>
          </w:tcPr>
          <w:p w:rsidR="00230743" w:rsidRPr="00802177" w:rsidRDefault="0062660D" w:rsidP="001E3005">
            <w:pPr>
              <w:jc w:val="left"/>
              <w:rPr>
                <w:szCs w:val="22"/>
              </w:rPr>
            </w:pPr>
            <w:r w:rsidRPr="00802177">
              <w:rPr>
                <w:szCs w:val="22"/>
              </w:rPr>
              <w:t xml:space="preserve">-0.6% </w:t>
            </w:r>
            <w:r w:rsidRPr="00802177">
              <w:rPr>
                <w:szCs w:val="22"/>
              </w:rPr>
              <w:t>plus £512,900</w:t>
            </w:r>
          </w:p>
        </w:tc>
        <w:tc>
          <w:tcPr>
            <w:tcW w:w="1984" w:type="dxa"/>
            <w:shd w:val="clear" w:color="auto" w:fill="auto"/>
            <w:vAlign w:val="center"/>
          </w:tcPr>
          <w:p w:rsidR="00230743" w:rsidRPr="00802177" w:rsidRDefault="0062660D" w:rsidP="001E3005">
            <w:pPr>
              <w:jc w:val="left"/>
              <w:rPr>
                <w:szCs w:val="22"/>
              </w:rPr>
            </w:pPr>
            <w:r w:rsidRPr="00802177">
              <w:rPr>
                <w:szCs w:val="22"/>
              </w:rPr>
              <w:t>12.5% plus £512,900</w:t>
            </w:r>
          </w:p>
        </w:tc>
        <w:tc>
          <w:tcPr>
            <w:tcW w:w="2127" w:type="dxa"/>
            <w:shd w:val="clear" w:color="auto" w:fill="auto"/>
            <w:vAlign w:val="center"/>
          </w:tcPr>
          <w:p w:rsidR="00230743" w:rsidRPr="00802177" w:rsidRDefault="0062660D" w:rsidP="001E3005">
            <w:pPr>
              <w:jc w:val="left"/>
              <w:rPr>
                <w:szCs w:val="22"/>
              </w:rPr>
            </w:pPr>
            <w:r w:rsidRPr="00802177">
              <w:rPr>
                <w:szCs w:val="22"/>
              </w:rPr>
              <w:t>-0.6% plus £542,000</w:t>
            </w:r>
          </w:p>
        </w:tc>
        <w:tc>
          <w:tcPr>
            <w:tcW w:w="2409" w:type="dxa"/>
            <w:shd w:val="clear" w:color="auto" w:fill="auto"/>
            <w:vAlign w:val="center"/>
          </w:tcPr>
          <w:p w:rsidR="00230743" w:rsidRPr="00802177" w:rsidRDefault="0062660D" w:rsidP="001E3005">
            <w:pPr>
              <w:jc w:val="left"/>
              <w:rPr>
                <w:szCs w:val="22"/>
              </w:rPr>
            </w:pPr>
            <w:r w:rsidRPr="00802177">
              <w:rPr>
                <w:szCs w:val="22"/>
              </w:rPr>
              <w:t>12.5% plus £542,000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Fylde Coast Academy Trust</w:t>
            </w:r>
          </w:p>
        </w:tc>
        <w:tc>
          <w:tcPr>
            <w:tcW w:w="1842" w:type="dxa"/>
            <w:shd w:val="clear" w:color="auto" w:fill="auto"/>
            <w:vAlign w:val="center"/>
          </w:tcPr>
          <w:p w:rsidR="00230743" w:rsidRPr="00802177" w:rsidRDefault="0062660D" w:rsidP="001E3005">
            <w:pPr>
              <w:jc w:val="left"/>
              <w:rPr>
                <w:szCs w:val="22"/>
              </w:rPr>
            </w:pPr>
            <w:r w:rsidRPr="00802177">
              <w:rPr>
                <w:szCs w:val="22"/>
              </w:rPr>
              <w:t>-8.5%</w:t>
            </w:r>
          </w:p>
        </w:tc>
        <w:tc>
          <w:tcPr>
            <w:tcW w:w="1843" w:type="dxa"/>
            <w:shd w:val="clear" w:color="auto" w:fill="auto"/>
            <w:vAlign w:val="center"/>
          </w:tcPr>
          <w:p w:rsidR="00230743" w:rsidRPr="00802177" w:rsidRDefault="0062660D" w:rsidP="001E3005">
            <w:pPr>
              <w:jc w:val="left"/>
              <w:rPr>
                <w:szCs w:val="22"/>
              </w:rPr>
            </w:pPr>
            <w:r w:rsidRPr="00802177">
              <w:rPr>
                <w:szCs w:val="22"/>
              </w:rPr>
              <w:t>4.6%</w:t>
            </w:r>
          </w:p>
        </w:tc>
        <w:tc>
          <w:tcPr>
            <w:tcW w:w="1843" w:type="dxa"/>
            <w:shd w:val="clear" w:color="auto" w:fill="auto"/>
            <w:vAlign w:val="center"/>
          </w:tcPr>
          <w:p w:rsidR="00230743" w:rsidRPr="00802177" w:rsidRDefault="0062660D" w:rsidP="001E3005">
            <w:pPr>
              <w:jc w:val="left"/>
              <w:rPr>
                <w:szCs w:val="22"/>
              </w:rPr>
            </w:pPr>
            <w:r w:rsidRPr="00802177">
              <w:rPr>
                <w:szCs w:val="22"/>
              </w:rPr>
              <w:t>-8.5%</w:t>
            </w:r>
          </w:p>
        </w:tc>
        <w:tc>
          <w:tcPr>
            <w:tcW w:w="1984" w:type="dxa"/>
            <w:shd w:val="clear" w:color="auto" w:fill="auto"/>
            <w:vAlign w:val="center"/>
          </w:tcPr>
          <w:p w:rsidR="00230743" w:rsidRPr="00802177" w:rsidRDefault="0062660D" w:rsidP="001E3005">
            <w:pPr>
              <w:jc w:val="left"/>
              <w:rPr>
                <w:szCs w:val="22"/>
              </w:rPr>
            </w:pPr>
            <w:r w:rsidRPr="00802177">
              <w:rPr>
                <w:szCs w:val="22"/>
              </w:rPr>
              <w:t>4.6%</w:t>
            </w:r>
          </w:p>
        </w:tc>
        <w:tc>
          <w:tcPr>
            <w:tcW w:w="2127" w:type="dxa"/>
            <w:shd w:val="clear" w:color="auto" w:fill="auto"/>
            <w:vAlign w:val="center"/>
          </w:tcPr>
          <w:p w:rsidR="00230743" w:rsidRPr="00802177" w:rsidRDefault="0062660D" w:rsidP="001E3005">
            <w:pPr>
              <w:jc w:val="left"/>
              <w:rPr>
                <w:szCs w:val="22"/>
              </w:rPr>
            </w:pPr>
            <w:r w:rsidRPr="00802177">
              <w:rPr>
                <w:szCs w:val="22"/>
              </w:rPr>
              <w:t>-8.5%</w:t>
            </w:r>
          </w:p>
        </w:tc>
        <w:tc>
          <w:tcPr>
            <w:tcW w:w="2409" w:type="dxa"/>
            <w:shd w:val="clear" w:color="auto" w:fill="auto"/>
            <w:vAlign w:val="center"/>
          </w:tcPr>
          <w:p w:rsidR="00230743" w:rsidRPr="00802177" w:rsidRDefault="0062660D" w:rsidP="001E3005">
            <w:pPr>
              <w:jc w:val="left"/>
              <w:rPr>
                <w:szCs w:val="22"/>
              </w:rPr>
            </w:pPr>
            <w:r w:rsidRPr="00802177">
              <w:rPr>
                <w:szCs w:val="22"/>
              </w:rPr>
              <w:t>4.6%</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Fylde Coast Academy Trust MAT (Unity Academy)</w:t>
            </w:r>
          </w:p>
        </w:tc>
        <w:tc>
          <w:tcPr>
            <w:tcW w:w="1842" w:type="dxa"/>
            <w:shd w:val="clear" w:color="auto" w:fill="auto"/>
            <w:vAlign w:val="center"/>
          </w:tcPr>
          <w:p w:rsidR="00230743" w:rsidRPr="00802177" w:rsidRDefault="0062660D" w:rsidP="001E3005">
            <w:pPr>
              <w:jc w:val="left"/>
              <w:rPr>
                <w:szCs w:val="22"/>
              </w:rPr>
            </w:pPr>
            <w:r w:rsidRPr="00802177">
              <w:rPr>
                <w:szCs w:val="22"/>
              </w:rPr>
              <w:t>-0.8% plus £55,300</w:t>
            </w:r>
          </w:p>
        </w:tc>
        <w:tc>
          <w:tcPr>
            <w:tcW w:w="1843" w:type="dxa"/>
            <w:shd w:val="clear" w:color="auto" w:fill="auto"/>
            <w:vAlign w:val="center"/>
          </w:tcPr>
          <w:p w:rsidR="00230743" w:rsidRPr="00802177" w:rsidRDefault="0062660D" w:rsidP="001E3005">
            <w:pPr>
              <w:jc w:val="left"/>
              <w:rPr>
                <w:szCs w:val="22"/>
              </w:rPr>
            </w:pPr>
            <w:r w:rsidRPr="00802177">
              <w:rPr>
                <w:szCs w:val="22"/>
              </w:rPr>
              <w:t>12.3% plus £55,300</w:t>
            </w:r>
          </w:p>
        </w:tc>
        <w:tc>
          <w:tcPr>
            <w:tcW w:w="1843" w:type="dxa"/>
            <w:shd w:val="clear" w:color="auto" w:fill="auto"/>
            <w:vAlign w:val="center"/>
          </w:tcPr>
          <w:p w:rsidR="00230743" w:rsidRPr="00802177" w:rsidRDefault="0062660D" w:rsidP="001E3005">
            <w:pPr>
              <w:jc w:val="left"/>
              <w:rPr>
                <w:szCs w:val="22"/>
              </w:rPr>
            </w:pPr>
            <w:r w:rsidRPr="00802177">
              <w:rPr>
                <w:szCs w:val="22"/>
              </w:rPr>
              <w:t>-0.8% plus £57,600</w:t>
            </w:r>
          </w:p>
        </w:tc>
        <w:tc>
          <w:tcPr>
            <w:tcW w:w="1984" w:type="dxa"/>
            <w:shd w:val="clear" w:color="auto" w:fill="auto"/>
            <w:vAlign w:val="center"/>
          </w:tcPr>
          <w:p w:rsidR="00230743" w:rsidRPr="00802177" w:rsidRDefault="0062660D" w:rsidP="001E3005">
            <w:pPr>
              <w:jc w:val="left"/>
              <w:rPr>
                <w:szCs w:val="22"/>
              </w:rPr>
            </w:pPr>
            <w:r w:rsidRPr="00802177">
              <w:rPr>
                <w:szCs w:val="22"/>
              </w:rPr>
              <w:t>12.3% plus £57,600</w:t>
            </w:r>
          </w:p>
        </w:tc>
        <w:tc>
          <w:tcPr>
            <w:tcW w:w="2127" w:type="dxa"/>
            <w:shd w:val="clear" w:color="auto" w:fill="auto"/>
            <w:vAlign w:val="center"/>
          </w:tcPr>
          <w:p w:rsidR="00230743" w:rsidRPr="00802177" w:rsidRDefault="0062660D" w:rsidP="001E3005">
            <w:pPr>
              <w:jc w:val="left"/>
              <w:rPr>
                <w:szCs w:val="22"/>
              </w:rPr>
            </w:pPr>
            <w:r w:rsidRPr="00802177">
              <w:rPr>
                <w:szCs w:val="22"/>
              </w:rPr>
              <w:t>-0.8% plus £60,000</w:t>
            </w:r>
          </w:p>
        </w:tc>
        <w:tc>
          <w:tcPr>
            <w:tcW w:w="2409" w:type="dxa"/>
            <w:shd w:val="clear" w:color="auto" w:fill="auto"/>
            <w:vAlign w:val="center"/>
          </w:tcPr>
          <w:p w:rsidR="00230743" w:rsidRPr="00802177" w:rsidRDefault="0062660D" w:rsidP="001E3005">
            <w:pPr>
              <w:jc w:val="left"/>
              <w:rPr>
                <w:szCs w:val="22"/>
              </w:rPr>
            </w:pPr>
            <w:r w:rsidRPr="00802177">
              <w:rPr>
                <w:szCs w:val="22"/>
              </w:rPr>
              <w:t>12.3% plus £60,000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Fylde Coast YMCA</w:t>
            </w:r>
          </w:p>
        </w:tc>
        <w:tc>
          <w:tcPr>
            <w:tcW w:w="1842" w:type="dxa"/>
            <w:shd w:val="clear" w:color="auto" w:fill="auto"/>
            <w:vAlign w:val="center"/>
          </w:tcPr>
          <w:p w:rsidR="00230743" w:rsidRPr="00802177" w:rsidRDefault="0062660D" w:rsidP="001E3005">
            <w:pPr>
              <w:jc w:val="left"/>
              <w:rPr>
                <w:szCs w:val="22"/>
              </w:rPr>
            </w:pPr>
            <w:r w:rsidRPr="00802177">
              <w:rPr>
                <w:szCs w:val="22"/>
              </w:rPr>
              <w:t>-10.1%</w:t>
            </w:r>
          </w:p>
        </w:tc>
        <w:tc>
          <w:tcPr>
            <w:tcW w:w="1843" w:type="dxa"/>
            <w:shd w:val="clear" w:color="auto" w:fill="auto"/>
            <w:vAlign w:val="center"/>
          </w:tcPr>
          <w:p w:rsidR="00230743" w:rsidRPr="00802177" w:rsidRDefault="0062660D" w:rsidP="001E3005">
            <w:pPr>
              <w:jc w:val="left"/>
              <w:rPr>
                <w:szCs w:val="22"/>
              </w:rPr>
            </w:pPr>
            <w:r w:rsidRPr="00802177">
              <w:rPr>
                <w:szCs w:val="22"/>
              </w:rPr>
              <w:t>3.0%</w:t>
            </w:r>
          </w:p>
        </w:tc>
        <w:tc>
          <w:tcPr>
            <w:tcW w:w="1843" w:type="dxa"/>
            <w:shd w:val="clear" w:color="auto" w:fill="auto"/>
            <w:vAlign w:val="center"/>
          </w:tcPr>
          <w:p w:rsidR="00230743" w:rsidRPr="00802177" w:rsidRDefault="0062660D" w:rsidP="001E3005">
            <w:pPr>
              <w:jc w:val="left"/>
              <w:rPr>
                <w:szCs w:val="22"/>
              </w:rPr>
            </w:pPr>
            <w:r w:rsidRPr="00802177">
              <w:rPr>
                <w:szCs w:val="22"/>
              </w:rPr>
              <w:t>-10.1%</w:t>
            </w:r>
          </w:p>
        </w:tc>
        <w:tc>
          <w:tcPr>
            <w:tcW w:w="1984" w:type="dxa"/>
            <w:shd w:val="clear" w:color="auto" w:fill="auto"/>
            <w:vAlign w:val="center"/>
          </w:tcPr>
          <w:p w:rsidR="00230743" w:rsidRPr="00802177" w:rsidRDefault="0062660D" w:rsidP="001E3005">
            <w:pPr>
              <w:jc w:val="left"/>
              <w:rPr>
                <w:szCs w:val="22"/>
              </w:rPr>
            </w:pPr>
            <w:r w:rsidRPr="00802177">
              <w:rPr>
                <w:szCs w:val="22"/>
              </w:rPr>
              <w:t>3.0%</w:t>
            </w:r>
          </w:p>
        </w:tc>
        <w:tc>
          <w:tcPr>
            <w:tcW w:w="2127" w:type="dxa"/>
            <w:shd w:val="clear" w:color="auto" w:fill="auto"/>
            <w:vAlign w:val="center"/>
          </w:tcPr>
          <w:p w:rsidR="00230743" w:rsidRPr="00802177" w:rsidRDefault="0062660D" w:rsidP="001E3005">
            <w:pPr>
              <w:jc w:val="left"/>
              <w:rPr>
                <w:szCs w:val="22"/>
              </w:rPr>
            </w:pPr>
            <w:r w:rsidRPr="00802177">
              <w:rPr>
                <w:szCs w:val="22"/>
              </w:rPr>
              <w:t>-10.1%</w:t>
            </w:r>
          </w:p>
        </w:tc>
        <w:tc>
          <w:tcPr>
            <w:tcW w:w="2409" w:type="dxa"/>
            <w:shd w:val="clear" w:color="auto" w:fill="auto"/>
            <w:vAlign w:val="center"/>
          </w:tcPr>
          <w:p w:rsidR="00230743" w:rsidRPr="00802177" w:rsidRDefault="0062660D" w:rsidP="001E3005">
            <w:pPr>
              <w:jc w:val="left"/>
              <w:rPr>
                <w:szCs w:val="22"/>
              </w:rPr>
            </w:pPr>
            <w:r w:rsidRPr="00802177">
              <w:rPr>
                <w:szCs w:val="22"/>
              </w:rPr>
              <w:t>3.0%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Fylde Community Link</w:t>
            </w:r>
          </w:p>
        </w:tc>
        <w:tc>
          <w:tcPr>
            <w:tcW w:w="1842" w:type="dxa"/>
            <w:shd w:val="clear" w:color="auto" w:fill="auto"/>
            <w:vAlign w:val="center"/>
          </w:tcPr>
          <w:p w:rsidR="00230743" w:rsidRPr="00802177" w:rsidRDefault="0062660D" w:rsidP="001E3005">
            <w:pPr>
              <w:jc w:val="left"/>
              <w:rPr>
                <w:szCs w:val="22"/>
              </w:rPr>
            </w:pPr>
            <w:r w:rsidRPr="00802177">
              <w:rPr>
                <w:szCs w:val="22"/>
              </w:rPr>
              <w:t>1.4% plus £7,400</w:t>
            </w:r>
          </w:p>
        </w:tc>
        <w:tc>
          <w:tcPr>
            <w:tcW w:w="1843" w:type="dxa"/>
            <w:shd w:val="clear" w:color="auto" w:fill="auto"/>
            <w:vAlign w:val="center"/>
          </w:tcPr>
          <w:p w:rsidR="00230743" w:rsidRPr="00802177" w:rsidRDefault="0062660D" w:rsidP="001E3005">
            <w:pPr>
              <w:jc w:val="left"/>
              <w:rPr>
                <w:szCs w:val="22"/>
              </w:rPr>
            </w:pPr>
            <w:r w:rsidRPr="00802177">
              <w:rPr>
                <w:szCs w:val="22"/>
              </w:rPr>
              <w:t>14.5% plus £7,400</w:t>
            </w:r>
          </w:p>
        </w:tc>
        <w:tc>
          <w:tcPr>
            <w:tcW w:w="1843" w:type="dxa"/>
            <w:shd w:val="clear" w:color="auto" w:fill="auto"/>
            <w:vAlign w:val="center"/>
          </w:tcPr>
          <w:p w:rsidR="00230743" w:rsidRPr="00802177" w:rsidRDefault="0062660D" w:rsidP="001E3005">
            <w:pPr>
              <w:jc w:val="left"/>
              <w:rPr>
                <w:szCs w:val="22"/>
              </w:rPr>
            </w:pPr>
            <w:r w:rsidRPr="00802177">
              <w:rPr>
                <w:szCs w:val="22"/>
              </w:rPr>
              <w:t>1.4% plus £8,000</w:t>
            </w:r>
          </w:p>
        </w:tc>
        <w:tc>
          <w:tcPr>
            <w:tcW w:w="1984" w:type="dxa"/>
            <w:shd w:val="clear" w:color="auto" w:fill="auto"/>
            <w:vAlign w:val="center"/>
          </w:tcPr>
          <w:p w:rsidR="00230743" w:rsidRPr="00802177" w:rsidRDefault="0062660D" w:rsidP="001E3005">
            <w:pPr>
              <w:jc w:val="left"/>
              <w:rPr>
                <w:szCs w:val="22"/>
              </w:rPr>
            </w:pPr>
            <w:r w:rsidRPr="00802177">
              <w:rPr>
                <w:szCs w:val="22"/>
              </w:rPr>
              <w:t>14.5% plus £8,000</w:t>
            </w:r>
          </w:p>
        </w:tc>
        <w:tc>
          <w:tcPr>
            <w:tcW w:w="2127" w:type="dxa"/>
            <w:shd w:val="clear" w:color="auto" w:fill="auto"/>
            <w:vAlign w:val="center"/>
          </w:tcPr>
          <w:p w:rsidR="00230743" w:rsidRPr="00802177" w:rsidRDefault="0062660D" w:rsidP="001E3005">
            <w:pPr>
              <w:jc w:val="left"/>
              <w:rPr>
                <w:szCs w:val="22"/>
              </w:rPr>
            </w:pPr>
            <w:r w:rsidRPr="00802177">
              <w:rPr>
                <w:szCs w:val="22"/>
              </w:rPr>
              <w:t>1.4% plus £8,500</w:t>
            </w:r>
          </w:p>
        </w:tc>
        <w:tc>
          <w:tcPr>
            <w:tcW w:w="2409" w:type="dxa"/>
            <w:shd w:val="clear" w:color="auto" w:fill="auto"/>
            <w:vAlign w:val="center"/>
          </w:tcPr>
          <w:p w:rsidR="00230743" w:rsidRPr="00802177" w:rsidRDefault="0062660D" w:rsidP="001E3005">
            <w:pPr>
              <w:jc w:val="left"/>
              <w:rPr>
                <w:szCs w:val="22"/>
              </w:rPr>
            </w:pPr>
            <w:r w:rsidRPr="00802177">
              <w:rPr>
                <w:szCs w:val="22"/>
              </w:rPr>
              <w:t>14.5% plus £8,500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Galloways Society for Blind</w:t>
            </w:r>
          </w:p>
        </w:tc>
        <w:tc>
          <w:tcPr>
            <w:tcW w:w="1842" w:type="dxa"/>
            <w:shd w:val="clear" w:color="auto" w:fill="auto"/>
            <w:vAlign w:val="center"/>
          </w:tcPr>
          <w:p w:rsidR="00230743" w:rsidRPr="00802177" w:rsidRDefault="0062660D" w:rsidP="001E3005">
            <w:pPr>
              <w:jc w:val="left"/>
              <w:rPr>
                <w:szCs w:val="22"/>
              </w:rPr>
            </w:pPr>
            <w:r w:rsidRPr="00802177">
              <w:rPr>
                <w:szCs w:val="22"/>
              </w:rPr>
              <w:t xml:space="preserve">5.1% </w:t>
            </w:r>
            <w:r w:rsidRPr="00802177">
              <w:rPr>
                <w:szCs w:val="22"/>
              </w:rPr>
              <w:t>plus £10,300</w:t>
            </w:r>
          </w:p>
        </w:tc>
        <w:tc>
          <w:tcPr>
            <w:tcW w:w="1843" w:type="dxa"/>
            <w:shd w:val="clear" w:color="auto" w:fill="auto"/>
            <w:vAlign w:val="center"/>
          </w:tcPr>
          <w:p w:rsidR="00230743" w:rsidRPr="00802177" w:rsidRDefault="0062660D" w:rsidP="001E3005">
            <w:pPr>
              <w:jc w:val="left"/>
              <w:rPr>
                <w:szCs w:val="22"/>
              </w:rPr>
            </w:pPr>
            <w:r w:rsidRPr="00802177">
              <w:rPr>
                <w:szCs w:val="22"/>
              </w:rPr>
              <w:t>18.2% plus £10,300</w:t>
            </w:r>
          </w:p>
        </w:tc>
        <w:tc>
          <w:tcPr>
            <w:tcW w:w="1843" w:type="dxa"/>
            <w:shd w:val="clear" w:color="auto" w:fill="auto"/>
            <w:vAlign w:val="center"/>
          </w:tcPr>
          <w:p w:rsidR="00230743" w:rsidRPr="00802177" w:rsidRDefault="0062660D" w:rsidP="001E3005">
            <w:pPr>
              <w:jc w:val="left"/>
              <w:rPr>
                <w:szCs w:val="22"/>
              </w:rPr>
            </w:pPr>
            <w:r w:rsidRPr="00802177">
              <w:rPr>
                <w:szCs w:val="22"/>
              </w:rPr>
              <w:t>5.1% plus £13,400</w:t>
            </w:r>
          </w:p>
        </w:tc>
        <w:tc>
          <w:tcPr>
            <w:tcW w:w="1984" w:type="dxa"/>
            <w:shd w:val="clear" w:color="auto" w:fill="auto"/>
            <w:vAlign w:val="center"/>
          </w:tcPr>
          <w:p w:rsidR="00230743" w:rsidRPr="00802177" w:rsidRDefault="0062660D" w:rsidP="001E3005">
            <w:pPr>
              <w:jc w:val="left"/>
              <w:rPr>
                <w:szCs w:val="22"/>
              </w:rPr>
            </w:pPr>
            <w:r w:rsidRPr="00802177">
              <w:rPr>
                <w:szCs w:val="22"/>
              </w:rPr>
              <w:t>18.2% plus £13,400</w:t>
            </w:r>
          </w:p>
        </w:tc>
        <w:tc>
          <w:tcPr>
            <w:tcW w:w="2127" w:type="dxa"/>
            <w:shd w:val="clear" w:color="auto" w:fill="auto"/>
            <w:vAlign w:val="center"/>
          </w:tcPr>
          <w:p w:rsidR="00230743" w:rsidRPr="00802177" w:rsidRDefault="0062660D" w:rsidP="001E3005">
            <w:pPr>
              <w:jc w:val="left"/>
              <w:rPr>
                <w:szCs w:val="22"/>
              </w:rPr>
            </w:pPr>
            <w:r w:rsidRPr="00802177">
              <w:rPr>
                <w:szCs w:val="22"/>
              </w:rPr>
              <w:t>5.1% plus £16,400</w:t>
            </w:r>
          </w:p>
        </w:tc>
        <w:tc>
          <w:tcPr>
            <w:tcW w:w="2409" w:type="dxa"/>
            <w:shd w:val="clear" w:color="auto" w:fill="auto"/>
            <w:vAlign w:val="center"/>
          </w:tcPr>
          <w:p w:rsidR="00230743" w:rsidRPr="00802177" w:rsidRDefault="0062660D" w:rsidP="001E3005">
            <w:pPr>
              <w:jc w:val="left"/>
              <w:rPr>
                <w:szCs w:val="22"/>
              </w:rPr>
            </w:pPr>
            <w:r w:rsidRPr="00802177">
              <w:rPr>
                <w:szCs w:val="22"/>
              </w:rPr>
              <w:t>18.2% plus £16,400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Garstang Community Academy</w:t>
            </w:r>
          </w:p>
        </w:tc>
        <w:tc>
          <w:tcPr>
            <w:tcW w:w="1842" w:type="dxa"/>
            <w:shd w:val="clear" w:color="auto" w:fill="auto"/>
            <w:vAlign w:val="center"/>
          </w:tcPr>
          <w:p w:rsidR="00230743" w:rsidRPr="00802177" w:rsidRDefault="0062660D" w:rsidP="001E3005">
            <w:pPr>
              <w:jc w:val="left"/>
              <w:rPr>
                <w:szCs w:val="22"/>
              </w:rPr>
            </w:pPr>
            <w:r w:rsidRPr="00802177">
              <w:rPr>
                <w:szCs w:val="22"/>
              </w:rPr>
              <w:t>2.7% plus £20,700</w:t>
            </w:r>
          </w:p>
        </w:tc>
        <w:tc>
          <w:tcPr>
            <w:tcW w:w="1843" w:type="dxa"/>
            <w:shd w:val="clear" w:color="auto" w:fill="auto"/>
            <w:vAlign w:val="center"/>
          </w:tcPr>
          <w:p w:rsidR="00230743" w:rsidRPr="00802177" w:rsidRDefault="0062660D" w:rsidP="001E3005">
            <w:pPr>
              <w:jc w:val="left"/>
              <w:rPr>
                <w:szCs w:val="22"/>
              </w:rPr>
            </w:pPr>
            <w:r w:rsidRPr="00802177">
              <w:rPr>
                <w:szCs w:val="22"/>
              </w:rPr>
              <w:t>15.8% plus £20,700</w:t>
            </w:r>
          </w:p>
        </w:tc>
        <w:tc>
          <w:tcPr>
            <w:tcW w:w="1843" w:type="dxa"/>
            <w:shd w:val="clear" w:color="auto" w:fill="auto"/>
            <w:vAlign w:val="center"/>
          </w:tcPr>
          <w:p w:rsidR="00230743" w:rsidRPr="00802177" w:rsidRDefault="0062660D" w:rsidP="001E3005">
            <w:pPr>
              <w:jc w:val="left"/>
              <w:rPr>
                <w:szCs w:val="22"/>
              </w:rPr>
            </w:pPr>
            <w:r w:rsidRPr="00802177">
              <w:rPr>
                <w:szCs w:val="22"/>
              </w:rPr>
              <w:t>2.7% plus £25,900</w:t>
            </w:r>
          </w:p>
        </w:tc>
        <w:tc>
          <w:tcPr>
            <w:tcW w:w="1984" w:type="dxa"/>
            <w:shd w:val="clear" w:color="auto" w:fill="auto"/>
            <w:vAlign w:val="center"/>
          </w:tcPr>
          <w:p w:rsidR="00230743" w:rsidRPr="00802177" w:rsidRDefault="0062660D" w:rsidP="001E3005">
            <w:pPr>
              <w:jc w:val="left"/>
              <w:rPr>
                <w:szCs w:val="22"/>
              </w:rPr>
            </w:pPr>
            <w:r w:rsidRPr="00802177">
              <w:rPr>
                <w:szCs w:val="22"/>
              </w:rPr>
              <w:t>15.8% plus £25,900</w:t>
            </w:r>
          </w:p>
        </w:tc>
        <w:tc>
          <w:tcPr>
            <w:tcW w:w="2127" w:type="dxa"/>
            <w:shd w:val="clear" w:color="auto" w:fill="auto"/>
            <w:vAlign w:val="center"/>
          </w:tcPr>
          <w:p w:rsidR="00230743" w:rsidRPr="00802177" w:rsidRDefault="0062660D" w:rsidP="001E3005">
            <w:pPr>
              <w:jc w:val="left"/>
              <w:rPr>
                <w:szCs w:val="22"/>
              </w:rPr>
            </w:pPr>
            <w:r w:rsidRPr="00802177">
              <w:rPr>
                <w:szCs w:val="22"/>
              </w:rPr>
              <w:t>2.7% plus £31,100</w:t>
            </w:r>
          </w:p>
        </w:tc>
        <w:tc>
          <w:tcPr>
            <w:tcW w:w="2409" w:type="dxa"/>
            <w:shd w:val="clear" w:color="auto" w:fill="auto"/>
            <w:vAlign w:val="center"/>
          </w:tcPr>
          <w:p w:rsidR="00230743" w:rsidRPr="00802177" w:rsidRDefault="0062660D" w:rsidP="001E3005">
            <w:pPr>
              <w:jc w:val="left"/>
              <w:rPr>
                <w:szCs w:val="22"/>
              </w:rPr>
            </w:pPr>
            <w:r w:rsidRPr="00802177">
              <w:rPr>
                <w:szCs w:val="22"/>
              </w:rPr>
              <w:t>15.8% plus £31,100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 xml:space="preserve">Garstang </w:t>
            </w:r>
            <w:r w:rsidRPr="00FF2F9D">
              <w:rPr>
                <w:szCs w:val="22"/>
              </w:rPr>
              <w:t>Town Council</w:t>
            </w:r>
          </w:p>
        </w:tc>
        <w:tc>
          <w:tcPr>
            <w:tcW w:w="1842" w:type="dxa"/>
            <w:shd w:val="clear" w:color="auto" w:fill="auto"/>
            <w:vAlign w:val="center"/>
          </w:tcPr>
          <w:p w:rsidR="00230743" w:rsidRPr="00802177" w:rsidRDefault="0062660D" w:rsidP="001E3005">
            <w:pPr>
              <w:jc w:val="left"/>
              <w:rPr>
                <w:szCs w:val="22"/>
              </w:rPr>
            </w:pPr>
            <w:r w:rsidRPr="00802177">
              <w:rPr>
                <w:szCs w:val="22"/>
              </w:rPr>
              <w:t>0.9%</w:t>
            </w:r>
          </w:p>
        </w:tc>
        <w:tc>
          <w:tcPr>
            <w:tcW w:w="1843" w:type="dxa"/>
            <w:shd w:val="clear" w:color="auto" w:fill="auto"/>
            <w:vAlign w:val="center"/>
          </w:tcPr>
          <w:p w:rsidR="00230743" w:rsidRPr="00802177" w:rsidRDefault="0062660D" w:rsidP="001E3005">
            <w:pPr>
              <w:jc w:val="left"/>
              <w:rPr>
                <w:szCs w:val="22"/>
              </w:rPr>
            </w:pPr>
            <w:r w:rsidRPr="00802177">
              <w:rPr>
                <w:szCs w:val="22"/>
              </w:rPr>
              <w:t>14.0%</w:t>
            </w:r>
          </w:p>
        </w:tc>
        <w:tc>
          <w:tcPr>
            <w:tcW w:w="1843" w:type="dxa"/>
            <w:shd w:val="clear" w:color="auto" w:fill="auto"/>
            <w:vAlign w:val="center"/>
          </w:tcPr>
          <w:p w:rsidR="00230743" w:rsidRPr="00802177" w:rsidRDefault="0062660D" w:rsidP="001E3005">
            <w:pPr>
              <w:jc w:val="left"/>
              <w:rPr>
                <w:szCs w:val="22"/>
              </w:rPr>
            </w:pPr>
            <w:r w:rsidRPr="00802177">
              <w:rPr>
                <w:szCs w:val="22"/>
              </w:rPr>
              <w:t>0.9%</w:t>
            </w:r>
          </w:p>
        </w:tc>
        <w:tc>
          <w:tcPr>
            <w:tcW w:w="1984" w:type="dxa"/>
            <w:shd w:val="clear" w:color="auto" w:fill="auto"/>
            <w:vAlign w:val="center"/>
          </w:tcPr>
          <w:p w:rsidR="00230743" w:rsidRPr="00802177" w:rsidRDefault="0062660D" w:rsidP="001E3005">
            <w:pPr>
              <w:jc w:val="left"/>
              <w:rPr>
                <w:szCs w:val="22"/>
              </w:rPr>
            </w:pPr>
            <w:r w:rsidRPr="00802177">
              <w:rPr>
                <w:szCs w:val="22"/>
              </w:rPr>
              <w:t>14.0%</w:t>
            </w:r>
          </w:p>
        </w:tc>
        <w:tc>
          <w:tcPr>
            <w:tcW w:w="2127" w:type="dxa"/>
            <w:shd w:val="clear" w:color="auto" w:fill="auto"/>
            <w:vAlign w:val="center"/>
          </w:tcPr>
          <w:p w:rsidR="00230743" w:rsidRPr="00802177" w:rsidRDefault="0062660D" w:rsidP="001E3005">
            <w:pPr>
              <w:jc w:val="left"/>
              <w:rPr>
                <w:szCs w:val="22"/>
              </w:rPr>
            </w:pPr>
            <w:r w:rsidRPr="00802177">
              <w:rPr>
                <w:szCs w:val="22"/>
              </w:rPr>
              <w:t>0.9%</w:t>
            </w:r>
          </w:p>
        </w:tc>
        <w:tc>
          <w:tcPr>
            <w:tcW w:w="2409" w:type="dxa"/>
            <w:shd w:val="clear" w:color="auto" w:fill="auto"/>
            <w:vAlign w:val="center"/>
          </w:tcPr>
          <w:p w:rsidR="00230743" w:rsidRPr="00802177" w:rsidRDefault="0062660D" w:rsidP="001E3005">
            <w:pPr>
              <w:jc w:val="left"/>
              <w:rPr>
                <w:szCs w:val="22"/>
              </w:rPr>
            </w:pPr>
            <w:r w:rsidRPr="00802177">
              <w:rPr>
                <w:szCs w:val="22"/>
              </w:rPr>
              <w:t>14.0%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proofErr w:type="spellStart"/>
            <w:r w:rsidRPr="00FF2F9D">
              <w:rPr>
                <w:szCs w:val="22"/>
              </w:rPr>
              <w:t>Habergham</w:t>
            </w:r>
            <w:proofErr w:type="spellEnd"/>
            <w:r w:rsidRPr="00FF2F9D">
              <w:rPr>
                <w:szCs w:val="22"/>
              </w:rPr>
              <w:t xml:space="preserve"> Eaves Parish Council</w:t>
            </w:r>
          </w:p>
        </w:tc>
        <w:tc>
          <w:tcPr>
            <w:tcW w:w="1842" w:type="dxa"/>
            <w:shd w:val="clear" w:color="auto" w:fill="auto"/>
            <w:vAlign w:val="center"/>
          </w:tcPr>
          <w:p w:rsidR="00230743" w:rsidRPr="00802177" w:rsidRDefault="0062660D" w:rsidP="001E3005">
            <w:pPr>
              <w:jc w:val="left"/>
              <w:rPr>
                <w:szCs w:val="22"/>
              </w:rPr>
            </w:pPr>
            <w:r w:rsidRPr="00802177">
              <w:rPr>
                <w:szCs w:val="22"/>
              </w:rPr>
              <w:t>TBC</w:t>
            </w:r>
          </w:p>
        </w:tc>
        <w:tc>
          <w:tcPr>
            <w:tcW w:w="1843" w:type="dxa"/>
            <w:shd w:val="clear" w:color="auto" w:fill="auto"/>
            <w:vAlign w:val="center"/>
          </w:tcPr>
          <w:p w:rsidR="00230743" w:rsidRPr="00802177" w:rsidRDefault="0062660D" w:rsidP="001E3005">
            <w:pPr>
              <w:jc w:val="left"/>
              <w:rPr>
                <w:szCs w:val="22"/>
              </w:rPr>
            </w:pPr>
            <w:r w:rsidRPr="00802177">
              <w:rPr>
                <w:szCs w:val="22"/>
              </w:rPr>
              <w:t>TBC</w:t>
            </w:r>
          </w:p>
        </w:tc>
        <w:tc>
          <w:tcPr>
            <w:tcW w:w="1843" w:type="dxa"/>
            <w:shd w:val="clear" w:color="auto" w:fill="auto"/>
            <w:vAlign w:val="center"/>
          </w:tcPr>
          <w:p w:rsidR="00230743" w:rsidRPr="00802177" w:rsidRDefault="0062660D" w:rsidP="001E3005">
            <w:pPr>
              <w:jc w:val="left"/>
              <w:rPr>
                <w:szCs w:val="22"/>
              </w:rPr>
            </w:pPr>
            <w:r w:rsidRPr="00802177">
              <w:rPr>
                <w:szCs w:val="22"/>
              </w:rPr>
              <w:t>TBC</w:t>
            </w:r>
          </w:p>
        </w:tc>
        <w:tc>
          <w:tcPr>
            <w:tcW w:w="1984" w:type="dxa"/>
            <w:shd w:val="clear" w:color="auto" w:fill="auto"/>
            <w:vAlign w:val="center"/>
          </w:tcPr>
          <w:p w:rsidR="00230743" w:rsidRPr="00802177" w:rsidRDefault="0062660D" w:rsidP="001E3005">
            <w:pPr>
              <w:jc w:val="left"/>
              <w:rPr>
                <w:szCs w:val="22"/>
              </w:rPr>
            </w:pPr>
            <w:r w:rsidRPr="00802177">
              <w:rPr>
                <w:szCs w:val="22"/>
              </w:rPr>
              <w:t>TBC</w:t>
            </w:r>
          </w:p>
        </w:tc>
        <w:tc>
          <w:tcPr>
            <w:tcW w:w="2127" w:type="dxa"/>
            <w:shd w:val="clear" w:color="auto" w:fill="auto"/>
            <w:vAlign w:val="center"/>
          </w:tcPr>
          <w:p w:rsidR="00230743" w:rsidRPr="00802177" w:rsidRDefault="0062660D" w:rsidP="001E3005">
            <w:pPr>
              <w:jc w:val="left"/>
              <w:rPr>
                <w:szCs w:val="22"/>
              </w:rPr>
            </w:pPr>
            <w:r w:rsidRPr="00802177">
              <w:rPr>
                <w:szCs w:val="22"/>
              </w:rPr>
              <w:t>TBC</w:t>
            </w:r>
          </w:p>
        </w:tc>
        <w:tc>
          <w:tcPr>
            <w:tcW w:w="2409" w:type="dxa"/>
            <w:shd w:val="clear" w:color="auto" w:fill="auto"/>
            <w:vAlign w:val="center"/>
          </w:tcPr>
          <w:p w:rsidR="00230743" w:rsidRPr="00802177" w:rsidRDefault="0062660D" w:rsidP="001E3005">
            <w:pPr>
              <w:jc w:val="left"/>
              <w:rPr>
                <w:szCs w:val="22"/>
              </w:rPr>
            </w:pPr>
            <w:r w:rsidRPr="00802177">
              <w:rPr>
                <w:szCs w:val="22"/>
              </w:rPr>
              <w:t>TBC</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Hambleton Primary Academy</w:t>
            </w:r>
          </w:p>
        </w:tc>
        <w:tc>
          <w:tcPr>
            <w:tcW w:w="1842" w:type="dxa"/>
            <w:shd w:val="clear" w:color="auto" w:fill="auto"/>
            <w:vAlign w:val="center"/>
          </w:tcPr>
          <w:p w:rsidR="00230743" w:rsidRPr="00802177" w:rsidRDefault="0062660D" w:rsidP="001E3005">
            <w:pPr>
              <w:jc w:val="left"/>
              <w:rPr>
                <w:szCs w:val="22"/>
              </w:rPr>
            </w:pPr>
            <w:r w:rsidRPr="00802177">
              <w:rPr>
                <w:szCs w:val="22"/>
              </w:rPr>
              <w:t>-1.7% plus £6,200</w:t>
            </w:r>
          </w:p>
        </w:tc>
        <w:tc>
          <w:tcPr>
            <w:tcW w:w="1843" w:type="dxa"/>
            <w:shd w:val="clear" w:color="auto" w:fill="auto"/>
            <w:vAlign w:val="center"/>
          </w:tcPr>
          <w:p w:rsidR="00230743" w:rsidRPr="00802177" w:rsidRDefault="0062660D" w:rsidP="001E3005">
            <w:pPr>
              <w:jc w:val="left"/>
              <w:rPr>
                <w:szCs w:val="22"/>
              </w:rPr>
            </w:pPr>
            <w:r w:rsidRPr="00802177">
              <w:rPr>
                <w:szCs w:val="22"/>
              </w:rPr>
              <w:t>11.4% plus £6,200</w:t>
            </w:r>
          </w:p>
        </w:tc>
        <w:tc>
          <w:tcPr>
            <w:tcW w:w="1843" w:type="dxa"/>
            <w:shd w:val="clear" w:color="auto" w:fill="auto"/>
            <w:vAlign w:val="center"/>
          </w:tcPr>
          <w:p w:rsidR="00230743" w:rsidRPr="00802177" w:rsidRDefault="0062660D" w:rsidP="001E3005">
            <w:pPr>
              <w:jc w:val="left"/>
              <w:rPr>
                <w:szCs w:val="22"/>
              </w:rPr>
            </w:pPr>
            <w:r w:rsidRPr="00802177">
              <w:rPr>
                <w:szCs w:val="22"/>
              </w:rPr>
              <w:t>-1.7% plus £6,500</w:t>
            </w:r>
          </w:p>
        </w:tc>
        <w:tc>
          <w:tcPr>
            <w:tcW w:w="1984" w:type="dxa"/>
            <w:shd w:val="clear" w:color="auto" w:fill="auto"/>
            <w:vAlign w:val="center"/>
          </w:tcPr>
          <w:p w:rsidR="00230743" w:rsidRPr="00802177" w:rsidRDefault="0062660D" w:rsidP="001E3005">
            <w:pPr>
              <w:jc w:val="left"/>
              <w:rPr>
                <w:szCs w:val="22"/>
              </w:rPr>
            </w:pPr>
            <w:r w:rsidRPr="00802177">
              <w:rPr>
                <w:szCs w:val="22"/>
              </w:rPr>
              <w:t>11.4% plus £6,500</w:t>
            </w:r>
          </w:p>
        </w:tc>
        <w:tc>
          <w:tcPr>
            <w:tcW w:w="2127" w:type="dxa"/>
            <w:shd w:val="clear" w:color="auto" w:fill="auto"/>
            <w:vAlign w:val="center"/>
          </w:tcPr>
          <w:p w:rsidR="00230743" w:rsidRPr="00802177" w:rsidRDefault="0062660D" w:rsidP="001E3005">
            <w:pPr>
              <w:jc w:val="left"/>
              <w:rPr>
                <w:szCs w:val="22"/>
              </w:rPr>
            </w:pPr>
            <w:r w:rsidRPr="00802177">
              <w:rPr>
                <w:szCs w:val="22"/>
              </w:rPr>
              <w:t>-1.7% plus £6,900</w:t>
            </w:r>
          </w:p>
        </w:tc>
        <w:tc>
          <w:tcPr>
            <w:tcW w:w="2409" w:type="dxa"/>
            <w:shd w:val="clear" w:color="auto" w:fill="auto"/>
            <w:vAlign w:val="center"/>
          </w:tcPr>
          <w:p w:rsidR="00230743" w:rsidRPr="00802177" w:rsidRDefault="0062660D" w:rsidP="001E3005">
            <w:pPr>
              <w:jc w:val="left"/>
              <w:rPr>
                <w:szCs w:val="22"/>
              </w:rPr>
            </w:pPr>
            <w:r w:rsidRPr="00802177">
              <w:rPr>
                <w:szCs w:val="22"/>
              </w:rPr>
              <w:t>11.4% plus £6,900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Hawes Side Academy</w:t>
            </w:r>
          </w:p>
        </w:tc>
        <w:tc>
          <w:tcPr>
            <w:tcW w:w="1842" w:type="dxa"/>
            <w:shd w:val="clear" w:color="auto" w:fill="auto"/>
            <w:vAlign w:val="center"/>
          </w:tcPr>
          <w:p w:rsidR="00230743" w:rsidRPr="00802177" w:rsidRDefault="0062660D" w:rsidP="001E3005">
            <w:pPr>
              <w:jc w:val="left"/>
              <w:rPr>
                <w:szCs w:val="22"/>
              </w:rPr>
            </w:pPr>
            <w:r w:rsidRPr="00802177">
              <w:rPr>
                <w:szCs w:val="22"/>
              </w:rPr>
              <w:t>1.7% plus £14,300</w:t>
            </w:r>
          </w:p>
        </w:tc>
        <w:tc>
          <w:tcPr>
            <w:tcW w:w="1843" w:type="dxa"/>
            <w:shd w:val="clear" w:color="auto" w:fill="auto"/>
            <w:vAlign w:val="center"/>
          </w:tcPr>
          <w:p w:rsidR="00230743" w:rsidRPr="00802177" w:rsidRDefault="0062660D" w:rsidP="001E3005">
            <w:pPr>
              <w:jc w:val="left"/>
              <w:rPr>
                <w:szCs w:val="22"/>
              </w:rPr>
            </w:pPr>
            <w:r w:rsidRPr="00802177">
              <w:rPr>
                <w:szCs w:val="22"/>
              </w:rPr>
              <w:t>14.8% plus £14,300</w:t>
            </w:r>
          </w:p>
        </w:tc>
        <w:tc>
          <w:tcPr>
            <w:tcW w:w="1843" w:type="dxa"/>
            <w:shd w:val="clear" w:color="auto" w:fill="auto"/>
            <w:vAlign w:val="center"/>
          </w:tcPr>
          <w:p w:rsidR="00230743" w:rsidRPr="00802177" w:rsidRDefault="0062660D" w:rsidP="001E3005">
            <w:pPr>
              <w:jc w:val="left"/>
              <w:rPr>
                <w:szCs w:val="22"/>
              </w:rPr>
            </w:pPr>
            <w:r w:rsidRPr="00802177">
              <w:rPr>
                <w:szCs w:val="22"/>
              </w:rPr>
              <w:t>1.7% plus £15,700</w:t>
            </w:r>
          </w:p>
        </w:tc>
        <w:tc>
          <w:tcPr>
            <w:tcW w:w="1984" w:type="dxa"/>
            <w:shd w:val="clear" w:color="auto" w:fill="auto"/>
            <w:vAlign w:val="center"/>
          </w:tcPr>
          <w:p w:rsidR="00230743" w:rsidRPr="00802177" w:rsidRDefault="0062660D" w:rsidP="001E3005">
            <w:pPr>
              <w:jc w:val="left"/>
              <w:rPr>
                <w:szCs w:val="22"/>
              </w:rPr>
            </w:pPr>
            <w:r w:rsidRPr="00802177">
              <w:rPr>
                <w:szCs w:val="22"/>
              </w:rPr>
              <w:t>14.8% plus £15,700</w:t>
            </w:r>
          </w:p>
        </w:tc>
        <w:tc>
          <w:tcPr>
            <w:tcW w:w="2127" w:type="dxa"/>
            <w:shd w:val="clear" w:color="auto" w:fill="auto"/>
            <w:vAlign w:val="center"/>
          </w:tcPr>
          <w:p w:rsidR="00230743" w:rsidRPr="00802177" w:rsidRDefault="0062660D" w:rsidP="001E3005">
            <w:pPr>
              <w:jc w:val="left"/>
              <w:rPr>
                <w:szCs w:val="22"/>
              </w:rPr>
            </w:pPr>
            <w:r w:rsidRPr="00802177">
              <w:rPr>
                <w:szCs w:val="22"/>
              </w:rPr>
              <w:t>1.7% plus £17,100</w:t>
            </w:r>
          </w:p>
        </w:tc>
        <w:tc>
          <w:tcPr>
            <w:tcW w:w="2409" w:type="dxa"/>
            <w:shd w:val="clear" w:color="auto" w:fill="auto"/>
            <w:vAlign w:val="center"/>
          </w:tcPr>
          <w:p w:rsidR="00230743" w:rsidRPr="00802177" w:rsidRDefault="0062660D" w:rsidP="001E3005">
            <w:pPr>
              <w:jc w:val="left"/>
              <w:rPr>
                <w:szCs w:val="22"/>
              </w:rPr>
            </w:pPr>
            <w:r w:rsidRPr="00802177">
              <w:rPr>
                <w:szCs w:val="22"/>
              </w:rPr>
              <w:t>14.8% plus £17,100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Hodgson Academy</w:t>
            </w:r>
          </w:p>
        </w:tc>
        <w:tc>
          <w:tcPr>
            <w:tcW w:w="1842" w:type="dxa"/>
            <w:shd w:val="clear" w:color="auto" w:fill="auto"/>
            <w:vAlign w:val="center"/>
          </w:tcPr>
          <w:p w:rsidR="00230743" w:rsidRPr="00802177" w:rsidRDefault="0062660D" w:rsidP="001E3005">
            <w:pPr>
              <w:jc w:val="left"/>
              <w:rPr>
                <w:szCs w:val="22"/>
              </w:rPr>
            </w:pPr>
            <w:r w:rsidRPr="00802177">
              <w:rPr>
                <w:szCs w:val="22"/>
              </w:rPr>
              <w:t>2.8% plus £28,900</w:t>
            </w:r>
          </w:p>
        </w:tc>
        <w:tc>
          <w:tcPr>
            <w:tcW w:w="1843" w:type="dxa"/>
            <w:shd w:val="clear" w:color="auto" w:fill="auto"/>
            <w:vAlign w:val="center"/>
          </w:tcPr>
          <w:p w:rsidR="00230743" w:rsidRPr="00802177" w:rsidRDefault="0062660D" w:rsidP="001E3005">
            <w:pPr>
              <w:jc w:val="left"/>
              <w:rPr>
                <w:szCs w:val="22"/>
              </w:rPr>
            </w:pPr>
            <w:r w:rsidRPr="00802177">
              <w:rPr>
                <w:szCs w:val="22"/>
              </w:rPr>
              <w:t>15.9% plus £28,900</w:t>
            </w:r>
          </w:p>
        </w:tc>
        <w:tc>
          <w:tcPr>
            <w:tcW w:w="1843" w:type="dxa"/>
            <w:shd w:val="clear" w:color="auto" w:fill="auto"/>
            <w:vAlign w:val="center"/>
          </w:tcPr>
          <w:p w:rsidR="00230743" w:rsidRPr="00802177" w:rsidRDefault="0062660D" w:rsidP="001E3005">
            <w:pPr>
              <w:jc w:val="left"/>
              <w:rPr>
                <w:szCs w:val="22"/>
              </w:rPr>
            </w:pPr>
            <w:r w:rsidRPr="00802177">
              <w:rPr>
                <w:szCs w:val="22"/>
              </w:rPr>
              <w:t>2.8% plus £36,500</w:t>
            </w:r>
          </w:p>
        </w:tc>
        <w:tc>
          <w:tcPr>
            <w:tcW w:w="1984" w:type="dxa"/>
            <w:shd w:val="clear" w:color="auto" w:fill="auto"/>
            <w:vAlign w:val="center"/>
          </w:tcPr>
          <w:p w:rsidR="00230743" w:rsidRPr="00802177" w:rsidRDefault="0062660D" w:rsidP="001E3005">
            <w:pPr>
              <w:jc w:val="left"/>
              <w:rPr>
                <w:szCs w:val="22"/>
              </w:rPr>
            </w:pPr>
            <w:r w:rsidRPr="00802177">
              <w:rPr>
                <w:szCs w:val="22"/>
              </w:rPr>
              <w:t>15.9% plus £36,500</w:t>
            </w:r>
          </w:p>
        </w:tc>
        <w:tc>
          <w:tcPr>
            <w:tcW w:w="2127" w:type="dxa"/>
            <w:shd w:val="clear" w:color="auto" w:fill="auto"/>
            <w:vAlign w:val="center"/>
          </w:tcPr>
          <w:p w:rsidR="00230743" w:rsidRPr="00802177" w:rsidRDefault="0062660D" w:rsidP="001E3005">
            <w:pPr>
              <w:jc w:val="left"/>
              <w:rPr>
                <w:szCs w:val="22"/>
              </w:rPr>
            </w:pPr>
            <w:r w:rsidRPr="00802177">
              <w:rPr>
                <w:szCs w:val="22"/>
              </w:rPr>
              <w:t>2.8% plus £44,100</w:t>
            </w:r>
          </w:p>
        </w:tc>
        <w:tc>
          <w:tcPr>
            <w:tcW w:w="2409" w:type="dxa"/>
            <w:shd w:val="clear" w:color="auto" w:fill="auto"/>
            <w:vAlign w:val="center"/>
          </w:tcPr>
          <w:p w:rsidR="00230743" w:rsidRPr="00802177" w:rsidRDefault="0062660D" w:rsidP="001E3005">
            <w:pPr>
              <w:jc w:val="left"/>
              <w:rPr>
                <w:szCs w:val="22"/>
              </w:rPr>
            </w:pPr>
            <w:r w:rsidRPr="00802177">
              <w:rPr>
                <w:szCs w:val="22"/>
              </w:rPr>
              <w:t>15.9% plus £44,100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 xml:space="preserve">Housing Pendle </w:t>
            </w:r>
            <w:r w:rsidRPr="00FF2F9D">
              <w:rPr>
                <w:szCs w:val="22"/>
              </w:rPr>
              <w:t>Ltd</w:t>
            </w:r>
          </w:p>
        </w:tc>
        <w:tc>
          <w:tcPr>
            <w:tcW w:w="1842" w:type="dxa"/>
            <w:shd w:val="clear" w:color="auto" w:fill="auto"/>
            <w:vAlign w:val="center"/>
          </w:tcPr>
          <w:p w:rsidR="00230743" w:rsidRPr="00802177" w:rsidRDefault="0062660D" w:rsidP="001E3005">
            <w:pPr>
              <w:jc w:val="left"/>
              <w:rPr>
                <w:szCs w:val="22"/>
              </w:rPr>
            </w:pPr>
            <w:r w:rsidRPr="00802177">
              <w:rPr>
                <w:szCs w:val="22"/>
              </w:rPr>
              <w:t>1.3% plus £3,200</w:t>
            </w:r>
          </w:p>
        </w:tc>
        <w:tc>
          <w:tcPr>
            <w:tcW w:w="1843" w:type="dxa"/>
            <w:shd w:val="clear" w:color="auto" w:fill="auto"/>
            <w:vAlign w:val="center"/>
          </w:tcPr>
          <w:p w:rsidR="00230743" w:rsidRPr="00802177" w:rsidRDefault="0062660D" w:rsidP="001E3005">
            <w:pPr>
              <w:jc w:val="left"/>
              <w:rPr>
                <w:szCs w:val="22"/>
              </w:rPr>
            </w:pPr>
            <w:r w:rsidRPr="00802177">
              <w:rPr>
                <w:szCs w:val="22"/>
              </w:rPr>
              <w:t>14.4% plus £3,200</w:t>
            </w:r>
          </w:p>
        </w:tc>
        <w:tc>
          <w:tcPr>
            <w:tcW w:w="1843" w:type="dxa"/>
            <w:shd w:val="clear" w:color="auto" w:fill="auto"/>
            <w:vAlign w:val="center"/>
          </w:tcPr>
          <w:p w:rsidR="00230743" w:rsidRPr="00802177" w:rsidRDefault="0062660D" w:rsidP="001E3005">
            <w:pPr>
              <w:jc w:val="left"/>
              <w:rPr>
                <w:szCs w:val="22"/>
              </w:rPr>
            </w:pPr>
            <w:r w:rsidRPr="00802177">
              <w:rPr>
                <w:szCs w:val="22"/>
              </w:rPr>
              <w:t>1.3% plus £8,700</w:t>
            </w:r>
          </w:p>
        </w:tc>
        <w:tc>
          <w:tcPr>
            <w:tcW w:w="1984" w:type="dxa"/>
            <w:shd w:val="clear" w:color="auto" w:fill="auto"/>
            <w:vAlign w:val="center"/>
          </w:tcPr>
          <w:p w:rsidR="00230743" w:rsidRPr="00802177" w:rsidRDefault="0062660D" w:rsidP="001E3005">
            <w:pPr>
              <w:jc w:val="left"/>
              <w:rPr>
                <w:szCs w:val="22"/>
              </w:rPr>
            </w:pPr>
            <w:r w:rsidRPr="00802177">
              <w:rPr>
                <w:szCs w:val="22"/>
              </w:rPr>
              <w:t>14.4% plus £8,700</w:t>
            </w:r>
          </w:p>
        </w:tc>
        <w:tc>
          <w:tcPr>
            <w:tcW w:w="2127" w:type="dxa"/>
            <w:shd w:val="clear" w:color="auto" w:fill="auto"/>
            <w:vAlign w:val="center"/>
          </w:tcPr>
          <w:p w:rsidR="00230743" w:rsidRPr="00802177" w:rsidRDefault="0062660D" w:rsidP="001E3005">
            <w:pPr>
              <w:jc w:val="left"/>
              <w:rPr>
                <w:szCs w:val="22"/>
              </w:rPr>
            </w:pPr>
            <w:r w:rsidRPr="00802177">
              <w:rPr>
                <w:szCs w:val="22"/>
              </w:rPr>
              <w:t>1.3% plus £14,200</w:t>
            </w:r>
          </w:p>
        </w:tc>
        <w:tc>
          <w:tcPr>
            <w:tcW w:w="2409" w:type="dxa"/>
            <w:shd w:val="clear" w:color="auto" w:fill="auto"/>
            <w:vAlign w:val="center"/>
          </w:tcPr>
          <w:p w:rsidR="00230743" w:rsidRPr="00802177" w:rsidRDefault="0062660D" w:rsidP="001E3005">
            <w:pPr>
              <w:jc w:val="left"/>
              <w:rPr>
                <w:szCs w:val="22"/>
              </w:rPr>
            </w:pPr>
            <w:r w:rsidRPr="00802177">
              <w:rPr>
                <w:szCs w:val="22"/>
              </w:rPr>
              <w:t>14.4% plus £14,200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Hyndburn Borough Council</w:t>
            </w:r>
          </w:p>
        </w:tc>
        <w:tc>
          <w:tcPr>
            <w:tcW w:w="1842" w:type="dxa"/>
            <w:shd w:val="clear" w:color="auto" w:fill="auto"/>
            <w:vAlign w:val="center"/>
          </w:tcPr>
          <w:p w:rsidR="00230743" w:rsidRPr="00802177" w:rsidRDefault="0062660D" w:rsidP="001E3005">
            <w:pPr>
              <w:jc w:val="left"/>
              <w:rPr>
                <w:szCs w:val="22"/>
              </w:rPr>
            </w:pPr>
            <w:r w:rsidRPr="00802177">
              <w:rPr>
                <w:szCs w:val="22"/>
              </w:rPr>
              <w:t>-0.5% plus £816,500</w:t>
            </w:r>
          </w:p>
        </w:tc>
        <w:tc>
          <w:tcPr>
            <w:tcW w:w="1843" w:type="dxa"/>
            <w:shd w:val="clear" w:color="auto" w:fill="auto"/>
            <w:vAlign w:val="center"/>
          </w:tcPr>
          <w:p w:rsidR="00230743" w:rsidRPr="00802177" w:rsidRDefault="0062660D" w:rsidP="001E3005">
            <w:pPr>
              <w:jc w:val="left"/>
              <w:rPr>
                <w:szCs w:val="22"/>
              </w:rPr>
            </w:pPr>
            <w:r w:rsidRPr="00802177">
              <w:rPr>
                <w:szCs w:val="22"/>
              </w:rPr>
              <w:t>12.6% plus £816,500</w:t>
            </w:r>
          </w:p>
        </w:tc>
        <w:tc>
          <w:tcPr>
            <w:tcW w:w="1843" w:type="dxa"/>
            <w:shd w:val="clear" w:color="auto" w:fill="auto"/>
            <w:vAlign w:val="center"/>
          </w:tcPr>
          <w:p w:rsidR="00230743" w:rsidRPr="00802177" w:rsidRDefault="0062660D" w:rsidP="001E3005">
            <w:pPr>
              <w:jc w:val="left"/>
              <w:rPr>
                <w:szCs w:val="22"/>
              </w:rPr>
            </w:pPr>
            <w:r w:rsidRPr="00802177">
              <w:rPr>
                <w:szCs w:val="22"/>
              </w:rPr>
              <w:t>-0.5% plus £850,000</w:t>
            </w:r>
          </w:p>
        </w:tc>
        <w:tc>
          <w:tcPr>
            <w:tcW w:w="1984" w:type="dxa"/>
            <w:shd w:val="clear" w:color="auto" w:fill="auto"/>
            <w:vAlign w:val="center"/>
          </w:tcPr>
          <w:p w:rsidR="00230743" w:rsidRPr="00802177" w:rsidRDefault="0062660D" w:rsidP="001E3005">
            <w:pPr>
              <w:jc w:val="left"/>
              <w:rPr>
                <w:szCs w:val="22"/>
              </w:rPr>
            </w:pPr>
            <w:r w:rsidRPr="00802177">
              <w:rPr>
                <w:szCs w:val="22"/>
              </w:rPr>
              <w:t>12.6% plus £850,000</w:t>
            </w:r>
          </w:p>
        </w:tc>
        <w:tc>
          <w:tcPr>
            <w:tcW w:w="2127" w:type="dxa"/>
            <w:shd w:val="clear" w:color="auto" w:fill="auto"/>
            <w:vAlign w:val="center"/>
          </w:tcPr>
          <w:p w:rsidR="00230743" w:rsidRPr="00802177" w:rsidRDefault="0062660D" w:rsidP="001E3005">
            <w:pPr>
              <w:jc w:val="left"/>
              <w:rPr>
                <w:szCs w:val="22"/>
              </w:rPr>
            </w:pPr>
            <w:r w:rsidRPr="00802177">
              <w:rPr>
                <w:szCs w:val="22"/>
              </w:rPr>
              <w:t>-0.5% plus £884,900</w:t>
            </w:r>
          </w:p>
        </w:tc>
        <w:tc>
          <w:tcPr>
            <w:tcW w:w="2409" w:type="dxa"/>
            <w:shd w:val="clear" w:color="auto" w:fill="auto"/>
            <w:vAlign w:val="center"/>
          </w:tcPr>
          <w:p w:rsidR="00230743" w:rsidRPr="00802177" w:rsidRDefault="0062660D" w:rsidP="001E3005">
            <w:pPr>
              <w:jc w:val="left"/>
              <w:rPr>
                <w:szCs w:val="22"/>
              </w:rPr>
            </w:pPr>
            <w:r w:rsidRPr="00802177">
              <w:rPr>
                <w:szCs w:val="22"/>
              </w:rPr>
              <w:t>12.6% plus £884,900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Hyndburn Homes Ltd</w:t>
            </w:r>
          </w:p>
        </w:tc>
        <w:tc>
          <w:tcPr>
            <w:tcW w:w="1842" w:type="dxa"/>
            <w:shd w:val="clear" w:color="auto" w:fill="auto"/>
            <w:vAlign w:val="center"/>
          </w:tcPr>
          <w:p w:rsidR="00230743" w:rsidRPr="00802177" w:rsidRDefault="0062660D" w:rsidP="001E3005">
            <w:pPr>
              <w:jc w:val="left"/>
              <w:rPr>
                <w:szCs w:val="22"/>
              </w:rPr>
            </w:pPr>
            <w:r w:rsidRPr="00802177">
              <w:rPr>
                <w:szCs w:val="22"/>
              </w:rPr>
              <w:t>1.1%</w:t>
            </w:r>
          </w:p>
        </w:tc>
        <w:tc>
          <w:tcPr>
            <w:tcW w:w="1843" w:type="dxa"/>
            <w:shd w:val="clear" w:color="auto" w:fill="auto"/>
            <w:vAlign w:val="center"/>
          </w:tcPr>
          <w:p w:rsidR="00230743" w:rsidRPr="00802177" w:rsidRDefault="0062660D" w:rsidP="001E3005">
            <w:pPr>
              <w:jc w:val="left"/>
              <w:rPr>
                <w:szCs w:val="22"/>
              </w:rPr>
            </w:pPr>
            <w:r w:rsidRPr="00802177">
              <w:rPr>
                <w:szCs w:val="22"/>
              </w:rPr>
              <w:t>14.2%</w:t>
            </w:r>
          </w:p>
        </w:tc>
        <w:tc>
          <w:tcPr>
            <w:tcW w:w="1843" w:type="dxa"/>
            <w:shd w:val="clear" w:color="auto" w:fill="auto"/>
            <w:vAlign w:val="center"/>
          </w:tcPr>
          <w:p w:rsidR="00230743" w:rsidRPr="00802177" w:rsidRDefault="0062660D" w:rsidP="001E3005">
            <w:pPr>
              <w:jc w:val="left"/>
              <w:rPr>
                <w:szCs w:val="22"/>
              </w:rPr>
            </w:pPr>
            <w:r w:rsidRPr="00802177">
              <w:rPr>
                <w:szCs w:val="22"/>
              </w:rPr>
              <w:t>1.3%</w:t>
            </w:r>
          </w:p>
        </w:tc>
        <w:tc>
          <w:tcPr>
            <w:tcW w:w="1984" w:type="dxa"/>
            <w:shd w:val="clear" w:color="auto" w:fill="auto"/>
            <w:vAlign w:val="center"/>
          </w:tcPr>
          <w:p w:rsidR="00230743" w:rsidRPr="00802177" w:rsidRDefault="0062660D" w:rsidP="001E3005">
            <w:pPr>
              <w:jc w:val="left"/>
              <w:rPr>
                <w:szCs w:val="22"/>
              </w:rPr>
            </w:pPr>
            <w:r w:rsidRPr="00802177">
              <w:rPr>
                <w:szCs w:val="22"/>
              </w:rPr>
              <w:t>14.4%</w:t>
            </w:r>
          </w:p>
        </w:tc>
        <w:tc>
          <w:tcPr>
            <w:tcW w:w="2127" w:type="dxa"/>
            <w:shd w:val="clear" w:color="auto" w:fill="auto"/>
            <w:vAlign w:val="center"/>
          </w:tcPr>
          <w:p w:rsidR="00230743" w:rsidRPr="00802177" w:rsidRDefault="0062660D" w:rsidP="001E3005">
            <w:pPr>
              <w:jc w:val="left"/>
              <w:rPr>
                <w:szCs w:val="22"/>
              </w:rPr>
            </w:pPr>
            <w:r w:rsidRPr="00802177">
              <w:rPr>
                <w:szCs w:val="22"/>
              </w:rPr>
              <w:t>1.5% plus £800</w:t>
            </w:r>
          </w:p>
        </w:tc>
        <w:tc>
          <w:tcPr>
            <w:tcW w:w="2409" w:type="dxa"/>
            <w:shd w:val="clear" w:color="auto" w:fill="auto"/>
            <w:vAlign w:val="center"/>
          </w:tcPr>
          <w:p w:rsidR="00230743" w:rsidRPr="00802177" w:rsidRDefault="0062660D" w:rsidP="001E3005">
            <w:pPr>
              <w:jc w:val="left"/>
              <w:rPr>
                <w:szCs w:val="22"/>
              </w:rPr>
            </w:pPr>
            <w:r w:rsidRPr="00802177">
              <w:rPr>
                <w:szCs w:val="22"/>
              </w:rPr>
              <w:t>14.6% plus £800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I Care</w:t>
            </w:r>
          </w:p>
        </w:tc>
        <w:tc>
          <w:tcPr>
            <w:tcW w:w="1842" w:type="dxa"/>
            <w:shd w:val="clear" w:color="auto" w:fill="auto"/>
            <w:vAlign w:val="center"/>
          </w:tcPr>
          <w:p w:rsidR="00230743" w:rsidRPr="00802177" w:rsidRDefault="0062660D" w:rsidP="001E3005">
            <w:pPr>
              <w:jc w:val="left"/>
              <w:rPr>
                <w:szCs w:val="22"/>
              </w:rPr>
            </w:pPr>
            <w:r w:rsidRPr="00802177">
              <w:rPr>
                <w:szCs w:val="22"/>
              </w:rPr>
              <w:t>-13.1%</w:t>
            </w:r>
          </w:p>
        </w:tc>
        <w:tc>
          <w:tcPr>
            <w:tcW w:w="1843" w:type="dxa"/>
            <w:shd w:val="clear" w:color="auto" w:fill="auto"/>
            <w:vAlign w:val="center"/>
          </w:tcPr>
          <w:p w:rsidR="00230743" w:rsidRPr="00802177" w:rsidRDefault="0062660D" w:rsidP="001E3005">
            <w:pPr>
              <w:jc w:val="left"/>
              <w:rPr>
                <w:szCs w:val="22"/>
              </w:rPr>
            </w:pPr>
            <w:r w:rsidRPr="00802177">
              <w:rPr>
                <w:szCs w:val="22"/>
              </w:rPr>
              <w:t>0.0%</w:t>
            </w:r>
          </w:p>
        </w:tc>
        <w:tc>
          <w:tcPr>
            <w:tcW w:w="1843" w:type="dxa"/>
            <w:shd w:val="clear" w:color="auto" w:fill="auto"/>
            <w:vAlign w:val="center"/>
          </w:tcPr>
          <w:p w:rsidR="00230743" w:rsidRPr="00802177" w:rsidRDefault="0062660D" w:rsidP="001E3005">
            <w:pPr>
              <w:jc w:val="left"/>
              <w:rPr>
                <w:szCs w:val="22"/>
              </w:rPr>
            </w:pPr>
            <w:r w:rsidRPr="00802177">
              <w:rPr>
                <w:szCs w:val="22"/>
              </w:rPr>
              <w:t>-13.1%</w:t>
            </w:r>
          </w:p>
        </w:tc>
        <w:tc>
          <w:tcPr>
            <w:tcW w:w="1984" w:type="dxa"/>
            <w:shd w:val="clear" w:color="auto" w:fill="auto"/>
            <w:vAlign w:val="center"/>
          </w:tcPr>
          <w:p w:rsidR="00230743" w:rsidRPr="00802177" w:rsidRDefault="0062660D" w:rsidP="001E3005">
            <w:pPr>
              <w:jc w:val="left"/>
              <w:rPr>
                <w:szCs w:val="22"/>
              </w:rPr>
            </w:pPr>
            <w:r w:rsidRPr="00802177">
              <w:rPr>
                <w:szCs w:val="22"/>
              </w:rPr>
              <w:t>0.0%</w:t>
            </w:r>
          </w:p>
        </w:tc>
        <w:tc>
          <w:tcPr>
            <w:tcW w:w="2127" w:type="dxa"/>
            <w:shd w:val="clear" w:color="auto" w:fill="auto"/>
            <w:vAlign w:val="center"/>
          </w:tcPr>
          <w:p w:rsidR="00230743" w:rsidRPr="00802177" w:rsidRDefault="0062660D" w:rsidP="001E3005">
            <w:pPr>
              <w:jc w:val="left"/>
              <w:rPr>
                <w:szCs w:val="22"/>
              </w:rPr>
            </w:pPr>
            <w:r w:rsidRPr="00802177">
              <w:rPr>
                <w:szCs w:val="22"/>
              </w:rPr>
              <w:t>-13.1%</w:t>
            </w:r>
          </w:p>
        </w:tc>
        <w:tc>
          <w:tcPr>
            <w:tcW w:w="2409" w:type="dxa"/>
            <w:shd w:val="clear" w:color="auto" w:fill="auto"/>
            <w:vAlign w:val="center"/>
          </w:tcPr>
          <w:p w:rsidR="00230743" w:rsidRPr="00802177" w:rsidRDefault="0062660D" w:rsidP="001E3005">
            <w:pPr>
              <w:jc w:val="left"/>
              <w:rPr>
                <w:szCs w:val="22"/>
              </w:rPr>
            </w:pPr>
            <w:r w:rsidRPr="00802177">
              <w:rPr>
                <w:szCs w:val="22"/>
              </w:rPr>
              <w:t>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Jewson Ltd (Chorley Homes)</w:t>
            </w:r>
          </w:p>
        </w:tc>
        <w:tc>
          <w:tcPr>
            <w:tcW w:w="1842" w:type="dxa"/>
            <w:shd w:val="clear" w:color="auto" w:fill="auto"/>
            <w:vAlign w:val="center"/>
          </w:tcPr>
          <w:p w:rsidR="00230743" w:rsidRPr="00802177" w:rsidRDefault="0062660D" w:rsidP="001E3005">
            <w:pPr>
              <w:jc w:val="left"/>
              <w:rPr>
                <w:szCs w:val="22"/>
              </w:rPr>
            </w:pPr>
            <w:r w:rsidRPr="00802177">
              <w:rPr>
                <w:szCs w:val="22"/>
              </w:rPr>
              <w:t>-13.1%</w:t>
            </w:r>
          </w:p>
        </w:tc>
        <w:tc>
          <w:tcPr>
            <w:tcW w:w="1843" w:type="dxa"/>
            <w:shd w:val="clear" w:color="auto" w:fill="auto"/>
            <w:vAlign w:val="center"/>
          </w:tcPr>
          <w:p w:rsidR="00230743" w:rsidRPr="00802177" w:rsidRDefault="0062660D" w:rsidP="001E3005">
            <w:pPr>
              <w:jc w:val="left"/>
              <w:rPr>
                <w:szCs w:val="22"/>
              </w:rPr>
            </w:pPr>
            <w:r w:rsidRPr="00802177">
              <w:rPr>
                <w:szCs w:val="22"/>
              </w:rPr>
              <w:t>0.0%</w:t>
            </w:r>
          </w:p>
        </w:tc>
        <w:tc>
          <w:tcPr>
            <w:tcW w:w="1843" w:type="dxa"/>
            <w:shd w:val="clear" w:color="auto" w:fill="auto"/>
            <w:vAlign w:val="center"/>
          </w:tcPr>
          <w:p w:rsidR="00230743" w:rsidRPr="00802177" w:rsidRDefault="0062660D" w:rsidP="001E3005">
            <w:pPr>
              <w:jc w:val="left"/>
              <w:rPr>
                <w:szCs w:val="22"/>
              </w:rPr>
            </w:pPr>
            <w:r w:rsidRPr="00802177">
              <w:rPr>
                <w:szCs w:val="22"/>
              </w:rPr>
              <w:t>-13.1%</w:t>
            </w:r>
          </w:p>
        </w:tc>
        <w:tc>
          <w:tcPr>
            <w:tcW w:w="1984" w:type="dxa"/>
            <w:shd w:val="clear" w:color="auto" w:fill="auto"/>
            <w:vAlign w:val="center"/>
          </w:tcPr>
          <w:p w:rsidR="00230743" w:rsidRPr="00802177" w:rsidRDefault="0062660D" w:rsidP="001E3005">
            <w:pPr>
              <w:jc w:val="left"/>
              <w:rPr>
                <w:szCs w:val="22"/>
              </w:rPr>
            </w:pPr>
            <w:r w:rsidRPr="00802177">
              <w:rPr>
                <w:szCs w:val="22"/>
              </w:rPr>
              <w:t>0.0%</w:t>
            </w:r>
          </w:p>
        </w:tc>
        <w:tc>
          <w:tcPr>
            <w:tcW w:w="2127" w:type="dxa"/>
            <w:shd w:val="clear" w:color="auto" w:fill="auto"/>
            <w:vAlign w:val="center"/>
          </w:tcPr>
          <w:p w:rsidR="00230743" w:rsidRPr="00802177" w:rsidRDefault="0062660D" w:rsidP="001E3005">
            <w:pPr>
              <w:jc w:val="left"/>
              <w:rPr>
                <w:szCs w:val="22"/>
              </w:rPr>
            </w:pPr>
            <w:r w:rsidRPr="00802177">
              <w:rPr>
                <w:szCs w:val="22"/>
              </w:rPr>
              <w:t>-13.1%</w:t>
            </w:r>
          </w:p>
        </w:tc>
        <w:tc>
          <w:tcPr>
            <w:tcW w:w="2409" w:type="dxa"/>
            <w:shd w:val="clear" w:color="auto" w:fill="auto"/>
            <w:vAlign w:val="center"/>
          </w:tcPr>
          <w:p w:rsidR="00230743" w:rsidRPr="00802177" w:rsidRDefault="0062660D" w:rsidP="001E3005">
            <w:pPr>
              <w:jc w:val="left"/>
              <w:rPr>
                <w:szCs w:val="22"/>
              </w:rPr>
            </w:pPr>
            <w:r w:rsidRPr="00802177">
              <w:rPr>
                <w:szCs w:val="22"/>
              </w:rPr>
              <w:t>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Kirkham Grammar School</w:t>
            </w:r>
          </w:p>
        </w:tc>
        <w:tc>
          <w:tcPr>
            <w:tcW w:w="1842" w:type="dxa"/>
            <w:shd w:val="clear" w:color="auto" w:fill="auto"/>
            <w:vAlign w:val="center"/>
          </w:tcPr>
          <w:p w:rsidR="00230743" w:rsidRPr="00802177" w:rsidRDefault="0062660D" w:rsidP="001E3005">
            <w:pPr>
              <w:jc w:val="left"/>
              <w:rPr>
                <w:szCs w:val="22"/>
              </w:rPr>
            </w:pPr>
            <w:r w:rsidRPr="00802177">
              <w:rPr>
                <w:szCs w:val="22"/>
              </w:rPr>
              <w:t>2.5% plus £17,600</w:t>
            </w:r>
          </w:p>
        </w:tc>
        <w:tc>
          <w:tcPr>
            <w:tcW w:w="1843" w:type="dxa"/>
            <w:shd w:val="clear" w:color="auto" w:fill="auto"/>
            <w:vAlign w:val="center"/>
          </w:tcPr>
          <w:p w:rsidR="00230743" w:rsidRPr="00802177" w:rsidRDefault="0062660D" w:rsidP="001E3005">
            <w:pPr>
              <w:jc w:val="left"/>
              <w:rPr>
                <w:szCs w:val="22"/>
              </w:rPr>
            </w:pPr>
            <w:r w:rsidRPr="00802177">
              <w:rPr>
                <w:szCs w:val="22"/>
              </w:rPr>
              <w:t>15.6% plus £17,600</w:t>
            </w:r>
          </w:p>
        </w:tc>
        <w:tc>
          <w:tcPr>
            <w:tcW w:w="1843" w:type="dxa"/>
            <w:shd w:val="clear" w:color="auto" w:fill="auto"/>
            <w:vAlign w:val="center"/>
          </w:tcPr>
          <w:p w:rsidR="00230743" w:rsidRPr="00802177" w:rsidRDefault="0062660D" w:rsidP="001E3005">
            <w:pPr>
              <w:jc w:val="left"/>
              <w:rPr>
                <w:szCs w:val="22"/>
              </w:rPr>
            </w:pPr>
            <w:r w:rsidRPr="00802177">
              <w:rPr>
                <w:szCs w:val="22"/>
              </w:rPr>
              <w:t xml:space="preserve">2.5% plus </w:t>
            </w:r>
            <w:r w:rsidRPr="00802177">
              <w:rPr>
                <w:szCs w:val="22"/>
              </w:rPr>
              <w:t>£22,200</w:t>
            </w:r>
          </w:p>
        </w:tc>
        <w:tc>
          <w:tcPr>
            <w:tcW w:w="1984" w:type="dxa"/>
            <w:shd w:val="clear" w:color="auto" w:fill="auto"/>
            <w:vAlign w:val="center"/>
          </w:tcPr>
          <w:p w:rsidR="00230743" w:rsidRPr="00802177" w:rsidRDefault="0062660D" w:rsidP="001E3005">
            <w:pPr>
              <w:jc w:val="left"/>
              <w:rPr>
                <w:szCs w:val="22"/>
              </w:rPr>
            </w:pPr>
            <w:r w:rsidRPr="00802177">
              <w:rPr>
                <w:szCs w:val="22"/>
              </w:rPr>
              <w:t>15.6% plus £22,200</w:t>
            </w:r>
          </w:p>
        </w:tc>
        <w:tc>
          <w:tcPr>
            <w:tcW w:w="2127" w:type="dxa"/>
            <w:shd w:val="clear" w:color="auto" w:fill="auto"/>
            <w:vAlign w:val="center"/>
          </w:tcPr>
          <w:p w:rsidR="00230743" w:rsidRPr="00802177" w:rsidRDefault="0062660D" w:rsidP="001E3005">
            <w:pPr>
              <w:jc w:val="left"/>
              <w:rPr>
                <w:szCs w:val="22"/>
              </w:rPr>
            </w:pPr>
            <w:r w:rsidRPr="00802177">
              <w:rPr>
                <w:szCs w:val="22"/>
              </w:rPr>
              <w:t>2.5% plus £26,900</w:t>
            </w:r>
          </w:p>
        </w:tc>
        <w:tc>
          <w:tcPr>
            <w:tcW w:w="2409" w:type="dxa"/>
            <w:shd w:val="clear" w:color="auto" w:fill="auto"/>
            <w:vAlign w:val="center"/>
          </w:tcPr>
          <w:p w:rsidR="00230743" w:rsidRPr="00802177" w:rsidRDefault="0062660D" w:rsidP="001E3005">
            <w:pPr>
              <w:jc w:val="left"/>
              <w:rPr>
                <w:szCs w:val="22"/>
              </w:rPr>
            </w:pPr>
            <w:r w:rsidRPr="00802177">
              <w:rPr>
                <w:szCs w:val="22"/>
              </w:rPr>
              <w:t>15.6% plus £26,900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Kirkland Parish Council</w:t>
            </w:r>
          </w:p>
        </w:tc>
        <w:tc>
          <w:tcPr>
            <w:tcW w:w="1842" w:type="dxa"/>
            <w:shd w:val="clear" w:color="auto" w:fill="auto"/>
            <w:vAlign w:val="center"/>
          </w:tcPr>
          <w:p w:rsidR="00230743" w:rsidRPr="00802177" w:rsidRDefault="0062660D" w:rsidP="001E3005">
            <w:pPr>
              <w:jc w:val="left"/>
              <w:rPr>
                <w:szCs w:val="22"/>
              </w:rPr>
            </w:pPr>
            <w:r w:rsidRPr="00802177">
              <w:rPr>
                <w:szCs w:val="22"/>
              </w:rPr>
              <w:t>9.5%</w:t>
            </w:r>
          </w:p>
        </w:tc>
        <w:tc>
          <w:tcPr>
            <w:tcW w:w="1843" w:type="dxa"/>
            <w:shd w:val="clear" w:color="auto" w:fill="auto"/>
            <w:vAlign w:val="center"/>
          </w:tcPr>
          <w:p w:rsidR="00230743" w:rsidRPr="00802177" w:rsidRDefault="0062660D" w:rsidP="001E3005">
            <w:pPr>
              <w:jc w:val="left"/>
              <w:rPr>
                <w:szCs w:val="22"/>
              </w:rPr>
            </w:pPr>
            <w:r w:rsidRPr="00802177">
              <w:rPr>
                <w:szCs w:val="22"/>
              </w:rPr>
              <w:t>22.6%</w:t>
            </w:r>
          </w:p>
        </w:tc>
        <w:tc>
          <w:tcPr>
            <w:tcW w:w="1843" w:type="dxa"/>
            <w:shd w:val="clear" w:color="auto" w:fill="auto"/>
            <w:vAlign w:val="center"/>
          </w:tcPr>
          <w:p w:rsidR="00230743" w:rsidRPr="00802177" w:rsidRDefault="0062660D" w:rsidP="001E3005">
            <w:pPr>
              <w:jc w:val="left"/>
              <w:rPr>
                <w:szCs w:val="22"/>
              </w:rPr>
            </w:pPr>
            <w:r w:rsidRPr="00802177">
              <w:rPr>
                <w:szCs w:val="22"/>
              </w:rPr>
              <w:t>9.5%</w:t>
            </w:r>
          </w:p>
        </w:tc>
        <w:tc>
          <w:tcPr>
            <w:tcW w:w="1984" w:type="dxa"/>
            <w:shd w:val="clear" w:color="auto" w:fill="auto"/>
            <w:vAlign w:val="center"/>
          </w:tcPr>
          <w:p w:rsidR="00230743" w:rsidRPr="00802177" w:rsidRDefault="0062660D" w:rsidP="001E3005">
            <w:pPr>
              <w:jc w:val="left"/>
              <w:rPr>
                <w:szCs w:val="22"/>
              </w:rPr>
            </w:pPr>
            <w:r w:rsidRPr="00802177">
              <w:rPr>
                <w:szCs w:val="22"/>
              </w:rPr>
              <w:t>22.6%</w:t>
            </w:r>
          </w:p>
        </w:tc>
        <w:tc>
          <w:tcPr>
            <w:tcW w:w="2127" w:type="dxa"/>
            <w:shd w:val="clear" w:color="auto" w:fill="auto"/>
            <w:vAlign w:val="center"/>
          </w:tcPr>
          <w:p w:rsidR="00230743" w:rsidRPr="00802177" w:rsidRDefault="0062660D" w:rsidP="001E3005">
            <w:pPr>
              <w:jc w:val="left"/>
              <w:rPr>
                <w:szCs w:val="22"/>
              </w:rPr>
            </w:pPr>
            <w:r w:rsidRPr="00802177">
              <w:rPr>
                <w:szCs w:val="22"/>
              </w:rPr>
              <w:t>9.5%</w:t>
            </w:r>
          </w:p>
        </w:tc>
        <w:tc>
          <w:tcPr>
            <w:tcW w:w="2409" w:type="dxa"/>
            <w:shd w:val="clear" w:color="auto" w:fill="auto"/>
            <w:vAlign w:val="center"/>
          </w:tcPr>
          <w:p w:rsidR="00230743" w:rsidRPr="00802177" w:rsidRDefault="0062660D" w:rsidP="001E3005">
            <w:pPr>
              <w:jc w:val="left"/>
              <w:rPr>
                <w:szCs w:val="22"/>
              </w:rPr>
            </w:pPr>
            <w:r w:rsidRPr="00802177">
              <w:rPr>
                <w:szCs w:val="22"/>
              </w:rPr>
              <w:t>22.6%</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Lancashire Care Foundation Trust</w:t>
            </w:r>
          </w:p>
        </w:tc>
        <w:tc>
          <w:tcPr>
            <w:tcW w:w="1842" w:type="dxa"/>
            <w:shd w:val="clear" w:color="auto" w:fill="auto"/>
            <w:vAlign w:val="center"/>
          </w:tcPr>
          <w:p w:rsidR="00230743" w:rsidRPr="00802177" w:rsidRDefault="0062660D" w:rsidP="001E3005">
            <w:pPr>
              <w:jc w:val="left"/>
              <w:rPr>
                <w:szCs w:val="22"/>
              </w:rPr>
            </w:pPr>
            <w:r w:rsidRPr="00802177">
              <w:rPr>
                <w:szCs w:val="22"/>
              </w:rPr>
              <w:t>TBC</w:t>
            </w:r>
          </w:p>
        </w:tc>
        <w:tc>
          <w:tcPr>
            <w:tcW w:w="1843" w:type="dxa"/>
            <w:shd w:val="clear" w:color="auto" w:fill="auto"/>
            <w:vAlign w:val="center"/>
          </w:tcPr>
          <w:p w:rsidR="00230743" w:rsidRPr="00802177" w:rsidRDefault="0062660D" w:rsidP="001E3005">
            <w:pPr>
              <w:jc w:val="left"/>
              <w:rPr>
                <w:szCs w:val="22"/>
              </w:rPr>
            </w:pPr>
            <w:r w:rsidRPr="00802177">
              <w:rPr>
                <w:szCs w:val="22"/>
              </w:rPr>
              <w:t>TBC</w:t>
            </w:r>
          </w:p>
        </w:tc>
        <w:tc>
          <w:tcPr>
            <w:tcW w:w="1843" w:type="dxa"/>
            <w:shd w:val="clear" w:color="auto" w:fill="auto"/>
            <w:vAlign w:val="center"/>
          </w:tcPr>
          <w:p w:rsidR="00230743" w:rsidRPr="00802177" w:rsidRDefault="0062660D" w:rsidP="001E3005">
            <w:pPr>
              <w:jc w:val="left"/>
              <w:rPr>
                <w:szCs w:val="22"/>
              </w:rPr>
            </w:pPr>
            <w:r w:rsidRPr="00802177">
              <w:rPr>
                <w:szCs w:val="22"/>
              </w:rPr>
              <w:t>TBC</w:t>
            </w:r>
          </w:p>
        </w:tc>
        <w:tc>
          <w:tcPr>
            <w:tcW w:w="1984" w:type="dxa"/>
            <w:shd w:val="clear" w:color="auto" w:fill="auto"/>
            <w:vAlign w:val="center"/>
          </w:tcPr>
          <w:p w:rsidR="00230743" w:rsidRPr="00802177" w:rsidRDefault="0062660D" w:rsidP="001E3005">
            <w:pPr>
              <w:jc w:val="left"/>
              <w:rPr>
                <w:szCs w:val="22"/>
              </w:rPr>
            </w:pPr>
            <w:r w:rsidRPr="00802177">
              <w:rPr>
                <w:szCs w:val="22"/>
              </w:rPr>
              <w:t>TBC</w:t>
            </w:r>
          </w:p>
        </w:tc>
        <w:tc>
          <w:tcPr>
            <w:tcW w:w="2127" w:type="dxa"/>
            <w:shd w:val="clear" w:color="auto" w:fill="auto"/>
            <w:vAlign w:val="center"/>
          </w:tcPr>
          <w:p w:rsidR="00230743" w:rsidRPr="00802177" w:rsidRDefault="0062660D" w:rsidP="001E3005">
            <w:pPr>
              <w:jc w:val="left"/>
              <w:rPr>
                <w:szCs w:val="22"/>
              </w:rPr>
            </w:pPr>
            <w:r w:rsidRPr="00802177">
              <w:rPr>
                <w:szCs w:val="22"/>
              </w:rPr>
              <w:t>TBC</w:t>
            </w:r>
          </w:p>
        </w:tc>
        <w:tc>
          <w:tcPr>
            <w:tcW w:w="2409" w:type="dxa"/>
            <w:shd w:val="clear" w:color="auto" w:fill="auto"/>
            <w:vAlign w:val="center"/>
          </w:tcPr>
          <w:p w:rsidR="00230743" w:rsidRPr="00802177" w:rsidRDefault="0062660D" w:rsidP="001E3005">
            <w:pPr>
              <w:jc w:val="left"/>
              <w:rPr>
                <w:szCs w:val="22"/>
              </w:rPr>
            </w:pPr>
            <w:r w:rsidRPr="00802177">
              <w:rPr>
                <w:szCs w:val="22"/>
              </w:rPr>
              <w:t>TBC</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Lancashire County Branch Unison</w:t>
            </w:r>
          </w:p>
        </w:tc>
        <w:tc>
          <w:tcPr>
            <w:tcW w:w="1842" w:type="dxa"/>
            <w:shd w:val="clear" w:color="auto" w:fill="auto"/>
            <w:vAlign w:val="center"/>
          </w:tcPr>
          <w:p w:rsidR="00230743" w:rsidRPr="00802177" w:rsidRDefault="0062660D" w:rsidP="001E3005">
            <w:pPr>
              <w:jc w:val="left"/>
              <w:rPr>
                <w:szCs w:val="22"/>
              </w:rPr>
            </w:pPr>
            <w:r w:rsidRPr="00802177">
              <w:rPr>
                <w:szCs w:val="22"/>
              </w:rPr>
              <w:t>4.4% plus £1,900</w:t>
            </w:r>
          </w:p>
        </w:tc>
        <w:tc>
          <w:tcPr>
            <w:tcW w:w="1843" w:type="dxa"/>
            <w:shd w:val="clear" w:color="auto" w:fill="auto"/>
            <w:vAlign w:val="center"/>
          </w:tcPr>
          <w:p w:rsidR="00230743" w:rsidRPr="00802177" w:rsidRDefault="0062660D" w:rsidP="001E3005">
            <w:pPr>
              <w:jc w:val="left"/>
              <w:rPr>
                <w:szCs w:val="22"/>
              </w:rPr>
            </w:pPr>
            <w:r w:rsidRPr="00802177">
              <w:rPr>
                <w:szCs w:val="22"/>
              </w:rPr>
              <w:t>17.5% plus £1,900</w:t>
            </w:r>
          </w:p>
        </w:tc>
        <w:tc>
          <w:tcPr>
            <w:tcW w:w="1843" w:type="dxa"/>
            <w:shd w:val="clear" w:color="auto" w:fill="auto"/>
            <w:vAlign w:val="center"/>
          </w:tcPr>
          <w:p w:rsidR="00230743" w:rsidRPr="00802177" w:rsidRDefault="0062660D" w:rsidP="001E3005">
            <w:pPr>
              <w:jc w:val="left"/>
              <w:rPr>
                <w:szCs w:val="22"/>
              </w:rPr>
            </w:pPr>
            <w:r w:rsidRPr="00802177">
              <w:rPr>
                <w:szCs w:val="22"/>
              </w:rPr>
              <w:t xml:space="preserve">4.4% </w:t>
            </w:r>
            <w:r w:rsidRPr="00802177">
              <w:rPr>
                <w:szCs w:val="22"/>
              </w:rPr>
              <w:t>plus £2,000</w:t>
            </w:r>
          </w:p>
        </w:tc>
        <w:tc>
          <w:tcPr>
            <w:tcW w:w="1984" w:type="dxa"/>
            <w:shd w:val="clear" w:color="auto" w:fill="auto"/>
            <w:vAlign w:val="center"/>
          </w:tcPr>
          <w:p w:rsidR="00230743" w:rsidRPr="00802177" w:rsidRDefault="0062660D" w:rsidP="001E3005">
            <w:pPr>
              <w:jc w:val="left"/>
              <w:rPr>
                <w:szCs w:val="22"/>
              </w:rPr>
            </w:pPr>
            <w:r w:rsidRPr="00802177">
              <w:rPr>
                <w:szCs w:val="22"/>
              </w:rPr>
              <w:t>17.5% plus £2,000</w:t>
            </w:r>
          </w:p>
        </w:tc>
        <w:tc>
          <w:tcPr>
            <w:tcW w:w="2127" w:type="dxa"/>
            <w:shd w:val="clear" w:color="auto" w:fill="auto"/>
            <w:vAlign w:val="center"/>
          </w:tcPr>
          <w:p w:rsidR="00230743" w:rsidRPr="00802177" w:rsidRDefault="0062660D" w:rsidP="001E3005">
            <w:pPr>
              <w:jc w:val="left"/>
              <w:rPr>
                <w:szCs w:val="22"/>
              </w:rPr>
            </w:pPr>
            <w:r w:rsidRPr="00802177">
              <w:rPr>
                <w:szCs w:val="22"/>
              </w:rPr>
              <w:t>4.4% plus £2,100</w:t>
            </w:r>
          </w:p>
        </w:tc>
        <w:tc>
          <w:tcPr>
            <w:tcW w:w="2409" w:type="dxa"/>
            <w:shd w:val="clear" w:color="auto" w:fill="auto"/>
            <w:vAlign w:val="center"/>
          </w:tcPr>
          <w:p w:rsidR="00230743" w:rsidRPr="00802177" w:rsidRDefault="0062660D" w:rsidP="001E3005">
            <w:pPr>
              <w:jc w:val="left"/>
              <w:rPr>
                <w:szCs w:val="22"/>
              </w:rPr>
            </w:pPr>
            <w:r w:rsidRPr="00802177">
              <w:rPr>
                <w:szCs w:val="22"/>
              </w:rPr>
              <w:t>17.5% plus £2,100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Lancashire County Council - excluding schools</w:t>
            </w:r>
          </w:p>
        </w:tc>
        <w:tc>
          <w:tcPr>
            <w:tcW w:w="1842" w:type="dxa"/>
            <w:shd w:val="clear" w:color="auto" w:fill="auto"/>
            <w:vAlign w:val="center"/>
          </w:tcPr>
          <w:p w:rsidR="00230743" w:rsidRPr="00802177" w:rsidRDefault="0062660D" w:rsidP="001E3005">
            <w:pPr>
              <w:jc w:val="left"/>
              <w:rPr>
                <w:szCs w:val="22"/>
              </w:rPr>
            </w:pPr>
            <w:r w:rsidRPr="00802177">
              <w:rPr>
                <w:szCs w:val="22"/>
              </w:rPr>
              <w:t>-0.5% plus £15,353,000</w:t>
            </w:r>
          </w:p>
        </w:tc>
        <w:tc>
          <w:tcPr>
            <w:tcW w:w="1843" w:type="dxa"/>
            <w:shd w:val="clear" w:color="auto" w:fill="auto"/>
            <w:vAlign w:val="center"/>
          </w:tcPr>
          <w:p w:rsidR="00230743" w:rsidRPr="00802177" w:rsidRDefault="0062660D" w:rsidP="001E3005">
            <w:pPr>
              <w:jc w:val="left"/>
              <w:rPr>
                <w:szCs w:val="22"/>
              </w:rPr>
            </w:pPr>
            <w:r w:rsidRPr="00802177">
              <w:rPr>
                <w:szCs w:val="22"/>
              </w:rPr>
              <w:t>12.6% plus £15,353,000</w:t>
            </w:r>
          </w:p>
        </w:tc>
        <w:tc>
          <w:tcPr>
            <w:tcW w:w="1843" w:type="dxa"/>
            <w:shd w:val="clear" w:color="auto" w:fill="auto"/>
            <w:vAlign w:val="center"/>
          </w:tcPr>
          <w:p w:rsidR="00230743" w:rsidRPr="00802177" w:rsidRDefault="0062660D" w:rsidP="001E3005">
            <w:pPr>
              <w:jc w:val="left"/>
              <w:rPr>
                <w:szCs w:val="22"/>
              </w:rPr>
            </w:pPr>
            <w:r w:rsidRPr="00802177">
              <w:rPr>
                <w:szCs w:val="22"/>
              </w:rPr>
              <w:t>-0.5% plus £15,982,000</w:t>
            </w:r>
          </w:p>
        </w:tc>
        <w:tc>
          <w:tcPr>
            <w:tcW w:w="1984" w:type="dxa"/>
            <w:shd w:val="clear" w:color="auto" w:fill="auto"/>
            <w:vAlign w:val="center"/>
          </w:tcPr>
          <w:p w:rsidR="00230743" w:rsidRPr="00802177" w:rsidRDefault="0062660D" w:rsidP="001E3005">
            <w:pPr>
              <w:jc w:val="left"/>
              <w:rPr>
                <w:szCs w:val="22"/>
              </w:rPr>
            </w:pPr>
            <w:r w:rsidRPr="00802177">
              <w:rPr>
                <w:szCs w:val="22"/>
              </w:rPr>
              <w:t>12.6% plus £15,982,000</w:t>
            </w:r>
          </w:p>
        </w:tc>
        <w:tc>
          <w:tcPr>
            <w:tcW w:w="2127" w:type="dxa"/>
            <w:shd w:val="clear" w:color="auto" w:fill="auto"/>
            <w:vAlign w:val="center"/>
          </w:tcPr>
          <w:p w:rsidR="00230743" w:rsidRPr="00802177" w:rsidRDefault="0062660D" w:rsidP="001E3005">
            <w:pPr>
              <w:jc w:val="left"/>
              <w:rPr>
                <w:szCs w:val="22"/>
              </w:rPr>
            </w:pPr>
            <w:r w:rsidRPr="00802177">
              <w:rPr>
                <w:szCs w:val="22"/>
              </w:rPr>
              <w:t>-0.5% plus £16,638,000</w:t>
            </w:r>
          </w:p>
        </w:tc>
        <w:tc>
          <w:tcPr>
            <w:tcW w:w="2409" w:type="dxa"/>
            <w:shd w:val="clear" w:color="auto" w:fill="auto"/>
            <w:vAlign w:val="center"/>
          </w:tcPr>
          <w:p w:rsidR="00230743" w:rsidRPr="00802177" w:rsidRDefault="0062660D" w:rsidP="001E3005">
            <w:pPr>
              <w:jc w:val="left"/>
              <w:rPr>
                <w:szCs w:val="22"/>
              </w:rPr>
            </w:pPr>
            <w:r w:rsidRPr="00802177">
              <w:rPr>
                <w:szCs w:val="22"/>
              </w:rPr>
              <w:t>12.6% plus £16,638,000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 xml:space="preserve">Lancashire County Council </w:t>
            </w:r>
            <w:r>
              <w:rPr>
                <w:szCs w:val="22"/>
              </w:rPr>
              <w:t>–</w:t>
            </w:r>
            <w:r w:rsidRPr="00FF2F9D">
              <w:rPr>
                <w:szCs w:val="22"/>
              </w:rPr>
              <w:t xml:space="preserve"> schools</w:t>
            </w:r>
          </w:p>
        </w:tc>
        <w:tc>
          <w:tcPr>
            <w:tcW w:w="1842" w:type="dxa"/>
            <w:shd w:val="clear" w:color="auto" w:fill="auto"/>
            <w:vAlign w:val="center"/>
          </w:tcPr>
          <w:p w:rsidR="00230743" w:rsidRPr="00802177" w:rsidRDefault="0062660D" w:rsidP="001E3005">
            <w:pPr>
              <w:jc w:val="left"/>
              <w:rPr>
                <w:szCs w:val="22"/>
              </w:rPr>
            </w:pPr>
            <w:r w:rsidRPr="00802177">
              <w:rPr>
                <w:szCs w:val="22"/>
              </w:rPr>
              <w:t>6.9%</w:t>
            </w:r>
          </w:p>
        </w:tc>
        <w:tc>
          <w:tcPr>
            <w:tcW w:w="1843" w:type="dxa"/>
            <w:shd w:val="clear" w:color="auto" w:fill="auto"/>
            <w:vAlign w:val="center"/>
          </w:tcPr>
          <w:p w:rsidR="00230743" w:rsidRPr="00802177" w:rsidRDefault="0062660D" w:rsidP="001E3005">
            <w:pPr>
              <w:jc w:val="left"/>
              <w:rPr>
                <w:szCs w:val="22"/>
              </w:rPr>
            </w:pPr>
            <w:r w:rsidRPr="00802177">
              <w:rPr>
                <w:szCs w:val="22"/>
              </w:rPr>
              <w:t>20.0%</w:t>
            </w:r>
          </w:p>
        </w:tc>
        <w:tc>
          <w:tcPr>
            <w:tcW w:w="1843" w:type="dxa"/>
            <w:shd w:val="clear" w:color="auto" w:fill="auto"/>
            <w:vAlign w:val="center"/>
          </w:tcPr>
          <w:p w:rsidR="00230743" w:rsidRPr="00802177" w:rsidRDefault="0062660D" w:rsidP="001E3005">
            <w:pPr>
              <w:jc w:val="left"/>
              <w:rPr>
                <w:szCs w:val="22"/>
              </w:rPr>
            </w:pPr>
            <w:r w:rsidRPr="00802177">
              <w:rPr>
                <w:szCs w:val="22"/>
              </w:rPr>
              <w:t>7.2%</w:t>
            </w:r>
          </w:p>
        </w:tc>
        <w:tc>
          <w:tcPr>
            <w:tcW w:w="1984" w:type="dxa"/>
            <w:shd w:val="clear" w:color="auto" w:fill="auto"/>
            <w:vAlign w:val="center"/>
          </w:tcPr>
          <w:p w:rsidR="00230743" w:rsidRPr="00802177" w:rsidRDefault="0062660D" w:rsidP="001E3005">
            <w:pPr>
              <w:jc w:val="left"/>
              <w:rPr>
                <w:szCs w:val="22"/>
              </w:rPr>
            </w:pPr>
            <w:r w:rsidRPr="00802177">
              <w:rPr>
                <w:szCs w:val="22"/>
              </w:rPr>
              <w:t>20.3%</w:t>
            </w:r>
          </w:p>
        </w:tc>
        <w:tc>
          <w:tcPr>
            <w:tcW w:w="2127" w:type="dxa"/>
            <w:shd w:val="clear" w:color="auto" w:fill="auto"/>
            <w:vAlign w:val="center"/>
          </w:tcPr>
          <w:p w:rsidR="00230743" w:rsidRPr="00802177" w:rsidRDefault="0062660D" w:rsidP="001E3005">
            <w:pPr>
              <w:jc w:val="left"/>
              <w:rPr>
                <w:szCs w:val="22"/>
              </w:rPr>
            </w:pPr>
            <w:r w:rsidRPr="00802177">
              <w:rPr>
                <w:szCs w:val="22"/>
              </w:rPr>
              <w:t>7.6%</w:t>
            </w:r>
          </w:p>
        </w:tc>
        <w:tc>
          <w:tcPr>
            <w:tcW w:w="2409" w:type="dxa"/>
            <w:shd w:val="clear" w:color="auto" w:fill="auto"/>
            <w:vAlign w:val="center"/>
          </w:tcPr>
          <w:p w:rsidR="00230743" w:rsidRPr="00802177" w:rsidRDefault="0062660D" w:rsidP="001E3005">
            <w:pPr>
              <w:jc w:val="left"/>
              <w:rPr>
                <w:szCs w:val="22"/>
              </w:rPr>
            </w:pPr>
            <w:r w:rsidRPr="00802177">
              <w:rPr>
                <w:szCs w:val="22"/>
              </w:rPr>
              <w:t>20.7%</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Lancashire Probation Committee</w:t>
            </w:r>
          </w:p>
        </w:tc>
        <w:tc>
          <w:tcPr>
            <w:tcW w:w="1842" w:type="dxa"/>
            <w:shd w:val="clear" w:color="auto" w:fill="auto"/>
            <w:vAlign w:val="center"/>
          </w:tcPr>
          <w:p w:rsidR="00230743" w:rsidRPr="00802177" w:rsidRDefault="0062660D" w:rsidP="001E3005">
            <w:pPr>
              <w:jc w:val="left"/>
              <w:rPr>
                <w:szCs w:val="22"/>
              </w:rPr>
            </w:pPr>
            <w:r w:rsidRPr="00802177">
              <w:rPr>
                <w:szCs w:val="22"/>
              </w:rPr>
              <w:t>6.0%</w:t>
            </w:r>
          </w:p>
        </w:tc>
        <w:tc>
          <w:tcPr>
            <w:tcW w:w="1843" w:type="dxa"/>
            <w:shd w:val="clear" w:color="auto" w:fill="auto"/>
            <w:vAlign w:val="center"/>
          </w:tcPr>
          <w:p w:rsidR="00230743" w:rsidRPr="00802177" w:rsidRDefault="0062660D" w:rsidP="001E3005">
            <w:pPr>
              <w:jc w:val="left"/>
              <w:rPr>
                <w:szCs w:val="22"/>
              </w:rPr>
            </w:pPr>
            <w:r w:rsidRPr="00802177">
              <w:rPr>
                <w:szCs w:val="22"/>
              </w:rPr>
              <w:t>19.1%</w:t>
            </w:r>
          </w:p>
        </w:tc>
        <w:tc>
          <w:tcPr>
            <w:tcW w:w="1843" w:type="dxa"/>
            <w:shd w:val="clear" w:color="auto" w:fill="auto"/>
            <w:vAlign w:val="center"/>
          </w:tcPr>
          <w:p w:rsidR="00230743" w:rsidRPr="00802177" w:rsidRDefault="0062660D" w:rsidP="001E3005">
            <w:pPr>
              <w:jc w:val="left"/>
              <w:rPr>
                <w:szCs w:val="22"/>
              </w:rPr>
            </w:pPr>
            <w:r w:rsidRPr="00802177">
              <w:rPr>
                <w:szCs w:val="22"/>
              </w:rPr>
              <w:t>N/A</w:t>
            </w:r>
          </w:p>
        </w:tc>
        <w:tc>
          <w:tcPr>
            <w:tcW w:w="1984" w:type="dxa"/>
            <w:shd w:val="clear" w:color="auto" w:fill="auto"/>
            <w:vAlign w:val="center"/>
          </w:tcPr>
          <w:p w:rsidR="00230743" w:rsidRPr="00802177" w:rsidRDefault="0062660D" w:rsidP="001E3005">
            <w:pPr>
              <w:jc w:val="left"/>
              <w:rPr>
                <w:szCs w:val="22"/>
              </w:rPr>
            </w:pPr>
            <w:r w:rsidRPr="00802177">
              <w:rPr>
                <w:szCs w:val="22"/>
              </w:rPr>
              <w:t>N/A</w:t>
            </w:r>
          </w:p>
        </w:tc>
        <w:tc>
          <w:tcPr>
            <w:tcW w:w="2127" w:type="dxa"/>
            <w:shd w:val="clear" w:color="auto" w:fill="auto"/>
            <w:vAlign w:val="center"/>
          </w:tcPr>
          <w:p w:rsidR="00230743" w:rsidRPr="00802177" w:rsidRDefault="0062660D" w:rsidP="001E3005">
            <w:pPr>
              <w:jc w:val="left"/>
              <w:rPr>
                <w:szCs w:val="22"/>
              </w:rPr>
            </w:pPr>
            <w:r w:rsidRPr="00802177">
              <w:rPr>
                <w:szCs w:val="22"/>
              </w:rPr>
              <w:t>N/A</w:t>
            </w:r>
          </w:p>
        </w:tc>
        <w:tc>
          <w:tcPr>
            <w:tcW w:w="2409" w:type="dxa"/>
            <w:shd w:val="clear" w:color="auto" w:fill="auto"/>
            <w:vAlign w:val="center"/>
          </w:tcPr>
          <w:p w:rsidR="00230743" w:rsidRPr="00802177" w:rsidRDefault="0062660D" w:rsidP="001E3005">
            <w:pPr>
              <w:jc w:val="left"/>
              <w:rPr>
                <w:szCs w:val="22"/>
              </w:rPr>
            </w:pPr>
            <w:r w:rsidRPr="00802177">
              <w:rPr>
                <w:szCs w:val="22"/>
              </w:rPr>
              <w:t>N/A</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Lancaster &amp; Morecambe College</w:t>
            </w:r>
          </w:p>
        </w:tc>
        <w:tc>
          <w:tcPr>
            <w:tcW w:w="1842" w:type="dxa"/>
            <w:shd w:val="clear" w:color="auto" w:fill="auto"/>
            <w:vAlign w:val="bottom"/>
          </w:tcPr>
          <w:p w:rsidR="00230743" w:rsidRPr="00802177" w:rsidRDefault="0062660D" w:rsidP="001E3005">
            <w:pPr>
              <w:jc w:val="left"/>
              <w:rPr>
                <w:szCs w:val="22"/>
              </w:rPr>
            </w:pPr>
            <w:r w:rsidRPr="00802177">
              <w:rPr>
                <w:szCs w:val="22"/>
              </w:rPr>
              <w:t>-0.1% plus £129,300</w:t>
            </w:r>
          </w:p>
        </w:tc>
        <w:tc>
          <w:tcPr>
            <w:tcW w:w="1843" w:type="dxa"/>
            <w:shd w:val="clear" w:color="auto" w:fill="auto"/>
            <w:vAlign w:val="bottom"/>
          </w:tcPr>
          <w:p w:rsidR="00230743" w:rsidRPr="00802177" w:rsidRDefault="0062660D" w:rsidP="001E3005">
            <w:pPr>
              <w:jc w:val="left"/>
              <w:rPr>
                <w:szCs w:val="22"/>
              </w:rPr>
            </w:pPr>
            <w:r w:rsidRPr="00802177">
              <w:rPr>
                <w:szCs w:val="22"/>
              </w:rPr>
              <w:t>13.0% plus £129,300</w:t>
            </w:r>
          </w:p>
        </w:tc>
        <w:tc>
          <w:tcPr>
            <w:tcW w:w="1843" w:type="dxa"/>
            <w:shd w:val="clear" w:color="auto" w:fill="auto"/>
            <w:vAlign w:val="bottom"/>
          </w:tcPr>
          <w:p w:rsidR="00230743" w:rsidRPr="00802177" w:rsidRDefault="0062660D" w:rsidP="001E3005">
            <w:pPr>
              <w:jc w:val="left"/>
              <w:rPr>
                <w:szCs w:val="22"/>
              </w:rPr>
            </w:pPr>
            <w:r w:rsidRPr="00802177">
              <w:rPr>
                <w:szCs w:val="22"/>
              </w:rPr>
              <w:t>-0.1% plus £134,600</w:t>
            </w:r>
          </w:p>
        </w:tc>
        <w:tc>
          <w:tcPr>
            <w:tcW w:w="1984" w:type="dxa"/>
            <w:shd w:val="clear" w:color="auto" w:fill="auto"/>
            <w:vAlign w:val="bottom"/>
          </w:tcPr>
          <w:p w:rsidR="00230743" w:rsidRPr="00802177" w:rsidRDefault="0062660D" w:rsidP="001E3005">
            <w:pPr>
              <w:jc w:val="left"/>
              <w:rPr>
                <w:szCs w:val="22"/>
              </w:rPr>
            </w:pPr>
            <w:r w:rsidRPr="00802177">
              <w:rPr>
                <w:szCs w:val="22"/>
              </w:rPr>
              <w:t>13.0% plus £134,600</w:t>
            </w:r>
          </w:p>
        </w:tc>
        <w:tc>
          <w:tcPr>
            <w:tcW w:w="2127" w:type="dxa"/>
            <w:shd w:val="clear" w:color="auto" w:fill="auto"/>
            <w:vAlign w:val="bottom"/>
          </w:tcPr>
          <w:p w:rsidR="00230743" w:rsidRPr="00802177" w:rsidRDefault="0062660D" w:rsidP="001E3005">
            <w:pPr>
              <w:jc w:val="left"/>
              <w:rPr>
                <w:szCs w:val="22"/>
              </w:rPr>
            </w:pPr>
            <w:r w:rsidRPr="00802177">
              <w:rPr>
                <w:szCs w:val="22"/>
              </w:rPr>
              <w:t xml:space="preserve">-0.1% plus </w:t>
            </w:r>
            <w:r w:rsidRPr="00802177">
              <w:rPr>
                <w:szCs w:val="22"/>
              </w:rPr>
              <w:t>£140,100</w:t>
            </w:r>
          </w:p>
        </w:tc>
        <w:tc>
          <w:tcPr>
            <w:tcW w:w="2409" w:type="dxa"/>
            <w:shd w:val="clear" w:color="auto" w:fill="auto"/>
            <w:vAlign w:val="bottom"/>
          </w:tcPr>
          <w:p w:rsidR="00230743" w:rsidRPr="00802177" w:rsidRDefault="0062660D" w:rsidP="001E3005">
            <w:pPr>
              <w:jc w:val="left"/>
              <w:rPr>
                <w:szCs w:val="22"/>
              </w:rPr>
            </w:pPr>
            <w:r w:rsidRPr="00802177">
              <w:rPr>
                <w:szCs w:val="22"/>
              </w:rPr>
              <w:t>13.0% plus £140,100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Lancaster City Council</w:t>
            </w:r>
          </w:p>
        </w:tc>
        <w:tc>
          <w:tcPr>
            <w:tcW w:w="1842" w:type="dxa"/>
            <w:shd w:val="clear" w:color="auto" w:fill="auto"/>
            <w:vAlign w:val="center"/>
          </w:tcPr>
          <w:p w:rsidR="00230743" w:rsidRPr="00802177" w:rsidRDefault="0062660D" w:rsidP="001E3005">
            <w:pPr>
              <w:jc w:val="left"/>
              <w:rPr>
                <w:szCs w:val="22"/>
              </w:rPr>
            </w:pPr>
            <w:r w:rsidRPr="00802177">
              <w:rPr>
                <w:szCs w:val="22"/>
              </w:rPr>
              <w:t>-0.1% plus £1,015,100</w:t>
            </w:r>
          </w:p>
        </w:tc>
        <w:tc>
          <w:tcPr>
            <w:tcW w:w="1843" w:type="dxa"/>
            <w:shd w:val="clear" w:color="auto" w:fill="auto"/>
            <w:vAlign w:val="center"/>
          </w:tcPr>
          <w:p w:rsidR="00230743" w:rsidRPr="00802177" w:rsidRDefault="0062660D" w:rsidP="001E3005">
            <w:pPr>
              <w:jc w:val="left"/>
              <w:rPr>
                <w:szCs w:val="22"/>
              </w:rPr>
            </w:pPr>
            <w:r w:rsidRPr="00802177">
              <w:rPr>
                <w:szCs w:val="22"/>
              </w:rPr>
              <w:t>13.0% plus £1,015,100</w:t>
            </w:r>
          </w:p>
        </w:tc>
        <w:tc>
          <w:tcPr>
            <w:tcW w:w="1843" w:type="dxa"/>
            <w:shd w:val="clear" w:color="auto" w:fill="auto"/>
            <w:vAlign w:val="center"/>
          </w:tcPr>
          <w:p w:rsidR="00230743" w:rsidRPr="00802177" w:rsidRDefault="0062660D" w:rsidP="001E3005">
            <w:pPr>
              <w:jc w:val="left"/>
              <w:rPr>
                <w:szCs w:val="22"/>
              </w:rPr>
            </w:pPr>
            <w:r w:rsidRPr="00802177">
              <w:rPr>
                <w:szCs w:val="22"/>
              </w:rPr>
              <w:t>-0.1% plus £1,056,700</w:t>
            </w:r>
          </w:p>
        </w:tc>
        <w:tc>
          <w:tcPr>
            <w:tcW w:w="1984" w:type="dxa"/>
            <w:shd w:val="clear" w:color="auto" w:fill="auto"/>
            <w:vAlign w:val="center"/>
          </w:tcPr>
          <w:p w:rsidR="00230743" w:rsidRPr="00802177" w:rsidRDefault="0062660D" w:rsidP="001E3005">
            <w:pPr>
              <w:jc w:val="left"/>
              <w:rPr>
                <w:szCs w:val="22"/>
              </w:rPr>
            </w:pPr>
            <w:r w:rsidRPr="00802177">
              <w:rPr>
                <w:szCs w:val="22"/>
              </w:rPr>
              <w:t>13.0% plus £1,056,700</w:t>
            </w:r>
          </w:p>
        </w:tc>
        <w:tc>
          <w:tcPr>
            <w:tcW w:w="2127" w:type="dxa"/>
            <w:shd w:val="clear" w:color="auto" w:fill="auto"/>
            <w:vAlign w:val="center"/>
          </w:tcPr>
          <w:p w:rsidR="00230743" w:rsidRPr="00802177" w:rsidRDefault="0062660D" w:rsidP="001E3005">
            <w:pPr>
              <w:jc w:val="left"/>
              <w:rPr>
                <w:szCs w:val="22"/>
              </w:rPr>
            </w:pPr>
            <w:r w:rsidRPr="00802177">
              <w:rPr>
                <w:szCs w:val="22"/>
              </w:rPr>
              <w:t>-0.1% plus £1,100,000</w:t>
            </w:r>
          </w:p>
        </w:tc>
        <w:tc>
          <w:tcPr>
            <w:tcW w:w="2409" w:type="dxa"/>
            <w:shd w:val="clear" w:color="auto" w:fill="auto"/>
            <w:vAlign w:val="center"/>
          </w:tcPr>
          <w:p w:rsidR="00230743" w:rsidRPr="00802177" w:rsidRDefault="0062660D" w:rsidP="001E3005">
            <w:pPr>
              <w:jc w:val="left"/>
              <w:rPr>
                <w:szCs w:val="22"/>
              </w:rPr>
            </w:pPr>
            <w:r w:rsidRPr="00802177">
              <w:rPr>
                <w:szCs w:val="22"/>
              </w:rPr>
              <w:t>13.0% plus £1,100,000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Lancaster Girls Grammar School (Academy)</w:t>
            </w:r>
          </w:p>
        </w:tc>
        <w:tc>
          <w:tcPr>
            <w:tcW w:w="1842" w:type="dxa"/>
            <w:shd w:val="clear" w:color="auto" w:fill="auto"/>
            <w:vAlign w:val="center"/>
          </w:tcPr>
          <w:p w:rsidR="00230743" w:rsidRPr="00802177" w:rsidRDefault="0062660D" w:rsidP="001E3005">
            <w:pPr>
              <w:jc w:val="left"/>
              <w:rPr>
                <w:szCs w:val="22"/>
              </w:rPr>
            </w:pPr>
            <w:r w:rsidRPr="00802177">
              <w:rPr>
                <w:szCs w:val="22"/>
              </w:rPr>
              <w:t>3.3% plus £32,800</w:t>
            </w:r>
          </w:p>
        </w:tc>
        <w:tc>
          <w:tcPr>
            <w:tcW w:w="1843" w:type="dxa"/>
            <w:shd w:val="clear" w:color="auto" w:fill="auto"/>
            <w:vAlign w:val="center"/>
          </w:tcPr>
          <w:p w:rsidR="00230743" w:rsidRPr="00802177" w:rsidRDefault="0062660D" w:rsidP="001E3005">
            <w:pPr>
              <w:jc w:val="left"/>
              <w:rPr>
                <w:szCs w:val="22"/>
              </w:rPr>
            </w:pPr>
            <w:r w:rsidRPr="00802177">
              <w:rPr>
                <w:szCs w:val="22"/>
              </w:rPr>
              <w:t xml:space="preserve">16.4% plus </w:t>
            </w:r>
            <w:r w:rsidRPr="00802177">
              <w:rPr>
                <w:szCs w:val="22"/>
              </w:rPr>
              <w:t>£32,800</w:t>
            </w:r>
          </w:p>
        </w:tc>
        <w:tc>
          <w:tcPr>
            <w:tcW w:w="1843" w:type="dxa"/>
            <w:shd w:val="clear" w:color="auto" w:fill="auto"/>
            <w:vAlign w:val="center"/>
          </w:tcPr>
          <w:p w:rsidR="00230743" w:rsidRPr="00802177" w:rsidRDefault="0062660D" w:rsidP="001E3005">
            <w:pPr>
              <w:jc w:val="left"/>
              <w:rPr>
                <w:szCs w:val="22"/>
              </w:rPr>
            </w:pPr>
            <w:r w:rsidRPr="00802177">
              <w:rPr>
                <w:szCs w:val="22"/>
              </w:rPr>
              <w:t>3.3% plus £34,100</w:t>
            </w:r>
          </w:p>
        </w:tc>
        <w:tc>
          <w:tcPr>
            <w:tcW w:w="1984" w:type="dxa"/>
            <w:shd w:val="clear" w:color="auto" w:fill="auto"/>
            <w:vAlign w:val="center"/>
          </w:tcPr>
          <w:p w:rsidR="00230743" w:rsidRPr="00802177" w:rsidRDefault="0062660D" w:rsidP="001E3005">
            <w:pPr>
              <w:jc w:val="left"/>
              <w:rPr>
                <w:szCs w:val="22"/>
              </w:rPr>
            </w:pPr>
            <w:r w:rsidRPr="00802177">
              <w:rPr>
                <w:szCs w:val="22"/>
              </w:rPr>
              <w:t>16.4% plus £34,100</w:t>
            </w:r>
          </w:p>
        </w:tc>
        <w:tc>
          <w:tcPr>
            <w:tcW w:w="2127" w:type="dxa"/>
            <w:shd w:val="clear" w:color="auto" w:fill="auto"/>
            <w:vAlign w:val="center"/>
          </w:tcPr>
          <w:p w:rsidR="00230743" w:rsidRPr="00802177" w:rsidRDefault="0062660D" w:rsidP="001E3005">
            <w:pPr>
              <w:jc w:val="left"/>
              <w:rPr>
                <w:szCs w:val="22"/>
              </w:rPr>
            </w:pPr>
            <w:r w:rsidRPr="00802177">
              <w:rPr>
                <w:szCs w:val="22"/>
              </w:rPr>
              <w:t>3.3% plus £35,500</w:t>
            </w:r>
          </w:p>
        </w:tc>
        <w:tc>
          <w:tcPr>
            <w:tcW w:w="2409" w:type="dxa"/>
            <w:shd w:val="clear" w:color="auto" w:fill="auto"/>
            <w:vAlign w:val="center"/>
          </w:tcPr>
          <w:p w:rsidR="00230743" w:rsidRPr="00802177" w:rsidRDefault="0062660D" w:rsidP="001E3005">
            <w:pPr>
              <w:jc w:val="left"/>
              <w:rPr>
                <w:szCs w:val="22"/>
              </w:rPr>
            </w:pPr>
            <w:r w:rsidRPr="00802177">
              <w:rPr>
                <w:szCs w:val="22"/>
              </w:rPr>
              <w:t>16.4% plus £35,500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Lancaster Royal Grammar School (Academy)</w:t>
            </w:r>
          </w:p>
        </w:tc>
        <w:tc>
          <w:tcPr>
            <w:tcW w:w="1842" w:type="dxa"/>
            <w:shd w:val="clear" w:color="auto" w:fill="auto"/>
            <w:vAlign w:val="center"/>
          </w:tcPr>
          <w:p w:rsidR="00230743" w:rsidRPr="00802177" w:rsidRDefault="0062660D" w:rsidP="001E3005">
            <w:pPr>
              <w:jc w:val="left"/>
              <w:rPr>
                <w:szCs w:val="22"/>
              </w:rPr>
            </w:pPr>
            <w:r w:rsidRPr="00802177">
              <w:rPr>
                <w:szCs w:val="22"/>
              </w:rPr>
              <w:t>3.0% plus £49,200</w:t>
            </w:r>
          </w:p>
        </w:tc>
        <w:tc>
          <w:tcPr>
            <w:tcW w:w="1843" w:type="dxa"/>
            <w:shd w:val="clear" w:color="auto" w:fill="auto"/>
            <w:vAlign w:val="center"/>
          </w:tcPr>
          <w:p w:rsidR="00230743" w:rsidRPr="00802177" w:rsidRDefault="0062660D" w:rsidP="001E3005">
            <w:pPr>
              <w:jc w:val="left"/>
              <w:rPr>
                <w:szCs w:val="22"/>
              </w:rPr>
            </w:pPr>
            <w:r w:rsidRPr="00802177">
              <w:rPr>
                <w:szCs w:val="22"/>
              </w:rPr>
              <w:t>16.1% plus £49,200</w:t>
            </w:r>
          </w:p>
        </w:tc>
        <w:tc>
          <w:tcPr>
            <w:tcW w:w="1843" w:type="dxa"/>
            <w:shd w:val="clear" w:color="auto" w:fill="auto"/>
            <w:vAlign w:val="center"/>
          </w:tcPr>
          <w:p w:rsidR="00230743" w:rsidRPr="00802177" w:rsidRDefault="0062660D" w:rsidP="001E3005">
            <w:pPr>
              <w:jc w:val="left"/>
              <w:rPr>
                <w:szCs w:val="22"/>
              </w:rPr>
            </w:pPr>
            <w:r w:rsidRPr="00802177">
              <w:rPr>
                <w:szCs w:val="22"/>
              </w:rPr>
              <w:t>3.0% plus £55,500</w:t>
            </w:r>
          </w:p>
        </w:tc>
        <w:tc>
          <w:tcPr>
            <w:tcW w:w="1984" w:type="dxa"/>
            <w:shd w:val="clear" w:color="auto" w:fill="auto"/>
            <w:vAlign w:val="center"/>
          </w:tcPr>
          <w:p w:rsidR="00230743" w:rsidRPr="00802177" w:rsidRDefault="0062660D" w:rsidP="001E3005">
            <w:pPr>
              <w:jc w:val="left"/>
              <w:rPr>
                <w:szCs w:val="22"/>
              </w:rPr>
            </w:pPr>
            <w:r w:rsidRPr="00802177">
              <w:rPr>
                <w:szCs w:val="22"/>
              </w:rPr>
              <w:t>16.1% plus £55,500</w:t>
            </w:r>
          </w:p>
        </w:tc>
        <w:tc>
          <w:tcPr>
            <w:tcW w:w="2127" w:type="dxa"/>
            <w:shd w:val="clear" w:color="auto" w:fill="auto"/>
            <w:vAlign w:val="center"/>
          </w:tcPr>
          <w:p w:rsidR="00230743" w:rsidRPr="00802177" w:rsidRDefault="0062660D" w:rsidP="001E3005">
            <w:pPr>
              <w:jc w:val="left"/>
              <w:rPr>
                <w:szCs w:val="22"/>
              </w:rPr>
            </w:pPr>
            <w:r w:rsidRPr="00802177">
              <w:rPr>
                <w:szCs w:val="22"/>
              </w:rPr>
              <w:t>3.0% plus £61,800</w:t>
            </w:r>
          </w:p>
        </w:tc>
        <w:tc>
          <w:tcPr>
            <w:tcW w:w="2409" w:type="dxa"/>
            <w:shd w:val="clear" w:color="auto" w:fill="auto"/>
            <w:vAlign w:val="center"/>
          </w:tcPr>
          <w:p w:rsidR="00230743" w:rsidRPr="00802177" w:rsidRDefault="0062660D" w:rsidP="001E3005">
            <w:pPr>
              <w:jc w:val="left"/>
              <w:rPr>
                <w:szCs w:val="22"/>
              </w:rPr>
            </w:pPr>
            <w:r w:rsidRPr="00802177">
              <w:rPr>
                <w:szCs w:val="22"/>
              </w:rPr>
              <w:t>16.1% plus £61,800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Lancaster University</w:t>
            </w:r>
          </w:p>
        </w:tc>
        <w:tc>
          <w:tcPr>
            <w:tcW w:w="1842" w:type="dxa"/>
            <w:shd w:val="clear" w:color="auto" w:fill="auto"/>
            <w:vAlign w:val="center"/>
          </w:tcPr>
          <w:p w:rsidR="00230743" w:rsidRPr="00802177" w:rsidRDefault="0062660D" w:rsidP="001E3005">
            <w:pPr>
              <w:jc w:val="left"/>
              <w:rPr>
                <w:szCs w:val="22"/>
              </w:rPr>
            </w:pPr>
            <w:r w:rsidRPr="00802177">
              <w:rPr>
                <w:szCs w:val="22"/>
              </w:rPr>
              <w:t>-0.7% plus £561,900</w:t>
            </w:r>
          </w:p>
        </w:tc>
        <w:tc>
          <w:tcPr>
            <w:tcW w:w="1843" w:type="dxa"/>
            <w:shd w:val="clear" w:color="auto" w:fill="auto"/>
            <w:vAlign w:val="center"/>
          </w:tcPr>
          <w:p w:rsidR="00230743" w:rsidRPr="00802177" w:rsidRDefault="0062660D" w:rsidP="001E3005">
            <w:pPr>
              <w:jc w:val="left"/>
              <w:rPr>
                <w:szCs w:val="22"/>
              </w:rPr>
            </w:pPr>
            <w:r w:rsidRPr="00802177">
              <w:rPr>
                <w:szCs w:val="22"/>
              </w:rPr>
              <w:t>12.4% plus £561,900</w:t>
            </w:r>
          </w:p>
        </w:tc>
        <w:tc>
          <w:tcPr>
            <w:tcW w:w="1843" w:type="dxa"/>
            <w:shd w:val="clear" w:color="auto" w:fill="auto"/>
            <w:vAlign w:val="center"/>
          </w:tcPr>
          <w:p w:rsidR="00230743" w:rsidRPr="00802177" w:rsidRDefault="0062660D" w:rsidP="001E3005">
            <w:pPr>
              <w:jc w:val="left"/>
              <w:rPr>
                <w:szCs w:val="22"/>
              </w:rPr>
            </w:pPr>
            <w:r w:rsidRPr="00802177">
              <w:rPr>
                <w:szCs w:val="22"/>
              </w:rPr>
              <w:t>-0.7% plus £648,000</w:t>
            </w:r>
          </w:p>
        </w:tc>
        <w:tc>
          <w:tcPr>
            <w:tcW w:w="1984" w:type="dxa"/>
            <w:shd w:val="clear" w:color="auto" w:fill="auto"/>
            <w:vAlign w:val="center"/>
          </w:tcPr>
          <w:p w:rsidR="00230743" w:rsidRPr="00802177" w:rsidRDefault="0062660D" w:rsidP="001E3005">
            <w:pPr>
              <w:jc w:val="left"/>
              <w:rPr>
                <w:szCs w:val="22"/>
              </w:rPr>
            </w:pPr>
            <w:r w:rsidRPr="00802177">
              <w:rPr>
                <w:szCs w:val="22"/>
              </w:rPr>
              <w:t>12.4% plus £648,000</w:t>
            </w:r>
          </w:p>
        </w:tc>
        <w:tc>
          <w:tcPr>
            <w:tcW w:w="2127" w:type="dxa"/>
            <w:shd w:val="clear" w:color="auto" w:fill="auto"/>
            <w:vAlign w:val="center"/>
          </w:tcPr>
          <w:p w:rsidR="00230743" w:rsidRPr="00802177" w:rsidRDefault="0062660D" w:rsidP="001E3005">
            <w:pPr>
              <w:jc w:val="left"/>
              <w:rPr>
                <w:szCs w:val="22"/>
              </w:rPr>
            </w:pPr>
            <w:r w:rsidRPr="00802177">
              <w:rPr>
                <w:szCs w:val="22"/>
              </w:rPr>
              <w:t>-0.7% plus £735,200</w:t>
            </w:r>
          </w:p>
        </w:tc>
        <w:tc>
          <w:tcPr>
            <w:tcW w:w="2409" w:type="dxa"/>
            <w:shd w:val="clear" w:color="auto" w:fill="auto"/>
            <w:vAlign w:val="center"/>
          </w:tcPr>
          <w:p w:rsidR="00230743" w:rsidRPr="00802177" w:rsidRDefault="0062660D" w:rsidP="001E3005">
            <w:pPr>
              <w:jc w:val="left"/>
              <w:rPr>
                <w:szCs w:val="22"/>
              </w:rPr>
            </w:pPr>
            <w:r w:rsidRPr="00802177">
              <w:rPr>
                <w:szCs w:val="22"/>
              </w:rPr>
              <w:t>12.4% plus £735,200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Lancs Fire and Rescue Service</w:t>
            </w:r>
          </w:p>
        </w:tc>
        <w:tc>
          <w:tcPr>
            <w:tcW w:w="1842" w:type="dxa"/>
            <w:shd w:val="clear" w:color="auto" w:fill="auto"/>
            <w:vAlign w:val="center"/>
          </w:tcPr>
          <w:p w:rsidR="00230743" w:rsidRPr="00802177" w:rsidRDefault="0062660D" w:rsidP="001E3005">
            <w:pPr>
              <w:jc w:val="left"/>
              <w:rPr>
                <w:szCs w:val="22"/>
              </w:rPr>
            </w:pPr>
            <w:r w:rsidRPr="00802177">
              <w:rPr>
                <w:szCs w:val="22"/>
              </w:rPr>
              <w:t>-0.3% plus £229,500</w:t>
            </w:r>
          </w:p>
        </w:tc>
        <w:tc>
          <w:tcPr>
            <w:tcW w:w="1843" w:type="dxa"/>
            <w:shd w:val="clear" w:color="auto" w:fill="auto"/>
            <w:vAlign w:val="center"/>
          </w:tcPr>
          <w:p w:rsidR="00230743" w:rsidRPr="00802177" w:rsidRDefault="0062660D" w:rsidP="001E3005">
            <w:pPr>
              <w:jc w:val="left"/>
              <w:rPr>
                <w:szCs w:val="22"/>
              </w:rPr>
            </w:pPr>
            <w:r w:rsidRPr="00802177">
              <w:rPr>
                <w:szCs w:val="22"/>
              </w:rPr>
              <w:t>12.8% plus £229,500</w:t>
            </w:r>
          </w:p>
        </w:tc>
        <w:tc>
          <w:tcPr>
            <w:tcW w:w="1843" w:type="dxa"/>
            <w:shd w:val="clear" w:color="auto" w:fill="auto"/>
            <w:vAlign w:val="center"/>
          </w:tcPr>
          <w:p w:rsidR="00230743" w:rsidRPr="00802177" w:rsidRDefault="0062660D" w:rsidP="001E3005">
            <w:pPr>
              <w:jc w:val="left"/>
              <w:rPr>
                <w:szCs w:val="22"/>
              </w:rPr>
            </w:pPr>
            <w:r w:rsidRPr="00802177">
              <w:rPr>
                <w:szCs w:val="22"/>
              </w:rPr>
              <w:t>-0.3% plus £238,900</w:t>
            </w:r>
          </w:p>
        </w:tc>
        <w:tc>
          <w:tcPr>
            <w:tcW w:w="1984" w:type="dxa"/>
            <w:shd w:val="clear" w:color="auto" w:fill="auto"/>
            <w:vAlign w:val="center"/>
          </w:tcPr>
          <w:p w:rsidR="00230743" w:rsidRPr="00802177" w:rsidRDefault="0062660D" w:rsidP="001E3005">
            <w:pPr>
              <w:jc w:val="left"/>
              <w:rPr>
                <w:szCs w:val="22"/>
              </w:rPr>
            </w:pPr>
            <w:r w:rsidRPr="00802177">
              <w:rPr>
                <w:szCs w:val="22"/>
              </w:rPr>
              <w:t>12.8% plus £238,900</w:t>
            </w:r>
          </w:p>
        </w:tc>
        <w:tc>
          <w:tcPr>
            <w:tcW w:w="2127" w:type="dxa"/>
            <w:shd w:val="clear" w:color="auto" w:fill="auto"/>
            <w:vAlign w:val="center"/>
          </w:tcPr>
          <w:p w:rsidR="00230743" w:rsidRPr="00802177" w:rsidRDefault="0062660D" w:rsidP="001E3005">
            <w:pPr>
              <w:jc w:val="left"/>
              <w:rPr>
                <w:szCs w:val="22"/>
              </w:rPr>
            </w:pPr>
            <w:r w:rsidRPr="00802177">
              <w:rPr>
                <w:szCs w:val="22"/>
              </w:rPr>
              <w:t>-0.3% plus £248,700</w:t>
            </w:r>
          </w:p>
        </w:tc>
        <w:tc>
          <w:tcPr>
            <w:tcW w:w="2409" w:type="dxa"/>
            <w:shd w:val="clear" w:color="auto" w:fill="auto"/>
            <w:vAlign w:val="center"/>
          </w:tcPr>
          <w:p w:rsidR="00230743" w:rsidRPr="00802177" w:rsidRDefault="0062660D" w:rsidP="001E3005">
            <w:pPr>
              <w:jc w:val="left"/>
              <w:rPr>
                <w:szCs w:val="22"/>
              </w:rPr>
            </w:pPr>
            <w:r w:rsidRPr="00802177">
              <w:rPr>
                <w:szCs w:val="22"/>
              </w:rPr>
              <w:t>12.8% plus £248,700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Lancs Sports Partners Ltd</w:t>
            </w:r>
          </w:p>
        </w:tc>
        <w:tc>
          <w:tcPr>
            <w:tcW w:w="1842" w:type="dxa"/>
            <w:shd w:val="clear" w:color="auto" w:fill="auto"/>
            <w:vAlign w:val="center"/>
          </w:tcPr>
          <w:p w:rsidR="00230743" w:rsidRPr="00802177" w:rsidRDefault="0062660D" w:rsidP="001E3005">
            <w:pPr>
              <w:jc w:val="left"/>
              <w:rPr>
                <w:szCs w:val="22"/>
              </w:rPr>
            </w:pPr>
            <w:r w:rsidRPr="00802177">
              <w:rPr>
                <w:szCs w:val="22"/>
              </w:rPr>
              <w:t>-4.3%</w:t>
            </w:r>
          </w:p>
        </w:tc>
        <w:tc>
          <w:tcPr>
            <w:tcW w:w="1843" w:type="dxa"/>
            <w:shd w:val="clear" w:color="auto" w:fill="auto"/>
            <w:vAlign w:val="center"/>
          </w:tcPr>
          <w:p w:rsidR="00230743" w:rsidRPr="00802177" w:rsidRDefault="0062660D" w:rsidP="001E3005">
            <w:pPr>
              <w:jc w:val="left"/>
              <w:rPr>
                <w:szCs w:val="22"/>
              </w:rPr>
            </w:pPr>
            <w:r w:rsidRPr="00802177">
              <w:rPr>
                <w:szCs w:val="22"/>
              </w:rPr>
              <w:t>8.8%</w:t>
            </w:r>
          </w:p>
        </w:tc>
        <w:tc>
          <w:tcPr>
            <w:tcW w:w="1843" w:type="dxa"/>
            <w:shd w:val="clear" w:color="auto" w:fill="auto"/>
            <w:vAlign w:val="center"/>
          </w:tcPr>
          <w:p w:rsidR="00230743" w:rsidRPr="00802177" w:rsidRDefault="0062660D" w:rsidP="001E3005">
            <w:pPr>
              <w:jc w:val="left"/>
              <w:rPr>
                <w:szCs w:val="22"/>
              </w:rPr>
            </w:pPr>
            <w:r w:rsidRPr="00802177">
              <w:rPr>
                <w:szCs w:val="22"/>
              </w:rPr>
              <w:t>-4.3%</w:t>
            </w:r>
          </w:p>
        </w:tc>
        <w:tc>
          <w:tcPr>
            <w:tcW w:w="1984" w:type="dxa"/>
            <w:shd w:val="clear" w:color="auto" w:fill="auto"/>
            <w:vAlign w:val="center"/>
          </w:tcPr>
          <w:p w:rsidR="00230743" w:rsidRPr="00802177" w:rsidRDefault="0062660D" w:rsidP="001E3005">
            <w:pPr>
              <w:jc w:val="left"/>
              <w:rPr>
                <w:szCs w:val="22"/>
              </w:rPr>
            </w:pPr>
            <w:r w:rsidRPr="00802177">
              <w:rPr>
                <w:szCs w:val="22"/>
              </w:rPr>
              <w:t>8.8%</w:t>
            </w:r>
          </w:p>
        </w:tc>
        <w:tc>
          <w:tcPr>
            <w:tcW w:w="2127" w:type="dxa"/>
            <w:shd w:val="clear" w:color="auto" w:fill="auto"/>
            <w:vAlign w:val="center"/>
          </w:tcPr>
          <w:p w:rsidR="00230743" w:rsidRPr="00802177" w:rsidRDefault="0062660D" w:rsidP="001E3005">
            <w:pPr>
              <w:jc w:val="left"/>
              <w:rPr>
                <w:szCs w:val="22"/>
              </w:rPr>
            </w:pPr>
            <w:r w:rsidRPr="00802177">
              <w:rPr>
                <w:szCs w:val="22"/>
              </w:rPr>
              <w:t>-4.3%</w:t>
            </w:r>
          </w:p>
        </w:tc>
        <w:tc>
          <w:tcPr>
            <w:tcW w:w="2409" w:type="dxa"/>
            <w:shd w:val="clear" w:color="auto" w:fill="auto"/>
            <w:vAlign w:val="center"/>
          </w:tcPr>
          <w:p w:rsidR="00230743" w:rsidRPr="00802177" w:rsidRDefault="0062660D" w:rsidP="001E3005">
            <w:pPr>
              <w:jc w:val="left"/>
              <w:rPr>
                <w:szCs w:val="22"/>
              </w:rPr>
            </w:pPr>
            <w:r w:rsidRPr="00802177">
              <w:rPr>
                <w:szCs w:val="22"/>
              </w:rPr>
              <w:t>8.8%</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 xml:space="preserve">Lancs Workforce </w:t>
            </w:r>
            <w:r w:rsidRPr="00FF2F9D">
              <w:rPr>
                <w:szCs w:val="22"/>
              </w:rPr>
              <w:t>Development</w:t>
            </w:r>
            <w:r w:rsidRPr="00FF2F9D">
              <w:rPr>
                <w:szCs w:val="22"/>
              </w:rPr>
              <w:t xml:space="preserve"> Partn</w:t>
            </w:r>
            <w:r>
              <w:rPr>
                <w:szCs w:val="22"/>
              </w:rPr>
              <w:t>er</w:t>
            </w:r>
            <w:r w:rsidRPr="00FF2F9D">
              <w:rPr>
                <w:szCs w:val="22"/>
              </w:rPr>
              <w:t>ship</w:t>
            </w:r>
          </w:p>
        </w:tc>
        <w:tc>
          <w:tcPr>
            <w:tcW w:w="1842" w:type="dxa"/>
            <w:shd w:val="clear" w:color="auto" w:fill="auto"/>
            <w:vAlign w:val="center"/>
          </w:tcPr>
          <w:p w:rsidR="00230743" w:rsidRPr="00802177" w:rsidRDefault="0062660D" w:rsidP="001E3005">
            <w:pPr>
              <w:jc w:val="left"/>
              <w:rPr>
                <w:szCs w:val="22"/>
              </w:rPr>
            </w:pPr>
            <w:r w:rsidRPr="00802177">
              <w:rPr>
                <w:szCs w:val="22"/>
              </w:rPr>
              <w:t>2.5% plus £700</w:t>
            </w:r>
          </w:p>
        </w:tc>
        <w:tc>
          <w:tcPr>
            <w:tcW w:w="1843" w:type="dxa"/>
            <w:shd w:val="clear" w:color="auto" w:fill="auto"/>
            <w:vAlign w:val="center"/>
          </w:tcPr>
          <w:p w:rsidR="00230743" w:rsidRPr="00802177" w:rsidRDefault="0062660D" w:rsidP="001E3005">
            <w:pPr>
              <w:jc w:val="left"/>
              <w:rPr>
                <w:szCs w:val="22"/>
              </w:rPr>
            </w:pPr>
            <w:r w:rsidRPr="00802177">
              <w:rPr>
                <w:szCs w:val="22"/>
              </w:rPr>
              <w:t>15.6% plus £700</w:t>
            </w:r>
          </w:p>
        </w:tc>
        <w:tc>
          <w:tcPr>
            <w:tcW w:w="1843" w:type="dxa"/>
            <w:shd w:val="clear" w:color="auto" w:fill="auto"/>
            <w:vAlign w:val="center"/>
          </w:tcPr>
          <w:p w:rsidR="00230743" w:rsidRPr="00802177" w:rsidRDefault="0062660D" w:rsidP="001E3005">
            <w:pPr>
              <w:jc w:val="left"/>
              <w:rPr>
                <w:szCs w:val="22"/>
              </w:rPr>
            </w:pPr>
            <w:r w:rsidRPr="00802177">
              <w:rPr>
                <w:szCs w:val="22"/>
              </w:rPr>
              <w:t>2.5% plus £700</w:t>
            </w:r>
          </w:p>
        </w:tc>
        <w:tc>
          <w:tcPr>
            <w:tcW w:w="1984" w:type="dxa"/>
            <w:shd w:val="clear" w:color="auto" w:fill="auto"/>
            <w:vAlign w:val="center"/>
          </w:tcPr>
          <w:p w:rsidR="00230743" w:rsidRPr="00802177" w:rsidRDefault="0062660D" w:rsidP="001E3005">
            <w:pPr>
              <w:jc w:val="left"/>
              <w:rPr>
                <w:szCs w:val="22"/>
              </w:rPr>
            </w:pPr>
            <w:r w:rsidRPr="00802177">
              <w:rPr>
                <w:szCs w:val="22"/>
              </w:rPr>
              <w:t>15.6% plus £700</w:t>
            </w:r>
          </w:p>
        </w:tc>
        <w:tc>
          <w:tcPr>
            <w:tcW w:w="2127" w:type="dxa"/>
            <w:shd w:val="clear" w:color="auto" w:fill="auto"/>
            <w:vAlign w:val="center"/>
          </w:tcPr>
          <w:p w:rsidR="00230743" w:rsidRPr="00802177" w:rsidRDefault="0062660D" w:rsidP="001E3005">
            <w:pPr>
              <w:jc w:val="left"/>
              <w:rPr>
                <w:szCs w:val="22"/>
              </w:rPr>
            </w:pPr>
            <w:r w:rsidRPr="00802177">
              <w:rPr>
                <w:szCs w:val="22"/>
              </w:rPr>
              <w:t>2.5% plus £700</w:t>
            </w:r>
          </w:p>
        </w:tc>
        <w:tc>
          <w:tcPr>
            <w:tcW w:w="2409" w:type="dxa"/>
            <w:shd w:val="clear" w:color="auto" w:fill="auto"/>
            <w:vAlign w:val="center"/>
          </w:tcPr>
          <w:p w:rsidR="00230743" w:rsidRPr="00802177" w:rsidRDefault="0062660D" w:rsidP="001E3005">
            <w:pPr>
              <w:jc w:val="left"/>
              <w:rPr>
                <w:szCs w:val="22"/>
              </w:rPr>
            </w:pPr>
            <w:r w:rsidRPr="00802177">
              <w:rPr>
                <w:szCs w:val="22"/>
              </w:rPr>
              <w:t>15.6% plus £700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proofErr w:type="spellStart"/>
            <w:r>
              <w:rPr>
                <w:szCs w:val="22"/>
              </w:rPr>
              <w:t>Lan</w:t>
            </w:r>
            <w:r w:rsidRPr="00FF2F9D">
              <w:rPr>
                <w:szCs w:val="22"/>
              </w:rPr>
              <w:t>gdale</w:t>
            </w:r>
            <w:proofErr w:type="spellEnd"/>
            <w:r w:rsidRPr="00FF2F9D">
              <w:rPr>
                <w:szCs w:val="22"/>
              </w:rPr>
              <w:t xml:space="preserve"> Free School</w:t>
            </w:r>
          </w:p>
        </w:tc>
        <w:tc>
          <w:tcPr>
            <w:tcW w:w="1842" w:type="dxa"/>
            <w:shd w:val="clear" w:color="auto" w:fill="auto"/>
            <w:vAlign w:val="center"/>
          </w:tcPr>
          <w:p w:rsidR="00230743" w:rsidRPr="00802177" w:rsidRDefault="0062660D" w:rsidP="001E3005">
            <w:pPr>
              <w:jc w:val="left"/>
              <w:rPr>
                <w:szCs w:val="22"/>
              </w:rPr>
            </w:pPr>
            <w:r w:rsidRPr="00802177">
              <w:rPr>
                <w:szCs w:val="22"/>
              </w:rPr>
              <w:t>-0.8% plus £1,200</w:t>
            </w:r>
          </w:p>
        </w:tc>
        <w:tc>
          <w:tcPr>
            <w:tcW w:w="1843" w:type="dxa"/>
            <w:shd w:val="clear" w:color="auto" w:fill="auto"/>
            <w:vAlign w:val="center"/>
          </w:tcPr>
          <w:p w:rsidR="00230743" w:rsidRPr="00802177" w:rsidRDefault="0062660D" w:rsidP="001E3005">
            <w:pPr>
              <w:jc w:val="left"/>
              <w:rPr>
                <w:szCs w:val="22"/>
              </w:rPr>
            </w:pPr>
            <w:r w:rsidRPr="00802177">
              <w:rPr>
                <w:szCs w:val="22"/>
              </w:rPr>
              <w:t>12.3% plus £1,200</w:t>
            </w:r>
          </w:p>
        </w:tc>
        <w:tc>
          <w:tcPr>
            <w:tcW w:w="1843" w:type="dxa"/>
            <w:shd w:val="clear" w:color="auto" w:fill="auto"/>
            <w:vAlign w:val="center"/>
          </w:tcPr>
          <w:p w:rsidR="00230743" w:rsidRPr="00802177" w:rsidRDefault="0062660D" w:rsidP="001E3005">
            <w:pPr>
              <w:jc w:val="left"/>
              <w:rPr>
                <w:szCs w:val="22"/>
              </w:rPr>
            </w:pPr>
            <w:r w:rsidRPr="00802177">
              <w:rPr>
                <w:szCs w:val="22"/>
              </w:rPr>
              <w:t>-0.8% plus £1,200</w:t>
            </w:r>
          </w:p>
        </w:tc>
        <w:tc>
          <w:tcPr>
            <w:tcW w:w="1984" w:type="dxa"/>
            <w:shd w:val="clear" w:color="auto" w:fill="auto"/>
            <w:vAlign w:val="center"/>
          </w:tcPr>
          <w:p w:rsidR="00230743" w:rsidRPr="00802177" w:rsidRDefault="0062660D" w:rsidP="001E3005">
            <w:pPr>
              <w:jc w:val="left"/>
              <w:rPr>
                <w:szCs w:val="22"/>
              </w:rPr>
            </w:pPr>
            <w:r w:rsidRPr="00802177">
              <w:rPr>
                <w:szCs w:val="22"/>
              </w:rPr>
              <w:t>12.3% plus £1,200</w:t>
            </w:r>
          </w:p>
        </w:tc>
        <w:tc>
          <w:tcPr>
            <w:tcW w:w="2127" w:type="dxa"/>
            <w:shd w:val="clear" w:color="auto" w:fill="auto"/>
            <w:vAlign w:val="center"/>
          </w:tcPr>
          <w:p w:rsidR="00230743" w:rsidRPr="00802177" w:rsidRDefault="0062660D" w:rsidP="001E3005">
            <w:pPr>
              <w:jc w:val="left"/>
              <w:rPr>
                <w:szCs w:val="22"/>
              </w:rPr>
            </w:pPr>
            <w:r w:rsidRPr="00802177">
              <w:rPr>
                <w:szCs w:val="22"/>
              </w:rPr>
              <w:t>-0.8% plus £1,200</w:t>
            </w:r>
          </w:p>
        </w:tc>
        <w:tc>
          <w:tcPr>
            <w:tcW w:w="2409" w:type="dxa"/>
            <w:shd w:val="clear" w:color="auto" w:fill="auto"/>
            <w:vAlign w:val="center"/>
          </w:tcPr>
          <w:p w:rsidR="00230743" w:rsidRPr="00802177" w:rsidRDefault="0062660D" w:rsidP="001E3005">
            <w:pPr>
              <w:jc w:val="left"/>
              <w:rPr>
                <w:szCs w:val="22"/>
              </w:rPr>
            </w:pPr>
            <w:r w:rsidRPr="00802177">
              <w:rPr>
                <w:szCs w:val="22"/>
              </w:rPr>
              <w:t>12.3% plus £1,200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Leisure in Hyndburn</w:t>
            </w:r>
          </w:p>
        </w:tc>
        <w:tc>
          <w:tcPr>
            <w:tcW w:w="1842" w:type="dxa"/>
            <w:shd w:val="clear" w:color="auto" w:fill="auto"/>
            <w:vAlign w:val="center"/>
          </w:tcPr>
          <w:p w:rsidR="00230743" w:rsidRPr="00802177" w:rsidRDefault="0062660D" w:rsidP="001E3005">
            <w:pPr>
              <w:jc w:val="left"/>
              <w:rPr>
                <w:szCs w:val="22"/>
              </w:rPr>
            </w:pPr>
            <w:r w:rsidRPr="00802177">
              <w:rPr>
                <w:szCs w:val="22"/>
              </w:rPr>
              <w:t>-1.3% plus £45,600</w:t>
            </w:r>
          </w:p>
        </w:tc>
        <w:tc>
          <w:tcPr>
            <w:tcW w:w="1843" w:type="dxa"/>
            <w:shd w:val="clear" w:color="auto" w:fill="auto"/>
            <w:vAlign w:val="center"/>
          </w:tcPr>
          <w:p w:rsidR="00230743" w:rsidRPr="00802177" w:rsidRDefault="0062660D" w:rsidP="001E3005">
            <w:pPr>
              <w:jc w:val="left"/>
              <w:rPr>
                <w:szCs w:val="22"/>
              </w:rPr>
            </w:pPr>
            <w:r w:rsidRPr="00802177">
              <w:rPr>
                <w:szCs w:val="22"/>
              </w:rPr>
              <w:t>11.8% plus £45,600</w:t>
            </w:r>
          </w:p>
        </w:tc>
        <w:tc>
          <w:tcPr>
            <w:tcW w:w="1843" w:type="dxa"/>
            <w:shd w:val="clear" w:color="auto" w:fill="auto"/>
            <w:vAlign w:val="center"/>
          </w:tcPr>
          <w:p w:rsidR="00230743" w:rsidRPr="00802177" w:rsidRDefault="0062660D" w:rsidP="001E3005">
            <w:pPr>
              <w:jc w:val="left"/>
              <w:rPr>
                <w:szCs w:val="22"/>
              </w:rPr>
            </w:pPr>
            <w:r w:rsidRPr="00802177">
              <w:rPr>
                <w:szCs w:val="22"/>
              </w:rPr>
              <w:t>-1.3% plus £50,000</w:t>
            </w:r>
          </w:p>
        </w:tc>
        <w:tc>
          <w:tcPr>
            <w:tcW w:w="1984" w:type="dxa"/>
            <w:shd w:val="clear" w:color="auto" w:fill="auto"/>
            <w:vAlign w:val="center"/>
          </w:tcPr>
          <w:p w:rsidR="00230743" w:rsidRPr="00802177" w:rsidRDefault="0062660D" w:rsidP="001E3005">
            <w:pPr>
              <w:jc w:val="left"/>
              <w:rPr>
                <w:szCs w:val="22"/>
              </w:rPr>
            </w:pPr>
            <w:r w:rsidRPr="00802177">
              <w:rPr>
                <w:szCs w:val="22"/>
              </w:rPr>
              <w:t>11.8% plus £50,000</w:t>
            </w:r>
          </w:p>
        </w:tc>
        <w:tc>
          <w:tcPr>
            <w:tcW w:w="2127" w:type="dxa"/>
            <w:shd w:val="clear" w:color="auto" w:fill="auto"/>
            <w:vAlign w:val="center"/>
          </w:tcPr>
          <w:p w:rsidR="00230743" w:rsidRPr="00802177" w:rsidRDefault="0062660D" w:rsidP="001E3005">
            <w:pPr>
              <w:jc w:val="left"/>
              <w:rPr>
                <w:szCs w:val="22"/>
              </w:rPr>
            </w:pPr>
            <w:r w:rsidRPr="00802177">
              <w:rPr>
                <w:szCs w:val="22"/>
              </w:rPr>
              <w:t>-1.3% plus £54,500</w:t>
            </w:r>
          </w:p>
        </w:tc>
        <w:tc>
          <w:tcPr>
            <w:tcW w:w="2409" w:type="dxa"/>
            <w:shd w:val="clear" w:color="auto" w:fill="auto"/>
            <w:vAlign w:val="center"/>
          </w:tcPr>
          <w:p w:rsidR="00230743" w:rsidRPr="00802177" w:rsidRDefault="0062660D" w:rsidP="001E3005">
            <w:pPr>
              <w:jc w:val="left"/>
              <w:rPr>
                <w:szCs w:val="22"/>
              </w:rPr>
            </w:pPr>
            <w:r w:rsidRPr="00802177">
              <w:rPr>
                <w:szCs w:val="22"/>
              </w:rPr>
              <w:t>11.8% plus £54,500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Lend Lease construction EMEA</w:t>
            </w:r>
          </w:p>
        </w:tc>
        <w:tc>
          <w:tcPr>
            <w:tcW w:w="1842" w:type="dxa"/>
            <w:shd w:val="clear" w:color="auto" w:fill="auto"/>
            <w:vAlign w:val="center"/>
          </w:tcPr>
          <w:p w:rsidR="00230743" w:rsidRPr="00802177" w:rsidRDefault="0062660D" w:rsidP="001E3005">
            <w:pPr>
              <w:jc w:val="left"/>
              <w:rPr>
                <w:szCs w:val="22"/>
              </w:rPr>
            </w:pPr>
            <w:r w:rsidRPr="00802177">
              <w:rPr>
                <w:szCs w:val="22"/>
              </w:rPr>
              <w:t>-0.5%</w:t>
            </w:r>
          </w:p>
        </w:tc>
        <w:tc>
          <w:tcPr>
            <w:tcW w:w="1843" w:type="dxa"/>
            <w:shd w:val="clear" w:color="auto" w:fill="auto"/>
            <w:vAlign w:val="center"/>
          </w:tcPr>
          <w:p w:rsidR="00230743" w:rsidRPr="00802177" w:rsidRDefault="0062660D" w:rsidP="001E3005">
            <w:pPr>
              <w:jc w:val="left"/>
              <w:rPr>
                <w:szCs w:val="22"/>
              </w:rPr>
            </w:pPr>
            <w:r w:rsidRPr="00802177">
              <w:rPr>
                <w:szCs w:val="22"/>
              </w:rPr>
              <w:t>12.6%</w:t>
            </w:r>
          </w:p>
        </w:tc>
        <w:tc>
          <w:tcPr>
            <w:tcW w:w="1843" w:type="dxa"/>
            <w:shd w:val="clear" w:color="auto" w:fill="auto"/>
            <w:vAlign w:val="center"/>
          </w:tcPr>
          <w:p w:rsidR="00230743" w:rsidRPr="00802177" w:rsidRDefault="0062660D" w:rsidP="001E3005">
            <w:pPr>
              <w:jc w:val="left"/>
              <w:rPr>
                <w:szCs w:val="22"/>
              </w:rPr>
            </w:pPr>
            <w:r w:rsidRPr="00802177">
              <w:rPr>
                <w:szCs w:val="22"/>
              </w:rPr>
              <w:t>-0.5%</w:t>
            </w:r>
          </w:p>
        </w:tc>
        <w:tc>
          <w:tcPr>
            <w:tcW w:w="1984" w:type="dxa"/>
            <w:shd w:val="clear" w:color="auto" w:fill="auto"/>
            <w:vAlign w:val="center"/>
          </w:tcPr>
          <w:p w:rsidR="00230743" w:rsidRPr="00802177" w:rsidRDefault="0062660D" w:rsidP="001E3005">
            <w:pPr>
              <w:jc w:val="left"/>
              <w:rPr>
                <w:szCs w:val="22"/>
              </w:rPr>
            </w:pPr>
            <w:r w:rsidRPr="00802177">
              <w:rPr>
                <w:szCs w:val="22"/>
              </w:rPr>
              <w:t>12.6%</w:t>
            </w:r>
          </w:p>
        </w:tc>
        <w:tc>
          <w:tcPr>
            <w:tcW w:w="2127" w:type="dxa"/>
            <w:shd w:val="clear" w:color="auto" w:fill="auto"/>
            <w:vAlign w:val="center"/>
          </w:tcPr>
          <w:p w:rsidR="00230743" w:rsidRPr="00802177" w:rsidRDefault="0062660D" w:rsidP="001E3005">
            <w:pPr>
              <w:jc w:val="left"/>
              <w:rPr>
                <w:szCs w:val="22"/>
              </w:rPr>
            </w:pPr>
            <w:r w:rsidRPr="00802177">
              <w:rPr>
                <w:szCs w:val="22"/>
              </w:rPr>
              <w:t>-0.5%</w:t>
            </w:r>
          </w:p>
        </w:tc>
        <w:tc>
          <w:tcPr>
            <w:tcW w:w="2409" w:type="dxa"/>
            <w:shd w:val="clear" w:color="auto" w:fill="auto"/>
            <w:vAlign w:val="center"/>
          </w:tcPr>
          <w:p w:rsidR="00230743" w:rsidRPr="00802177" w:rsidRDefault="0062660D" w:rsidP="001E3005">
            <w:pPr>
              <w:jc w:val="left"/>
              <w:rPr>
                <w:szCs w:val="22"/>
              </w:rPr>
            </w:pPr>
            <w:r w:rsidRPr="00802177">
              <w:rPr>
                <w:szCs w:val="22"/>
              </w:rPr>
              <w:t>12.6%</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proofErr w:type="spellStart"/>
            <w:r w:rsidRPr="00FF2F9D">
              <w:rPr>
                <w:szCs w:val="22"/>
              </w:rPr>
              <w:t>Liberata</w:t>
            </w:r>
            <w:proofErr w:type="spellEnd"/>
            <w:r w:rsidRPr="00FF2F9D">
              <w:rPr>
                <w:szCs w:val="22"/>
              </w:rPr>
              <w:t xml:space="preserve"> UK Ltd (Chorley)</w:t>
            </w:r>
          </w:p>
        </w:tc>
        <w:tc>
          <w:tcPr>
            <w:tcW w:w="1842" w:type="dxa"/>
            <w:shd w:val="clear" w:color="auto" w:fill="auto"/>
            <w:vAlign w:val="center"/>
          </w:tcPr>
          <w:p w:rsidR="00230743" w:rsidRPr="00802177" w:rsidRDefault="0062660D" w:rsidP="001E3005">
            <w:pPr>
              <w:jc w:val="left"/>
              <w:rPr>
                <w:szCs w:val="22"/>
              </w:rPr>
            </w:pPr>
            <w:r w:rsidRPr="00802177">
              <w:rPr>
                <w:szCs w:val="22"/>
              </w:rPr>
              <w:t>-13.1%</w:t>
            </w:r>
          </w:p>
        </w:tc>
        <w:tc>
          <w:tcPr>
            <w:tcW w:w="1843" w:type="dxa"/>
            <w:shd w:val="clear" w:color="auto" w:fill="auto"/>
            <w:vAlign w:val="center"/>
          </w:tcPr>
          <w:p w:rsidR="00230743" w:rsidRPr="00802177" w:rsidRDefault="0062660D" w:rsidP="001E3005">
            <w:pPr>
              <w:jc w:val="left"/>
              <w:rPr>
                <w:szCs w:val="22"/>
              </w:rPr>
            </w:pPr>
            <w:r w:rsidRPr="00802177">
              <w:rPr>
                <w:szCs w:val="22"/>
              </w:rPr>
              <w:t>0.0%</w:t>
            </w:r>
          </w:p>
        </w:tc>
        <w:tc>
          <w:tcPr>
            <w:tcW w:w="1843" w:type="dxa"/>
            <w:shd w:val="clear" w:color="auto" w:fill="auto"/>
            <w:vAlign w:val="center"/>
          </w:tcPr>
          <w:p w:rsidR="00230743" w:rsidRPr="00802177" w:rsidRDefault="0062660D" w:rsidP="001E3005">
            <w:pPr>
              <w:jc w:val="left"/>
              <w:rPr>
                <w:szCs w:val="22"/>
              </w:rPr>
            </w:pPr>
            <w:r w:rsidRPr="00802177">
              <w:rPr>
                <w:szCs w:val="22"/>
              </w:rPr>
              <w:t>-13.1%</w:t>
            </w:r>
          </w:p>
        </w:tc>
        <w:tc>
          <w:tcPr>
            <w:tcW w:w="1984" w:type="dxa"/>
            <w:shd w:val="clear" w:color="auto" w:fill="auto"/>
            <w:vAlign w:val="center"/>
          </w:tcPr>
          <w:p w:rsidR="00230743" w:rsidRPr="00802177" w:rsidRDefault="0062660D" w:rsidP="001E3005">
            <w:pPr>
              <w:jc w:val="left"/>
              <w:rPr>
                <w:szCs w:val="22"/>
              </w:rPr>
            </w:pPr>
            <w:r w:rsidRPr="00802177">
              <w:rPr>
                <w:szCs w:val="22"/>
              </w:rPr>
              <w:t>0.0%</w:t>
            </w:r>
          </w:p>
        </w:tc>
        <w:tc>
          <w:tcPr>
            <w:tcW w:w="2127" w:type="dxa"/>
            <w:shd w:val="clear" w:color="auto" w:fill="auto"/>
            <w:vAlign w:val="center"/>
          </w:tcPr>
          <w:p w:rsidR="00230743" w:rsidRPr="00802177" w:rsidRDefault="0062660D" w:rsidP="001E3005">
            <w:pPr>
              <w:jc w:val="left"/>
              <w:rPr>
                <w:szCs w:val="22"/>
              </w:rPr>
            </w:pPr>
            <w:r w:rsidRPr="00802177">
              <w:rPr>
                <w:szCs w:val="22"/>
              </w:rPr>
              <w:t>-13.1%</w:t>
            </w:r>
          </w:p>
        </w:tc>
        <w:tc>
          <w:tcPr>
            <w:tcW w:w="2409" w:type="dxa"/>
            <w:shd w:val="clear" w:color="auto" w:fill="auto"/>
            <w:vAlign w:val="center"/>
          </w:tcPr>
          <w:p w:rsidR="00230743" w:rsidRPr="00802177" w:rsidRDefault="0062660D" w:rsidP="001E3005">
            <w:pPr>
              <w:jc w:val="left"/>
              <w:rPr>
                <w:szCs w:val="22"/>
              </w:rPr>
            </w:pPr>
            <w:r w:rsidRPr="00802177">
              <w:rPr>
                <w:szCs w:val="22"/>
              </w:rPr>
              <w:t>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proofErr w:type="spellStart"/>
            <w:r w:rsidRPr="00FF2F9D">
              <w:rPr>
                <w:szCs w:val="22"/>
              </w:rPr>
              <w:t>Liberata</w:t>
            </w:r>
            <w:proofErr w:type="spellEnd"/>
            <w:r w:rsidRPr="00FF2F9D">
              <w:rPr>
                <w:szCs w:val="22"/>
              </w:rPr>
              <w:t xml:space="preserve"> UK Ltd (Pendle)</w:t>
            </w:r>
          </w:p>
        </w:tc>
        <w:tc>
          <w:tcPr>
            <w:tcW w:w="1842" w:type="dxa"/>
            <w:shd w:val="clear" w:color="auto" w:fill="auto"/>
            <w:vAlign w:val="center"/>
          </w:tcPr>
          <w:p w:rsidR="00230743" w:rsidRPr="00802177" w:rsidRDefault="0062660D" w:rsidP="001E3005">
            <w:pPr>
              <w:jc w:val="left"/>
              <w:rPr>
                <w:szCs w:val="22"/>
              </w:rPr>
            </w:pPr>
            <w:r w:rsidRPr="00802177">
              <w:rPr>
                <w:szCs w:val="22"/>
              </w:rPr>
              <w:t>4.8% plus £51,000</w:t>
            </w:r>
          </w:p>
        </w:tc>
        <w:tc>
          <w:tcPr>
            <w:tcW w:w="1843" w:type="dxa"/>
            <w:shd w:val="clear" w:color="auto" w:fill="auto"/>
            <w:vAlign w:val="center"/>
          </w:tcPr>
          <w:p w:rsidR="00230743" w:rsidRPr="00802177" w:rsidRDefault="0062660D" w:rsidP="001E3005">
            <w:pPr>
              <w:jc w:val="left"/>
              <w:rPr>
                <w:szCs w:val="22"/>
              </w:rPr>
            </w:pPr>
            <w:r w:rsidRPr="00802177">
              <w:rPr>
                <w:szCs w:val="22"/>
              </w:rPr>
              <w:t>17.9% plus £51,000</w:t>
            </w:r>
          </w:p>
        </w:tc>
        <w:tc>
          <w:tcPr>
            <w:tcW w:w="1843" w:type="dxa"/>
            <w:shd w:val="clear" w:color="auto" w:fill="auto"/>
            <w:vAlign w:val="center"/>
          </w:tcPr>
          <w:p w:rsidR="00230743" w:rsidRPr="00802177" w:rsidRDefault="0062660D" w:rsidP="001E3005">
            <w:pPr>
              <w:jc w:val="left"/>
              <w:rPr>
                <w:szCs w:val="22"/>
              </w:rPr>
            </w:pPr>
            <w:r w:rsidRPr="00802177">
              <w:rPr>
                <w:szCs w:val="22"/>
              </w:rPr>
              <w:t>4.8% plus £53,100</w:t>
            </w:r>
          </w:p>
        </w:tc>
        <w:tc>
          <w:tcPr>
            <w:tcW w:w="1984" w:type="dxa"/>
            <w:shd w:val="clear" w:color="auto" w:fill="auto"/>
            <w:vAlign w:val="center"/>
          </w:tcPr>
          <w:p w:rsidR="00230743" w:rsidRPr="00802177" w:rsidRDefault="0062660D" w:rsidP="001E3005">
            <w:pPr>
              <w:jc w:val="left"/>
              <w:rPr>
                <w:szCs w:val="22"/>
              </w:rPr>
            </w:pPr>
            <w:r w:rsidRPr="00802177">
              <w:rPr>
                <w:szCs w:val="22"/>
              </w:rPr>
              <w:t>17.9% plus £53,100</w:t>
            </w:r>
          </w:p>
        </w:tc>
        <w:tc>
          <w:tcPr>
            <w:tcW w:w="2127" w:type="dxa"/>
            <w:shd w:val="clear" w:color="auto" w:fill="auto"/>
            <w:vAlign w:val="center"/>
          </w:tcPr>
          <w:p w:rsidR="00230743" w:rsidRPr="00802177" w:rsidRDefault="0062660D" w:rsidP="001E3005">
            <w:pPr>
              <w:jc w:val="left"/>
              <w:rPr>
                <w:szCs w:val="22"/>
              </w:rPr>
            </w:pPr>
            <w:r w:rsidRPr="00802177">
              <w:rPr>
                <w:szCs w:val="22"/>
              </w:rPr>
              <w:t>4.8% plus £55,300</w:t>
            </w:r>
          </w:p>
        </w:tc>
        <w:tc>
          <w:tcPr>
            <w:tcW w:w="2409" w:type="dxa"/>
            <w:shd w:val="clear" w:color="auto" w:fill="auto"/>
            <w:vAlign w:val="center"/>
          </w:tcPr>
          <w:p w:rsidR="00230743" w:rsidRPr="00802177" w:rsidRDefault="0062660D" w:rsidP="001E3005">
            <w:pPr>
              <w:jc w:val="left"/>
              <w:rPr>
                <w:szCs w:val="22"/>
              </w:rPr>
            </w:pPr>
            <w:r w:rsidRPr="00802177">
              <w:rPr>
                <w:szCs w:val="22"/>
              </w:rPr>
              <w:t>17.9% plus £55,300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 xml:space="preserve">Lostock Hall </w:t>
            </w:r>
            <w:r w:rsidRPr="00FF2F9D">
              <w:rPr>
                <w:szCs w:val="22"/>
              </w:rPr>
              <w:t>Academy Trust</w:t>
            </w:r>
          </w:p>
        </w:tc>
        <w:tc>
          <w:tcPr>
            <w:tcW w:w="1842" w:type="dxa"/>
            <w:shd w:val="clear" w:color="auto" w:fill="auto"/>
            <w:vAlign w:val="center"/>
          </w:tcPr>
          <w:p w:rsidR="00230743" w:rsidRPr="00802177" w:rsidRDefault="0062660D" w:rsidP="001E3005">
            <w:pPr>
              <w:jc w:val="left"/>
              <w:rPr>
                <w:szCs w:val="22"/>
              </w:rPr>
            </w:pPr>
            <w:r w:rsidRPr="00802177">
              <w:rPr>
                <w:szCs w:val="22"/>
              </w:rPr>
              <w:t>2.6% plus £21,200</w:t>
            </w:r>
          </w:p>
        </w:tc>
        <w:tc>
          <w:tcPr>
            <w:tcW w:w="1843" w:type="dxa"/>
            <w:shd w:val="clear" w:color="auto" w:fill="auto"/>
            <w:vAlign w:val="center"/>
          </w:tcPr>
          <w:p w:rsidR="00230743" w:rsidRPr="00802177" w:rsidRDefault="0062660D" w:rsidP="001E3005">
            <w:pPr>
              <w:jc w:val="left"/>
              <w:rPr>
                <w:szCs w:val="22"/>
              </w:rPr>
            </w:pPr>
            <w:r w:rsidRPr="00802177">
              <w:rPr>
                <w:szCs w:val="22"/>
              </w:rPr>
              <w:t>15.7% plus £21,200</w:t>
            </w:r>
          </w:p>
        </w:tc>
        <w:tc>
          <w:tcPr>
            <w:tcW w:w="1843" w:type="dxa"/>
            <w:shd w:val="clear" w:color="auto" w:fill="auto"/>
            <w:vAlign w:val="center"/>
          </w:tcPr>
          <w:p w:rsidR="00230743" w:rsidRPr="00802177" w:rsidRDefault="0062660D" w:rsidP="001E3005">
            <w:pPr>
              <w:jc w:val="left"/>
              <w:rPr>
                <w:szCs w:val="22"/>
              </w:rPr>
            </w:pPr>
            <w:r w:rsidRPr="00802177">
              <w:rPr>
                <w:szCs w:val="22"/>
              </w:rPr>
              <w:t>2.6% plus £25,200</w:t>
            </w:r>
          </w:p>
        </w:tc>
        <w:tc>
          <w:tcPr>
            <w:tcW w:w="1984" w:type="dxa"/>
            <w:shd w:val="clear" w:color="auto" w:fill="auto"/>
            <w:vAlign w:val="center"/>
          </w:tcPr>
          <w:p w:rsidR="00230743" w:rsidRPr="00802177" w:rsidRDefault="0062660D" w:rsidP="001E3005">
            <w:pPr>
              <w:jc w:val="left"/>
              <w:rPr>
                <w:szCs w:val="22"/>
              </w:rPr>
            </w:pPr>
            <w:r w:rsidRPr="00802177">
              <w:rPr>
                <w:szCs w:val="22"/>
              </w:rPr>
              <w:t>15.7% plus £25,200</w:t>
            </w:r>
          </w:p>
        </w:tc>
        <w:tc>
          <w:tcPr>
            <w:tcW w:w="2127" w:type="dxa"/>
            <w:shd w:val="clear" w:color="auto" w:fill="auto"/>
            <w:vAlign w:val="center"/>
          </w:tcPr>
          <w:p w:rsidR="00230743" w:rsidRPr="00802177" w:rsidRDefault="0062660D" w:rsidP="001E3005">
            <w:pPr>
              <w:jc w:val="left"/>
              <w:rPr>
                <w:szCs w:val="22"/>
              </w:rPr>
            </w:pPr>
            <w:r w:rsidRPr="00802177">
              <w:rPr>
                <w:szCs w:val="22"/>
              </w:rPr>
              <w:t>2.6% plus £29,400</w:t>
            </w:r>
          </w:p>
        </w:tc>
        <w:tc>
          <w:tcPr>
            <w:tcW w:w="2409" w:type="dxa"/>
            <w:shd w:val="clear" w:color="auto" w:fill="auto"/>
            <w:vAlign w:val="center"/>
          </w:tcPr>
          <w:p w:rsidR="00230743" w:rsidRPr="00802177" w:rsidRDefault="0062660D" w:rsidP="001E3005">
            <w:pPr>
              <w:jc w:val="left"/>
              <w:rPr>
                <w:szCs w:val="22"/>
              </w:rPr>
            </w:pPr>
            <w:r w:rsidRPr="00802177">
              <w:rPr>
                <w:szCs w:val="22"/>
              </w:rPr>
              <w:t>15.7% plus £29,400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Lowther Pavilions and Gardens</w:t>
            </w:r>
          </w:p>
        </w:tc>
        <w:tc>
          <w:tcPr>
            <w:tcW w:w="1842" w:type="dxa"/>
            <w:shd w:val="clear" w:color="auto" w:fill="auto"/>
            <w:vAlign w:val="center"/>
          </w:tcPr>
          <w:p w:rsidR="00230743" w:rsidRPr="00802177" w:rsidRDefault="0062660D" w:rsidP="001E3005">
            <w:pPr>
              <w:jc w:val="left"/>
              <w:rPr>
                <w:szCs w:val="22"/>
              </w:rPr>
            </w:pPr>
            <w:r w:rsidRPr="00802177">
              <w:rPr>
                <w:szCs w:val="22"/>
              </w:rPr>
              <w:t>-13.1%</w:t>
            </w:r>
          </w:p>
        </w:tc>
        <w:tc>
          <w:tcPr>
            <w:tcW w:w="1843" w:type="dxa"/>
            <w:shd w:val="clear" w:color="auto" w:fill="auto"/>
            <w:vAlign w:val="center"/>
          </w:tcPr>
          <w:p w:rsidR="00230743" w:rsidRPr="00802177" w:rsidRDefault="0062660D" w:rsidP="001E3005">
            <w:pPr>
              <w:jc w:val="left"/>
              <w:rPr>
                <w:szCs w:val="22"/>
              </w:rPr>
            </w:pPr>
            <w:r w:rsidRPr="00802177">
              <w:rPr>
                <w:szCs w:val="22"/>
              </w:rPr>
              <w:t>0.0%</w:t>
            </w:r>
          </w:p>
        </w:tc>
        <w:tc>
          <w:tcPr>
            <w:tcW w:w="1843" w:type="dxa"/>
            <w:shd w:val="clear" w:color="auto" w:fill="auto"/>
            <w:vAlign w:val="center"/>
          </w:tcPr>
          <w:p w:rsidR="00230743" w:rsidRPr="00802177" w:rsidRDefault="0062660D" w:rsidP="001E3005">
            <w:pPr>
              <w:jc w:val="left"/>
              <w:rPr>
                <w:szCs w:val="22"/>
              </w:rPr>
            </w:pPr>
            <w:r w:rsidRPr="00802177">
              <w:rPr>
                <w:szCs w:val="22"/>
              </w:rPr>
              <w:t>-13.1%</w:t>
            </w:r>
          </w:p>
        </w:tc>
        <w:tc>
          <w:tcPr>
            <w:tcW w:w="1984" w:type="dxa"/>
            <w:shd w:val="clear" w:color="auto" w:fill="auto"/>
            <w:vAlign w:val="center"/>
          </w:tcPr>
          <w:p w:rsidR="00230743" w:rsidRPr="00802177" w:rsidRDefault="0062660D" w:rsidP="001E3005">
            <w:pPr>
              <w:jc w:val="left"/>
              <w:rPr>
                <w:szCs w:val="22"/>
              </w:rPr>
            </w:pPr>
            <w:r w:rsidRPr="00802177">
              <w:rPr>
                <w:szCs w:val="22"/>
              </w:rPr>
              <w:t>0.0%</w:t>
            </w:r>
          </w:p>
        </w:tc>
        <w:tc>
          <w:tcPr>
            <w:tcW w:w="2127" w:type="dxa"/>
            <w:shd w:val="clear" w:color="auto" w:fill="auto"/>
            <w:vAlign w:val="center"/>
          </w:tcPr>
          <w:p w:rsidR="00230743" w:rsidRPr="00802177" w:rsidRDefault="0062660D" w:rsidP="001E3005">
            <w:pPr>
              <w:jc w:val="left"/>
              <w:rPr>
                <w:szCs w:val="22"/>
              </w:rPr>
            </w:pPr>
            <w:r w:rsidRPr="00802177">
              <w:rPr>
                <w:szCs w:val="22"/>
              </w:rPr>
              <w:t>-13.1%</w:t>
            </w:r>
          </w:p>
        </w:tc>
        <w:tc>
          <w:tcPr>
            <w:tcW w:w="2409" w:type="dxa"/>
            <w:shd w:val="clear" w:color="auto" w:fill="auto"/>
            <w:vAlign w:val="center"/>
          </w:tcPr>
          <w:p w:rsidR="00230743" w:rsidRPr="00802177" w:rsidRDefault="0062660D" w:rsidP="001E3005">
            <w:pPr>
              <w:jc w:val="left"/>
              <w:rPr>
                <w:szCs w:val="22"/>
              </w:rPr>
            </w:pPr>
            <w:r w:rsidRPr="00802177">
              <w:rPr>
                <w:szCs w:val="22"/>
              </w:rPr>
              <w:t>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Lytham Schools Foundation</w:t>
            </w:r>
          </w:p>
        </w:tc>
        <w:tc>
          <w:tcPr>
            <w:tcW w:w="1842" w:type="dxa"/>
            <w:shd w:val="clear" w:color="auto" w:fill="auto"/>
            <w:vAlign w:val="center"/>
          </w:tcPr>
          <w:p w:rsidR="00230743" w:rsidRPr="00802177" w:rsidRDefault="0062660D" w:rsidP="001E3005">
            <w:pPr>
              <w:jc w:val="left"/>
              <w:rPr>
                <w:szCs w:val="22"/>
              </w:rPr>
            </w:pPr>
            <w:r w:rsidRPr="00802177">
              <w:rPr>
                <w:szCs w:val="22"/>
              </w:rPr>
              <w:t>3.4% plus £12,000</w:t>
            </w:r>
          </w:p>
        </w:tc>
        <w:tc>
          <w:tcPr>
            <w:tcW w:w="1843" w:type="dxa"/>
            <w:shd w:val="clear" w:color="auto" w:fill="auto"/>
            <w:vAlign w:val="center"/>
          </w:tcPr>
          <w:p w:rsidR="00230743" w:rsidRPr="00802177" w:rsidRDefault="0062660D" w:rsidP="001E3005">
            <w:pPr>
              <w:jc w:val="left"/>
              <w:rPr>
                <w:szCs w:val="22"/>
              </w:rPr>
            </w:pPr>
            <w:r w:rsidRPr="00802177">
              <w:rPr>
                <w:szCs w:val="22"/>
              </w:rPr>
              <w:t>16.5% plus £12,000</w:t>
            </w:r>
          </w:p>
        </w:tc>
        <w:tc>
          <w:tcPr>
            <w:tcW w:w="1843" w:type="dxa"/>
            <w:shd w:val="clear" w:color="auto" w:fill="auto"/>
            <w:vAlign w:val="center"/>
          </w:tcPr>
          <w:p w:rsidR="00230743" w:rsidRPr="00802177" w:rsidRDefault="0062660D" w:rsidP="001E3005">
            <w:pPr>
              <w:jc w:val="left"/>
              <w:rPr>
                <w:szCs w:val="22"/>
              </w:rPr>
            </w:pPr>
            <w:r w:rsidRPr="00802177">
              <w:rPr>
                <w:szCs w:val="22"/>
              </w:rPr>
              <w:t>3.4% plus £12,500</w:t>
            </w:r>
          </w:p>
        </w:tc>
        <w:tc>
          <w:tcPr>
            <w:tcW w:w="1984" w:type="dxa"/>
            <w:shd w:val="clear" w:color="auto" w:fill="auto"/>
            <w:vAlign w:val="center"/>
          </w:tcPr>
          <w:p w:rsidR="00230743" w:rsidRPr="00802177" w:rsidRDefault="0062660D" w:rsidP="001E3005">
            <w:pPr>
              <w:jc w:val="left"/>
              <w:rPr>
                <w:szCs w:val="22"/>
              </w:rPr>
            </w:pPr>
            <w:r w:rsidRPr="00802177">
              <w:rPr>
                <w:szCs w:val="22"/>
              </w:rPr>
              <w:t>16.5% plus £12,500</w:t>
            </w:r>
          </w:p>
        </w:tc>
        <w:tc>
          <w:tcPr>
            <w:tcW w:w="2127" w:type="dxa"/>
            <w:shd w:val="clear" w:color="auto" w:fill="auto"/>
            <w:vAlign w:val="center"/>
          </w:tcPr>
          <w:p w:rsidR="00230743" w:rsidRPr="00802177" w:rsidRDefault="0062660D" w:rsidP="001E3005">
            <w:pPr>
              <w:jc w:val="left"/>
              <w:rPr>
                <w:szCs w:val="22"/>
              </w:rPr>
            </w:pPr>
            <w:r w:rsidRPr="00802177">
              <w:rPr>
                <w:szCs w:val="22"/>
              </w:rPr>
              <w:t>3.4% plus £13,000</w:t>
            </w:r>
          </w:p>
        </w:tc>
        <w:tc>
          <w:tcPr>
            <w:tcW w:w="2409" w:type="dxa"/>
            <w:shd w:val="clear" w:color="auto" w:fill="auto"/>
            <w:vAlign w:val="center"/>
          </w:tcPr>
          <w:p w:rsidR="00230743" w:rsidRPr="00802177" w:rsidRDefault="0062660D" w:rsidP="001E3005">
            <w:pPr>
              <w:jc w:val="left"/>
              <w:rPr>
                <w:szCs w:val="22"/>
              </w:rPr>
            </w:pPr>
            <w:r w:rsidRPr="00802177">
              <w:rPr>
                <w:szCs w:val="22"/>
              </w:rPr>
              <w:t>16.5% plus £13,000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Mack Trading Ltd</w:t>
            </w:r>
          </w:p>
        </w:tc>
        <w:tc>
          <w:tcPr>
            <w:tcW w:w="1842" w:type="dxa"/>
            <w:shd w:val="clear" w:color="auto" w:fill="auto"/>
            <w:vAlign w:val="center"/>
          </w:tcPr>
          <w:p w:rsidR="00230743" w:rsidRPr="00802177" w:rsidRDefault="0062660D" w:rsidP="001E3005">
            <w:pPr>
              <w:jc w:val="left"/>
              <w:rPr>
                <w:szCs w:val="22"/>
              </w:rPr>
            </w:pPr>
            <w:r w:rsidRPr="00802177">
              <w:rPr>
                <w:szCs w:val="22"/>
              </w:rPr>
              <w:t>3.8%</w:t>
            </w:r>
          </w:p>
        </w:tc>
        <w:tc>
          <w:tcPr>
            <w:tcW w:w="1843" w:type="dxa"/>
            <w:shd w:val="clear" w:color="auto" w:fill="auto"/>
            <w:vAlign w:val="center"/>
          </w:tcPr>
          <w:p w:rsidR="00230743" w:rsidRPr="00802177" w:rsidRDefault="0062660D" w:rsidP="001E3005">
            <w:pPr>
              <w:jc w:val="left"/>
              <w:rPr>
                <w:szCs w:val="22"/>
              </w:rPr>
            </w:pPr>
            <w:r w:rsidRPr="00802177">
              <w:rPr>
                <w:szCs w:val="22"/>
              </w:rPr>
              <w:t>16.9%</w:t>
            </w:r>
          </w:p>
        </w:tc>
        <w:tc>
          <w:tcPr>
            <w:tcW w:w="1843" w:type="dxa"/>
            <w:shd w:val="clear" w:color="auto" w:fill="auto"/>
            <w:vAlign w:val="center"/>
          </w:tcPr>
          <w:p w:rsidR="00230743" w:rsidRPr="00802177" w:rsidRDefault="0062660D" w:rsidP="001E3005">
            <w:pPr>
              <w:jc w:val="left"/>
              <w:rPr>
                <w:szCs w:val="22"/>
              </w:rPr>
            </w:pPr>
            <w:r w:rsidRPr="00802177">
              <w:rPr>
                <w:szCs w:val="22"/>
              </w:rPr>
              <w:t>3.8%</w:t>
            </w:r>
          </w:p>
        </w:tc>
        <w:tc>
          <w:tcPr>
            <w:tcW w:w="1984" w:type="dxa"/>
            <w:shd w:val="clear" w:color="auto" w:fill="auto"/>
            <w:vAlign w:val="center"/>
          </w:tcPr>
          <w:p w:rsidR="00230743" w:rsidRPr="00802177" w:rsidRDefault="0062660D" w:rsidP="001E3005">
            <w:pPr>
              <w:jc w:val="left"/>
              <w:rPr>
                <w:szCs w:val="22"/>
              </w:rPr>
            </w:pPr>
            <w:r w:rsidRPr="00802177">
              <w:rPr>
                <w:szCs w:val="22"/>
              </w:rPr>
              <w:t>16.9%</w:t>
            </w:r>
          </w:p>
        </w:tc>
        <w:tc>
          <w:tcPr>
            <w:tcW w:w="2127" w:type="dxa"/>
            <w:shd w:val="clear" w:color="auto" w:fill="auto"/>
            <w:vAlign w:val="center"/>
          </w:tcPr>
          <w:p w:rsidR="00230743" w:rsidRPr="00802177" w:rsidRDefault="0062660D" w:rsidP="001E3005">
            <w:pPr>
              <w:jc w:val="left"/>
              <w:rPr>
                <w:szCs w:val="22"/>
              </w:rPr>
            </w:pPr>
            <w:r w:rsidRPr="00802177">
              <w:rPr>
                <w:szCs w:val="22"/>
              </w:rPr>
              <w:t>3.8%</w:t>
            </w:r>
          </w:p>
        </w:tc>
        <w:tc>
          <w:tcPr>
            <w:tcW w:w="2409" w:type="dxa"/>
            <w:shd w:val="clear" w:color="auto" w:fill="auto"/>
            <w:vAlign w:val="center"/>
          </w:tcPr>
          <w:p w:rsidR="00230743" w:rsidRPr="00802177" w:rsidRDefault="0062660D" w:rsidP="001E3005">
            <w:pPr>
              <w:jc w:val="left"/>
              <w:rPr>
                <w:szCs w:val="22"/>
              </w:rPr>
            </w:pPr>
            <w:r w:rsidRPr="00802177">
              <w:rPr>
                <w:szCs w:val="22"/>
              </w:rPr>
              <w:t>16.9%</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Maharishi School (Free School)</w:t>
            </w:r>
          </w:p>
        </w:tc>
        <w:tc>
          <w:tcPr>
            <w:tcW w:w="1842" w:type="dxa"/>
            <w:shd w:val="clear" w:color="auto" w:fill="auto"/>
            <w:vAlign w:val="center"/>
          </w:tcPr>
          <w:p w:rsidR="00230743" w:rsidRPr="00802177" w:rsidRDefault="0062660D" w:rsidP="001E3005">
            <w:pPr>
              <w:jc w:val="left"/>
              <w:rPr>
                <w:szCs w:val="22"/>
              </w:rPr>
            </w:pPr>
            <w:r w:rsidRPr="00802177">
              <w:rPr>
                <w:szCs w:val="22"/>
              </w:rPr>
              <w:t>3.6%</w:t>
            </w:r>
          </w:p>
        </w:tc>
        <w:tc>
          <w:tcPr>
            <w:tcW w:w="1843" w:type="dxa"/>
            <w:shd w:val="clear" w:color="auto" w:fill="auto"/>
            <w:vAlign w:val="center"/>
          </w:tcPr>
          <w:p w:rsidR="00230743" w:rsidRPr="00802177" w:rsidRDefault="0062660D" w:rsidP="001E3005">
            <w:pPr>
              <w:jc w:val="left"/>
              <w:rPr>
                <w:szCs w:val="22"/>
              </w:rPr>
            </w:pPr>
            <w:r w:rsidRPr="00802177">
              <w:rPr>
                <w:szCs w:val="22"/>
              </w:rPr>
              <w:t>16.7%</w:t>
            </w:r>
          </w:p>
        </w:tc>
        <w:tc>
          <w:tcPr>
            <w:tcW w:w="1843" w:type="dxa"/>
            <w:shd w:val="clear" w:color="auto" w:fill="auto"/>
            <w:vAlign w:val="center"/>
          </w:tcPr>
          <w:p w:rsidR="00230743" w:rsidRPr="00802177" w:rsidRDefault="0062660D" w:rsidP="001E3005">
            <w:pPr>
              <w:jc w:val="left"/>
              <w:rPr>
                <w:szCs w:val="22"/>
              </w:rPr>
            </w:pPr>
            <w:r w:rsidRPr="00802177">
              <w:rPr>
                <w:szCs w:val="22"/>
              </w:rPr>
              <w:t>3.6%</w:t>
            </w:r>
          </w:p>
        </w:tc>
        <w:tc>
          <w:tcPr>
            <w:tcW w:w="1984" w:type="dxa"/>
            <w:shd w:val="clear" w:color="auto" w:fill="auto"/>
            <w:vAlign w:val="center"/>
          </w:tcPr>
          <w:p w:rsidR="00230743" w:rsidRPr="00802177" w:rsidRDefault="0062660D" w:rsidP="001E3005">
            <w:pPr>
              <w:jc w:val="left"/>
              <w:rPr>
                <w:szCs w:val="22"/>
              </w:rPr>
            </w:pPr>
            <w:r w:rsidRPr="00802177">
              <w:rPr>
                <w:szCs w:val="22"/>
              </w:rPr>
              <w:t>16.7%</w:t>
            </w:r>
          </w:p>
        </w:tc>
        <w:tc>
          <w:tcPr>
            <w:tcW w:w="2127" w:type="dxa"/>
            <w:shd w:val="clear" w:color="auto" w:fill="auto"/>
            <w:vAlign w:val="center"/>
          </w:tcPr>
          <w:p w:rsidR="00230743" w:rsidRPr="00802177" w:rsidRDefault="0062660D" w:rsidP="001E3005">
            <w:pPr>
              <w:jc w:val="left"/>
              <w:rPr>
                <w:szCs w:val="22"/>
              </w:rPr>
            </w:pPr>
            <w:r w:rsidRPr="00802177">
              <w:rPr>
                <w:szCs w:val="22"/>
              </w:rPr>
              <w:t>3.6%</w:t>
            </w:r>
          </w:p>
        </w:tc>
        <w:tc>
          <w:tcPr>
            <w:tcW w:w="2409" w:type="dxa"/>
            <w:shd w:val="clear" w:color="auto" w:fill="auto"/>
            <w:vAlign w:val="center"/>
          </w:tcPr>
          <w:p w:rsidR="00230743" w:rsidRPr="00802177" w:rsidRDefault="0062660D" w:rsidP="001E3005">
            <w:pPr>
              <w:jc w:val="left"/>
              <w:rPr>
                <w:szCs w:val="22"/>
              </w:rPr>
            </w:pPr>
            <w:r w:rsidRPr="00802177">
              <w:rPr>
                <w:szCs w:val="22"/>
              </w:rPr>
              <w:t>16.7%</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Marketing Lancashire Ltd</w:t>
            </w:r>
          </w:p>
        </w:tc>
        <w:tc>
          <w:tcPr>
            <w:tcW w:w="1842" w:type="dxa"/>
            <w:shd w:val="clear" w:color="auto" w:fill="auto"/>
            <w:vAlign w:val="center"/>
          </w:tcPr>
          <w:p w:rsidR="00230743" w:rsidRPr="00802177" w:rsidRDefault="0062660D" w:rsidP="001E3005">
            <w:pPr>
              <w:jc w:val="left"/>
              <w:rPr>
                <w:szCs w:val="22"/>
              </w:rPr>
            </w:pPr>
            <w:r w:rsidRPr="00802177">
              <w:rPr>
                <w:szCs w:val="22"/>
              </w:rPr>
              <w:t>-0.2% plus £3,300</w:t>
            </w:r>
          </w:p>
        </w:tc>
        <w:tc>
          <w:tcPr>
            <w:tcW w:w="1843" w:type="dxa"/>
            <w:shd w:val="clear" w:color="auto" w:fill="auto"/>
            <w:vAlign w:val="center"/>
          </w:tcPr>
          <w:p w:rsidR="00230743" w:rsidRPr="00802177" w:rsidRDefault="0062660D" w:rsidP="001E3005">
            <w:pPr>
              <w:jc w:val="left"/>
              <w:rPr>
                <w:szCs w:val="22"/>
              </w:rPr>
            </w:pPr>
            <w:r w:rsidRPr="00802177">
              <w:rPr>
                <w:szCs w:val="22"/>
              </w:rPr>
              <w:t>12.9% plus £3,300</w:t>
            </w:r>
          </w:p>
        </w:tc>
        <w:tc>
          <w:tcPr>
            <w:tcW w:w="1843" w:type="dxa"/>
            <w:shd w:val="clear" w:color="auto" w:fill="auto"/>
            <w:vAlign w:val="center"/>
          </w:tcPr>
          <w:p w:rsidR="00230743" w:rsidRPr="00802177" w:rsidRDefault="0062660D" w:rsidP="001E3005">
            <w:pPr>
              <w:jc w:val="left"/>
              <w:rPr>
                <w:szCs w:val="22"/>
              </w:rPr>
            </w:pPr>
            <w:r w:rsidRPr="00802177">
              <w:rPr>
                <w:szCs w:val="22"/>
              </w:rPr>
              <w:t>-0.2% plus £5,100</w:t>
            </w:r>
          </w:p>
        </w:tc>
        <w:tc>
          <w:tcPr>
            <w:tcW w:w="1984" w:type="dxa"/>
            <w:shd w:val="clear" w:color="auto" w:fill="auto"/>
            <w:vAlign w:val="center"/>
          </w:tcPr>
          <w:p w:rsidR="00230743" w:rsidRPr="00802177" w:rsidRDefault="0062660D" w:rsidP="001E3005">
            <w:pPr>
              <w:jc w:val="left"/>
              <w:rPr>
                <w:szCs w:val="22"/>
              </w:rPr>
            </w:pPr>
            <w:r w:rsidRPr="00802177">
              <w:rPr>
                <w:szCs w:val="22"/>
              </w:rPr>
              <w:t>12.9% plus £5,100</w:t>
            </w:r>
          </w:p>
        </w:tc>
        <w:tc>
          <w:tcPr>
            <w:tcW w:w="2127" w:type="dxa"/>
            <w:shd w:val="clear" w:color="auto" w:fill="auto"/>
            <w:vAlign w:val="center"/>
          </w:tcPr>
          <w:p w:rsidR="00230743" w:rsidRPr="00802177" w:rsidRDefault="0062660D" w:rsidP="001E3005">
            <w:pPr>
              <w:jc w:val="left"/>
              <w:rPr>
                <w:szCs w:val="22"/>
              </w:rPr>
            </w:pPr>
            <w:r w:rsidRPr="00802177">
              <w:rPr>
                <w:szCs w:val="22"/>
              </w:rPr>
              <w:t>-0.2% plus £7,000</w:t>
            </w:r>
          </w:p>
        </w:tc>
        <w:tc>
          <w:tcPr>
            <w:tcW w:w="2409" w:type="dxa"/>
            <w:shd w:val="clear" w:color="auto" w:fill="auto"/>
            <w:vAlign w:val="center"/>
          </w:tcPr>
          <w:p w:rsidR="00230743" w:rsidRPr="00802177" w:rsidRDefault="0062660D" w:rsidP="001E3005">
            <w:pPr>
              <w:jc w:val="left"/>
              <w:rPr>
                <w:szCs w:val="22"/>
              </w:rPr>
            </w:pPr>
            <w:r w:rsidRPr="00802177">
              <w:rPr>
                <w:szCs w:val="22"/>
              </w:rPr>
              <w:t>12.9% plus £7,000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May Gurney Fleet &amp; Passenger Services Limited</w:t>
            </w:r>
          </w:p>
        </w:tc>
        <w:tc>
          <w:tcPr>
            <w:tcW w:w="1842" w:type="dxa"/>
            <w:shd w:val="clear" w:color="auto" w:fill="auto"/>
            <w:vAlign w:val="center"/>
          </w:tcPr>
          <w:p w:rsidR="00230743" w:rsidRPr="00802177" w:rsidRDefault="0062660D" w:rsidP="001E3005">
            <w:pPr>
              <w:jc w:val="left"/>
              <w:rPr>
                <w:szCs w:val="22"/>
              </w:rPr>
            </w:pPr>
            <w:r w:rsidRPr="00802177">
              <w:rPr>
                <w:szCs w:val="22"/>
              </w:rPr>
              <w:t>-0.8%</w:t>
            </w:r>
          </w:p>
        </w:tc>
        <w:tc>
          <w:tcPr>
            <w:tcW w:w="1843" w:type="dxa"/>
            <w:shd w:val="clear" w:color="auto" w:fill="auto"/>
            <w:vAlign w:val="center"/>
          </w:tcPr>
          <w:p w:rsidR="00230743" w:rsidRPr="00802177" w:rsidRDefault="0062660D" w:rsidP="001E3005">
            <w:pPr>
              <w:jc w:val="left"/>
              <w:rPr>
                <w:szCs w:val="22"/>
              </w:rPr>
            </w:pPr>
            <w:r w:rsidRPr="00802177">
              <w:rPr>
                <w:szCs w:val="22"/>
              </w:rPr>
              <w:t>12.3%</w:t>
            </w:r>
          </w:p>
        </w:tc>
        <w:tc>
          <w:tcPr>
            <w:tcW w:w="1843" w:type="dxa"/>
            <w:shd w:val="clear" w:color="auto" w:fill="auto"/>
            <w:vAlign w:val="center"/>
          </w:tcPr>
          <w:p w:rsidR="00230743" w:rsidRPr="00802177" w:rsidRDefault="0062660D" w:rsidP="001E3005">
            <w:pPr>
              <w:jc w:val="left"/>
              <w:rPr>
                <w:szCs w:val="22"/>
              </w:rPr>
            </w:pPr>
            <w:r w:rsidRPr="00802177">
              <w:rPr>
                <w:szCs w:val="22"/>
              </w:rPr>
              <w:t>-0.8%</w:t>
            </w:r>
          </w:p>
        </w:tc>
        <w:tc>
          <w:tcPr>
            <w:tcW w:w="1984" w:type="dxa"/>
            <w:shd w:val="clear" w:color="auto" w:fill="auto"/>
            <w:vAlign w:val="center"/>
          </w:tcPr>
          <w:p w:rsidR="00230743" w:rsidRPr="00802177" w:rsidRDefault="0062660D" w:rsidP="001E3005">
            <w:pPr>
              <w:jc w:val="left"/>
              <w:rPr>
                <w:szCs w:val="22"/>
              </w:rPr>
            </w:pPr>
            <w:r w:rsidRPr="00802177">
              <w:rPr>
                <w:szCs w:val="22"/>
              </w:rPr>
              <w:t>12.3%</w:t>
            </w:r>
          </w:p>
        </w:tc>
        <w:tc>
          <w:tcPr>
            <w:tcW w:w="2127" w:type="dxa"/>
            <w:shd w:val="clear" w:color="auto" w:fill="auto"/>
            <w:vAlign w:val="center"/>
          </w:tcPr>
          <w:p w:rsidR="00230743" w:rsidRPr="00802177" w:rsidRDefault="0062660D" w:rsidP="001E3005">
            <w:pPr>
              <w:jc w:val="left"/>
              <w:rPr>
                <w:szCs w:val="22"/>
              </w:rPr>
            </w:pPr>
            <w:r w:rsidRPr="00802177">
              <w:rPr>
                <w:szCs w:val="22"/>
              </w:rPr>
              <w:t>-0.8%</w:t>
            </w:r>
          </w:p>
        </w:tc>
        <w:tc>
          <w:tcPr>
            <w:tcW w:w="2409" w:type="dxa"/>
            <w:shd w:val="clear" w:color="auto" w:fill="auto"/>
            <w:vAlign w:val="center"/>
          </w:tcPr>
          <w:p w:rsidR="00230743" w:rsidRPr="00802177" w:rsidRDefault="0062660D" w:rsidP="001E3005">
            <w:pPr>
              <w:jc w:val="left"/>
              <w:rPr>
                <w:szCs w:val="22"/>
              </w:rPr>
            </w:pPr>
            <w:r w:rsidRPr="00802177">
              <w:rPr>
                <w:szCs w:val="22"/>
              </w:rPr>
              <w:t>12.3%</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Mellor's (Bishop Rawstorne)</w:t>
            </w:r>
          </w:p>
        </w:tc>
        <w:tc>
          <w:tcPr>
            <w:tcW w:w="1842" w:type="dxa"/>
            <w:shd w:val="clear" w:color="auto" w:fill="auto"/>
            <w:vAlign w:val="center"/>
          </w:tcPr>
          <w:p w:rsidR="00230743" w:rsidRPr="00802177" w:rsidRDefault="0062660D" w:rsidP="001E3005">
            <w:pPr>
              <w:jc w:val="left"/>
              <w:rPr>
                <w:szCs w:val="22"/>
              </w:rPr>
            </w:pPr>
            <w:r w:rsidRPr="00802177">
              <w:rPr>
                <w:szCs w:val="22"/>
              </w:rPr>
              <w:t>4.5%</w:t>
            </w:r>
          </w:p>
        </w:tc>
        <w:tc>
          <w:tcPr>
            <w:tcW w:w="1843" w:type="dxa"/>
            <w:shd w:val="clear" w:color="auto" w:fill="auto"/>
            <w:vAlign w:val="center"/>
          </w:tcPr>
          <w:p w:rsidR="00230743" w:rsidRPr="00802177" w:rsidRDefault="0062660D" w:rsidP="001E3005">
            <w:pPr>
              <w:jc w:val="left"/>
              <w:rPr>
                <w:szCs w:val="22"/>
              </w:rPr>
            </w:pPr>
            <w:r w:rsidRPr="00802177">
              <w:rPr>
                <w:szCs w:val="22"/>
              </w:rPr>
              <w:t>17.6%</w:t>
            </w:r>
          </w:p>
        </w:tc>
        <w:tc>
          <w:tcPr>
            <w:tcW w:w="1843" w:type="dxa"/>
            <w:shd w:val="clear" w:color="auto" w:fill="auto"/>
            <w:vAlign w:val="center"/>
          </w:tcPr>
          <w:p w:rsidR="00230743" w:rsidRPr="00802177" w:rsidRDefault="0062660D" w:rsidP="001E3005">
            <w:pPr>
              <w:jc w:val="left"/>
              <w:rPr>
                <w:szCs w:val="22"/>
              </w:rPr>
            </w:pPr>
            <w:r w:rsidRPr="00802177">
              <w:rPr>
                <w:szCs w:val="22"/>
              </w:rPr>
              <w:t>4.5%</w:t>
            </w:r>
          </w:p>
        </w:tc>
        <w:tc>
          <w:tcPr>
            <w:tcW w:w="1984" w:type="dxa"/>
            <w:shd w:val="clear" w:color="auto" w:fill="auto"/>
            <w:vAlign w:val="center"/>
          </w:tcPr>
          <w:p w:rsidR="00230743" w:rsidRPr="00802177" w:rsidRDefault="0062660D" w:rsidP="001E3005">
            <w:pPr>
              <w:jc w:val="left"/>
              <w:rPr>
                <w:szCs w:val="22"/>
              </w:rPr>
            </w:pPr>
            <w:r w:rsidRPr="00802177">
              <w:rPr>
                <w:szCs w:val="22"/>
              </w:rPr>
              <w:t>17.6%</w:t>
            </w:r>
          </w:p>
        </w:tc>
        <w:tc>
          <w:tcPr>
            <w:tcW w:w="2127" w:type="dxa"/>
            <w:shd w:val="clear" w:color="auto" w:fill="auto"/>
            <w:vAlign w:val="center"/>
          </w:tcPr>
          <w:p w:rsidR="00230743" w:rsidRPr="00802177" w:rsidRDefault="0062660D" w:rsidP="001E3005">
            <w:pPr>
              <w:jc w:val="left"/>
              <w:rPr>
                <w:szCs w:val="22"/>
              </w:rPr>
            </w:pPr>
            <w:r w:rsidRPr="00802177">
              <w:rPr>
                <w:szCs w:val="22"/>
              </w:rPr>
              <w:t>4.5%</w:t>
            </w:r>
          </w:p>
        </w:tc>
        <w:tc>
          <w:tcPr>
            <w:tcW w:w="2409" w:type="dxa"/>
            <w:shd w:val="clear" w:color="auto" w:fill="auto"/>
            <w:vAlign w:val="center"/>
          </w:tcPr>
          <w:p w:rsidR="00230743" w:rsidRPr="00802177" w:rsidRDefault="0062660D" w:rsidP="001E3005">
            <w:pPr>
              <w:jc w:val="left"/>
              <w:rPr>
                <w:szCs w:val="22"/>
              </w:rPr>
            </w:pPr>
            <w:r w:rsidRPr="00802177">
              <w:rPr>
                <w:szCs w:val="22"/>
              </w:rPr>
              <w:t>17.6%</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Mellor's (Hambleton Primary)</w:t>
            </w:r>
          </w:p>
        </w:tc>
        <w:tc>
          <w:tcPr>
            <w:tcW w:w="1842" w:type="dxa"/>
            <w:shd w:val="clear" w:color="auto" w:fill="auto"/>
            <w:vAlign w:val="center"/>
          </w:tcPr>
          <w:p w:rsidR="00230743" w:rsidRPr="00802177" w:rsidRDefault="0062660D" w:rsidP="001E3005">
            <w:pPr>
              <w:jc w:val="left"/>
              <w:rPr>
                <w:szCs w:val="22"/>
              </w:rPr>
            </w:pPr>
            <w:r w:rsidRPr="00802177">
              <w:rPr>
                <w:szCs w:val="22"/>
              </w:rPr>
              <w:t>7.3%</w:t>
            </w:r>
          </w:p>
        </w:tc>
        <w:tc>
          <w:tcPr>
            <w:tcW w:w="1843" w:type="dxa"/>
            <w:shd w:val="clear" w:color="auto" w:fill="auto"/>
            <w:vAlign w:val="center"/>
          </w:tcPr>
          <w:p w:rsidR="00230743" w:rsidRPr="00802177" w:rsidRDefault="0062660D" w:rsidP="001E3005">
            <w:pPr>
              <w:jc w:val="left"/>
              <w:rPr>
                <w:szCs w:val="22"/>
              </w:rPr>
            </w:pPr>
            <w:r w:rsidRPr="00802177">
              <w:rPr>
                <w:szCs w:val="22"/>
              </w:rPr>
              <w:t>20.4%</w:t>
            </w:r>
          </w:p>
        </w:tc>
        <w:tc>
          <w:tcPr>
            <w:tcW w:w="1843" w:type="dxa"/>
            <w:shd w:val="clear" w:color="auto" w:fill="auto"/>
            <w:vAlign w:val="center"/>
          </w:tcPr>
          <w:p w:rsidR="00230743" w:rsidRPr="00802177" w:rsidRDefault="0062660D" w:rsidP="001E3005">
            <w:pPr>
              <w:jc w:val="left"/>
              <w:rPr>
                <w:szCs w:val="22"/>
              </w:rPr>
            </w:pPr>
            <w:r w:rsidRPr="00802177">
              <w:rPr>
                <w:szCs w:val="22"/>
              </w:rPr>
              <w:t>8.6%</w:t>
            </w:r>
          </w:p>
        </w:tc>
        <w:tc>
          <w:tcPr>
            <w:tcW w:w="1984" w:type="dxa"/>
            <w:shd w:val="clear" w:color="auto" w:fill="auto"/>
            <w:vAlign w:val="center"/>
          </w:tcPr>
          <w:p w:rsidR="00230743" w:rsidRPr="00802177" w:rsidRDefault="0062660D" w:rsidP="001E3005">
            <w:pPr>
              <w:jc w:val="left"/>
              <w:rPr>
                <w:szCs w:val="22"/>
              </w:rPr>
            </w:pPr>
            <w:r w:rsidRPr="00802177">
              <w:rPr>
                <w:szCs w:val="22"/>
              </w:rPr>
              <w:t>21.7%</w:t>
            </w:r>
          </w:p>
        </w:tc>
        <w:tc>
          <w:tcPr>
            <w:tcW w:w="2127" w:type="dxa"/>
            <w:shd w:val="clear" w:color="auto" w:fill="auto"/>
            <w:vAlign w:val="center"/>
          </w:tcPr>
          <w:p w:rsidR="00230743" w:rsidRPr="00802177" w:rsidRDefault="0062660D" w:rsidP="001E3005">
            <w:pPr>
              <w:jc w:val="left"/>
              <w:rPr>
                <w:szCs w:val="22"/>
              </w:rPr>
            </w:pPr>
            <w:r w:rsidRPr="00802177">
              <w:rPr>
                <w:szCs w:val="22"/>
              </w:rPr>
              <w:t>9.8%</w:t>
            </w:r>
          </w:p>
        </w:tc>
        <w:tc>
          <w:tcPr>
            <w:tcW w:w="2409" w:type="dxa"/>
            <w:shd w:val="clear" w:color="auto" w:fill="auto"/>
            <w:vAlign w:val="center"/>
          </w:tcPr>
          <w:p w:rsidR="00230743" w:rsidRPr="00802177" w:rsidRDefault="0062660D" w:rsidP="001E3005">
            <w:pPr>
              <w:jc w:val="left"/>
              <w:rPr>
                <w:szCs w:val="22"/>
              </w:rPr>
            </w:pPr>
            <w:r w:rsidRPr="00802177">
              <w:rPr>
                <w:szCs w:val="22"/>
              </w:rPr>
              <w:t>22.9%</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Mellor's (Worden Sports College)</w:t>
            </w:r>
          </w:p>
        </w:tc>
        <w:tc>
          <w:tcPr>
            <w:tcW w:w="1842" w:type="dxa"/>
            <w:shd w:val="clear" w:color="auto" w:fill="auto"/>
            <w:vAlign w:val="center"/>
          </w:tcPr>
          <w:p w:rsidR="00230743" w:rsidRPr="00802177" w:rsidRDefault="0062660D" w:rsidP="001E3005">
            <w:pPr>
              <w:jc w:val="left"/>
              <w:rPr>
                <w:szCs w:val="22"/>
              </w:rPr>
            </w:pPr>
            <w:r w:rsidRPr="00802177">
              <w:rPr>
                <w:szCs w:val="22"/>
              </w:rPr>
              <w:t>-1.4%</w:t>
            </w:r>
          </w:p>
        </w:tc>
        <w:tc>
          <w:tcPr>
            <w:tcW w:w="1843" w:type="dxa"/>
            <w:shd w:val="clear" w:color="auto" w:fill="auto"/>
            <w:vAlign w:val="center"/>
          </w:tcPr>
          <w:p w:rsidR="00230743" w:rsidRPr="00802177" w:rsidRDefault="0062660D" w:rsidP="001E3005">
            <w:pPr>
              <w:jc w:val="left"/>
              <w:rPr>
                <w:szCs w:val="22"/>
              </w:rPr>
            </w:pPr>
            <w:r w:rsidRPr="00802177">
              <w:rPr>
                <w:szCs w:val="22"/>
              </w:rPr>
              <w:t>11.7%</w:t>
            </w:r>
          </w:p>
        </w:tc>
        <w:tc>
          <w:tcPr>
            <w:tcW w:w="1843" w:type="dxa"/>
            <w:shd w:val="clear" w:color="auto" w:fill="auto"/>
            <w:vAlign w:val="center"/>
          </w:tcPr>
          <w:p w:rsidR="00230743" w:rsidRPr="00802177" w:rsidRDefault="0062660D" w:rsidP="001E3005">
            <w:pPr>
              <w:jc w:val="left"/>
              <w:rPr>
                <w:szCs w:val="22"/>
              </w:rPr>
            </w:pPr>
            <w:r w:rsidRPr="00802177">
              <w:rPr>
                <w:szCs w:val="22"/>
              </w:rPr>
              <w:t>-1.4%</w:t>
            </w:r>
          </w:p>
        </w:tc>
        <w:tc>
          <w:tcPr>
            <w:tcW w:w="1984" w:type="dxa"/>
            <w:shd w:val="clear" w:color="auto" w:fill="auto"/>
            <w:vAlign w:val="center"/>
          </w:tcPr>
          <w:p w:rsidR="00230743" w:rsidRPr="00802177" w:rsidRDefault="0062660D" w:rsidP="001E3005">
            <w:pPr>
              <w:jc w:val="left"/>
              <w:rPr>
                <w:szCs w:val="22"/>
              </w:rPr>
            </w:pPr>
            <w:r w:rsidRPr="00802177">
              <w:rPr>
                <w:szCs w:val="22"/>
              </w:rPr>
              <w:t>11.7%</w:t>
            </w:r>
          </w:p>
        </w:tc>
        <w:tc>
          <w:tcPr>
            <w:tcW w:w="2127" w:type="dxa"/>
            <w:shd w:val="clear" w:color="auto" w:fill="auto"/>
            <w:vAlign w:val="center"/>
          </w:tcPr>
          <w:p w:rsidR="00230743" w:rsidRPr="00802177" w:rsidRDefault="0062660D" w:rsidP="001E3005">
            <w:pPr>
              <w:jc w:val="left"/>
              <w:rPr>
                <w:szCs w:val="22"/>
              </w:rPr>
            </w:pPr>
            <w:r w:rsidRPr="00802177">
              <w:rPr>
                <w:szCs w:val="22"/>
              </w:rPr>
              <w:t>-1.4%</w:t>
            </w:r>
          </w:p>
        </w:tc>
        <w:tc>
          <w:tcPr>
            <w:tcW w:w="2409" w:type="dxa"/>
            <w:shd w:val="clear" w:color="auto" w:fill="auto"/>
            <w:vAlign w:val="center"/>
          </w:tcPr>
          <w:p w:rsidR="00230743" w:rsidRPr="00802177" w:rsidRDefault="0062660D" w:rsidP="001E3005">
            <w:pPr>
              <w:jc w:val="left"/>
              <w:rPr>
                <w:szCs w:val="22"/>
              </w:rPr>
            </w:pPr>
            <w:r w:rsidRPr="00802177">
              <w:rPr>
                <w:szCs w:val="22"/>
              </w:rPr>
              <w:t>11.7%</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proofErr w:type="spellStart"/>
            <w:r w:rsidRPr="00FF2F9D">
              <w:rPr>
                <w:szCs w:val="22"/>
              </w:rPr>
              <w:t>Mellors</w:t>
            </w:r>
            <w:proofErr w:type="spellEnd"/>
            <w:r w:rsidRPr="00FF2F9D">
              <w:rPr>
                <w:szCs w:val="22"/>
              </w:rPr>
              <w:t xml:space="preserve"> Catering (Brinscall St John)</w:t>
            </w:r>
          </w:p>
        </w:tc>
        <w:tc>
          <w:tcPr>
            <w:tcW w:w="1842" w:type="dxa"/>
            <w:shd w:val="clear" w:color="auto" w:fill="auto"/>
            <w:vAlign w:val="center"/>
          </w:tcPr>
          <w:p w:rsidR="00230743" w:rsidRPr="00802177" w:rsidRDefault="0062660D" w:rsidP="001E3005">
            <w:pPr>
              <w:jc w:val="left"/>
              <w:rPr>
                <w:szCs w:val="22"/>
              </w:rPr>
            </w:pPr>
            <w:r w:rsidRPr="00802177">
              <w:rPr>
                <w:szCs w:val="22"/>
              </w:rPr>
              <w:t>6.0%</w:t>
            </w:r>
          </w:p>
        </w:tc>
        <w:tc>
          <w:tcPr>
            <w:tcW w:w="1843" w:type="dxa"/>
            <w:shd w:val="clear" w:color="auto" w:fill="auto"/>
            <w:vAlign w:val="center"/>
          </w:tcPr>
          <w:p w:rsidR="00230743" w:rsidRPr="00802177" w:rsidRDefault="0062660D" w:rsidP="001E3005">
            <w:pPr>
              <w:jc w:val="left"/>
              <w:rPr>
                <w:szCs w:val="22"/>
              </w:rPr>
            </w:pPr>
            <w:r w:rsidRPr="00802177">
              <w:rPr>
                <w:szCs w:val="22"/>
              </w:rPr>
              <w:t>19.1%</w:t>
            </w:r>
          </w:p>
        </w:tc>
        <w:tc>
          <w:tcPr>
            <w:tcW w:w="1843" w:type="dxa"/>
            <w:shd w:val="clear" w:color="auto" w:fill="auto"/>
            <w:vAlign w:val="center"/>
          </w:tcPr>
          <w:p w:rsidR="00230743" w:rsidRPr="00802177" w:rsidRDefault="0062660D" w:rsidP="001E3005">
            <w:pPr>
              <w:jc w:val="left"/>
              <w:rPr>
                <w:szCs w:val="22"/>
              </w:rPr>
            </w:pPr>
            <w:r w:rsidRPr="00802177">
              <w:rPr>
                <w:szCs w:val="22"/>
              </w:rPr>
              <w:t>6.0%</w:t>
            </w:r>
          </w:p>
        </w:tc>
        <w:tc>
          <w:tcPr>
            <w:tcW w:w="1984" w:type="dxa"/>
            <w:shd w:val="clear" w:color="auto" w:fill="auto"/>
            <w:vAlign w:val="center"/>
          </w:tcPr>
          <w:p w:rsidR="00230743" w:rsidRPr="00802177" w:rsidRDefault="0062660D" w:rsidP="001E3005">
            <w:pPr>
              <w:jc w:val="left"/>
              <w:rPr>
                <w:szCs w:val="22"/>
              </w:rPr>
            </w:pPr>
            <w:r w:rsidRPr="00802177">
              <w:rPr>
                <w:szCs w:val="22"/>
              </w:rPr>
              <w:t>19.1%</w:t>
            </w:r>
          </w:p>
        </w:tc>
        <w:tc>
          <w:tcPr>
            <w:tcW w:w="2127" w:type="dxa"/>
            <w:shd w:val="clear" w:color="auto" w:fill="auto"/>
            <w:vAlign w:val="center"/>
          </w:tcPr>
          <w:p w:rsidR="00230743" w:rsidRPr="00802177" w:rsidRDefault="0062660D" w:rsidP="001E3005">
            <w:pPr>
              <w:jc w:val="left"/>
              <w:rPr>
                <w:szCs w:val="22"/>
              </w:rPr>
            </w:pPr>
            <w:r w:rsidRPr="00802177">
              <w:rPr>
                <w:szCs w:val="22"/>
              </w:rPr>
              <w:t>6.0%</w:t>
            </w:r>
          </w:p>
        </w:tc>
        <w:tc>
          <w:tcPr>
            <w:tcW w:w="2409" w:type="dxa"/>
            <w:shd w:val="clear" w:color="auto" w:fill="auto"/>
            <w:vAlign w:val="center"/>
          </w:tcPr>
          <w:p w:rsidR="00230743" w:rsidRPr="00802177" w:rsidRDefault="0062660D" w:rsidP="001E3005">
            <w:pPr>
              <w:jc w:val="left"/>
              <w:rPr>
                <w:szCs w:val="22"/>
              </w:rPr>
            </w:pPr>
            <w:r w:rsidRPr="00802177">
              <w:rPr>
                <w:szCs w:val="22"/>
              </w:rPr>
              <w:t>19.1%</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proofErr w:type="spellStart"/>
            <w:r w:rsidRPr="00FF2F9D">
              <w:rPr>
                <w:szCs w:val="22"/>
              </w:rPr>
              <w:t>Mellors</w:t>
            </w:r>
            <w:proofErr w:type="spellEnd"/>
            <w:r w:rsidRPr="00FF2F9D">
              <w:rPr>
                <w:szCs w:val="22"/>
              </w:rPr>
              <w:t xml:space="preserve"> Catering (Fulwood Academy)</w:t>
            </w:r>
          </w:p>
        </w:tc>
        <w:tc>
          <w:tcPr>
            <w:tcW w:w="1842" w:type="dxa"/>
            <w:shd w:val="clear" w:color="auto" w:fill="auto"/>
            <w:vAlign w:val="center"/>
          </w:tcPr>
          <w:p w:rsidR="00230743" w:rsidRPr="00802177" w:rsidRDefault="0062660D" w:rsidP="001E3005">
            <w:pPr>
              <w:jc w:val="left"/>
              <w:rPr>
                <w:szCs w:val="22"/>
              </w:rPr>
            </w:pPr>
            <w:r w:rsidRPr="00802177">
              <w:rPr>
                <w:szCs w:val="22"/>
              </w:rPr>
              <w:t>6.0%</w:t>
            </w:r>
          </w:p>
        </w:tc>
        <w:tc>
          <w:tcPr>
            <w:tcW w:w="1843" w:type="dxa"/>
            <w:shd w:val="clear" w:color="auto" w:fill="auto"/>
            <w:vAlign w:val="center"/>
          </w:tcPr>
          <w:p w:rsidR="00230743" w:rsidRPr="00802177" w:rsidRDefault="0062660D" w:rsidP="001E3005">
            <w:pPr>
              <w:jc w:val="left"/>
              <w:rPr>
                <w:szCs w:val="22"/>
              </w:rPr>
            </w:pPr>
            <w:r w:rsidRPr="00802177">
              <w:rPr>
                <w:szCs w:val="22"/>
              </w:rPr>
              <w:t>19.1%</w:t>
            </w:r>
          </w:p>
        </w:tc>
        <w:tc>
          <w:tcPr>
            <w:tcW w:w="1843" w:type="dxa"/>
            <w:shd w:val="clear" w:color="auto" w:fill="auto"/>
            <w:vAlign w:val="center"/>
          </w:tcPr>
          <w:p w:rsidR="00230743" w:rsidRPr="00802177" w:rsidRDefault="0062660D" w:rsidP="001E3005">
            <w:pPr>
              <w:jc w:val="left"/>
              <w:rPr>
                <w:szCs w:val="22"/>
              </w:rPr>
            </w:pPr>
            <w:r w:rsidRPr="00802177">
              <w:rPr>
                <w:szCs w:val="22"/>
              </w:rPr>
              <w:t>6.0%</w:t>
            </w:r>
          </w:p>
        </w:tc>
        <w:tc>
          <w:tcPr>
            <w:tcW w:w="1984" w:type="dxa"/>
            <w:shd w:val="clear" w:color="auto" w:fill="auto"/>
            <w:vAlign w:val="center"/>
          </w:tcPr>
          <w:p w:rsidR="00230743" w:rsidRPr="00802177" w:rsidRDefault="0062660D" w:rsidP="001E3005">
            <w:pPr>
              <w:jc w:val="left"/>
              <w:rPr>
                <w:szCs w:val="22"/>
              </w:rPr>
            </w:pPr>
            <w:r w:rsidRPr="00802177">
              <w:rPr>
                <w:szCs w:val="22"/>
              </w:rPr>
              <w:t>19.1%</w:t>
            </w:r>
          </w:p>
        </w:tc>
        <w:tc>
          <w:tcPr>
            <w:tcW w:w="2127" w:type="dxa"/>
            <w:shd w:val="clear" w:color="auto" w:fill="auto"/>
            <w:vAlign w:val="center"/>
          </w:tcPr>
          <w:p w:rsidR="00230743" w:rsidRPr="00802177" w:rsidRDefault="0062660D" w:rsidP="001E3005">
            <w:pPr>
              <w:jc w:val="left"/>
              <w:rPr>
                <w:szCs w:val="22"/>
              </w:rPr>
            </w:pPr>
            <w:r w:rsidRPr="00802177">
              <w:rPr>
                <w:szCs w:val="22"/>
              </w:rPr>
              <w:t>6.0%</w:t>
            </w:r>
          </w:p>
        </w:tc>
        <w:tc>
          <w:tcPr>
            <w:tcW w:w="2409" w:type="dxa"/>
            <w:shd w:val="clear" w:color="auto" w:fill="auto"/>
            <w:vAlign w:val="center"/>
          </w:tcPr>
          <w:p w:rsidR="00230743" w:rsidRPr="00802177" w:rsidRDefault="0062660D" w:rsidP="001E3005">
            <w:pPr>
              <w:jc w:val="left"/>
              <w:rPr>
                <w:szCs w:val="22"/>
              </w:rPr>
            </w:pPr>
            <w:r w:rsidRPr="00802177">
              <w:rPr>
                <w:szCs w:val="22"/>
              </w:rPr>
              <w:t>19.1%</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proofErr w:type="spellStart"/>
            <w:r w:rsidRPr="00FF2F9D">
              <w:rPr>
                <w:szCs w:val="22"/>
              </w:rPr>
              <w:t>Mellors</w:t>
            </w:r>
            <w:proofErr w:type="spellEnd"/>
            <w:r w:rsidRPr="00FF2F9D">
              <w:rPr>
                <w:szCs w:val="22"/>
              </w:rPr>
              <w:t xml:space="preserve"> Catering </w:t>
            </w:r>
            <w:r w:rsidRPr="00FF2F9D">
              <w:rPr>
                <w:szCs w:val="22"/>
              </w:rPr>
              <w:t>(</w:t>
            </w:r>
            <w:proofErr w:type="spellStart"/>
            <w:r w:rsidRPr="00FF2F9D">
              <w:rPr>
                <w:szCs w:val="22"/>
              </w:rPr>
              <w:t>Parbold</w:t>
            </w:r>
            <w:proofErr w:type="spellEnd"/>
            <w:r w:rsidRPr="00FF2F9D">
              <w:rPr>
                <w:szCs w:val="22"/>
              </w:rPr>
              <w:t>)</w:t>
            </w:r>
          </w:p>
        </w:tc>
        <w:tc>
          <w:tcPr>
            <w:tcW w:w="1842" w:type="dxa"/>
            <w:shd w:val="clear" w:color="auto" w:fill="auto"/>
            <w:vAlign w:val="center"/>
          </w:tcPr>
          <w:p w:rsidR="00230743" w:rsidRPr="00802177" w:rsidRDefault="0062660D" w:rsidP="001E3005">
            <w:pPr>
              <w:jc w:val="left"/>
              <w:rPr>
                <w:szCs w:val="22"/>
              </w:rPr>
            </w:pPr>
            <w:r w:rsidRPr="00802177">
              <w:rPr>
                <w:szCs w:val="22"/>
              </w:rPr>
              <w:t>6.0%</w:t>
            </w:r>
          </w:p>
        </w:tc>
        <w:tc>
          <w:tcPr>
            <w:tcW w:w="1843" w:type="dxa"/>
            <w:shd w:val="clear" w:color="auto" w:fill="auto"/>
            <w:vAlign w:val="center"/>
          </w:tcPr>
          <w:p w:rsidR="00230743" w:rsidRPr="00802177" w:rsidRDefault="0062660D" w:rsidP="001E3005">
            <w:pPr>
              <w:jc w:val="left"/>
              <w:rPr>
                <w:szCs w:val="22"/>
              </w:rPr>
            </w:pPr>
            <w:r w:rsidRPr="00802177">
              <w:rPr>
                <w:szCs w:val="22"/>
              </w:rPr>
              <w:t>19.1%</w:t>
            </w:r>
          </w:p>
        </w:tc>
        <w:tc>
          <w:tcPr>
            <w:tcW w:w="1843" w:type="dxa"/>
            <w:shd w:val="clear" w:color="auto" w:fill="auto"/>
            <w:vAlign w:val="center"/>
          </w:tcPr>
          <w:p w:rsidR="00230743" w:rsidRPr="00802177" w:rsidRDefault="0062660D" w:rsidP="001E3005">
            <w:pPr>
              <w:jc w:val="left"/>
              <w:rPr>
                <w:szCs w:val="22"/>
              </w:rPr>
            </w:pPr>
            <w:r w:rsidRPr="00802177">
              <w:rPr>
                <w:szCs w:val="22"/>
              </w:rPr>
              <w:t>6.0%</w:t>
            </w:r>
          </w:p>
        </w:tc>
        <w:tc>
          <w:tcPr>
            <w:tcW w:w="1984" w:type="dxa"/>
            <w:shd w:val="clear" w:color="auto" w:fill="auto"/>
            <w:vAlign w:val="center"/>
          </w:tcPr>
          <w:p w:rsidR="00230743" w:rsidRPr="00802177" w:rsidRDefault="0062660D" w:rsidP="001E3005">
            <w:pPr>
              <w:jc w:val="left"/>
              <w:rPr>
                <w:szCs w:val="22"/>
              </w:rPr>
            </w:pPr>
            <w:r w:rsidRPr="00802177">
              <w:rPr>
                <w:szCs w:val="22"/>
              </w:rPr>
              <w:t>19.1%</w:t>
            </w:r>
          </w:p>
        </w:tc>
        <w:tc>
          <w:tcPr>
            <w:tcW w:w="2127" w:type="dxa"/>
            <w:shd w:val="clear" w:color="auto" w:fill="auto"/>
            <w:vAlign w:val="center"/>
          </w:tcPr>
          <w:p w:rsidR="00230743" w:rsidRPr="00802177" w:rsidRDefault="0062660D" w:rsidP="001E3005">
            <w:pPr>
              <w:jc w:val="left"/>
              <w:rPr>
                <w:szCs w:val="22"/>
              </w:rPr>
            </w:pPr>
            <w:r w:rsidRPr="00802177">
              <w:rPr>
                <w:szCs w:val="22"/>
              </w:rPr>
              <w:t>6.0%</w:t>
            </w:r>
          </w:p>
        </w:tc>
        <w:tc>
          <w:tcPr>
            <w:tcW w:w="2409" w:type="dxa"/>
            <w:shd w:val="clear" w:color="auto" w:fill="auto"/>
            <w:vAlign w:val="center"/>
          </w:tcPr>
          <w:p w:rsidR="00230743" w:rsidRPr="00802177" w:rsidRDefault="0062660D" w:rsidP="001E3005">
            <w:pPr>
              <w:jc w:val="left"/>
              <w:rPr>
                <w:szCs w:val="22"/>
              </w:rPr>
            </w:pPr>
            <w:r w:rsidRPr="00802177">
              <w:rPr>
                <w:szCs w:val="22"/>
              </w:rPr>
              <w:t>19.1%</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proofErr w:type="spellStart"/>
            <w:r w:rsidRPr="00FF2F9D">
              <w:rPr>
                <w:szCs w:val="22"/>
              </w:rPr>
              <w:t>Mellors</w:t>
            </w:r>
            <w:proofErr w:type="spellEnd"/>
            <w:r w:rsidRPr="00FF2F9D">
              <w:rPr>
                <w:szCs w:val="22"/>
              </w:rPr>
              <w:t xml:space="preserve"> Catering (Trinity, St Michaels)</w:t>
            </w:r>
          </w:p>
        </w:tc>
        <w:tc>
          <w:tcPr>
            <w:tcW w:w="1842" w:type="dxa"/>
            <w:shd w:val="clear" w:color="auto" w:fill="auto"/>
            <w:vAlign w:val="center"/>
          </w:tcPr>
          <w:p w:rsidR="00230743" w:rsidRPr="00802177" w:rsidRDefault="0062660D" w:rsidP="001E3005">
            <w:pPr>
              <w:jc w:val="left"/>
              <w:rPr>
                <w:szCs w:val="22"/>
              </w:rPr>
            </w:pPr>
            <w:r w:rsidRPr="00802177">
              <w:rPr>
                <w:szCs w:val="22"/>
              </w:rPr>
              <w:t>6.0%</w:t>
            </w:r>
          </w:p>
        </w:tc>
        <w:tc>
          <w:tcPr>
            <w:tcW w:w="1843" w:type="dxa"/>
            <w:shd w:val="clear" w:color="auto" w:fill="auto"/>
            <w:vAlign w:val="center"/>
          </w:tcPr>
          <w:p w:rsidR="00230743" w:rsidRPr="00802177" w:rsidRDefault="0062660D" w:rsidP="001E3005">
            <w:pPr>
              <w:jc w:val="left"/>
              <w:rPr>
                <w:szCs w:val="22"/>
              </w:rPr>
            </w:pPr>
            <w:r w:rsidRPr="00802177">
              <w:rPr>
                <w:szCs w:val="22"/>
              </w:rPr>
              <w:t>19.1%</w:t>
            </w:r>
          </w:p>
        </w:tc>
        <w:tc>
          <w:tcPr>
            <w:tcW w:w="1843" w:type="dxa"/>
            <w:shd w:val="clear" w:color="auto" w:fill="auto"/>
            <w:vAlign w:val="center"/>
          </w:tcPr>
          <w:p w:rsidR="00230743" w:rsidRPr="00802177" w:rsidRDefault="0062660D" w:rsidP="001E3005">
            <w:pPr>
              <w:jc w:val="left"/>
              <w:rPr>
                <w:szCs w:val="22"/>
              </w:rPr>
            </w:pPr>
            <w:r w:rsidRPr="00802177">
              <w:rPr>
                <w:szCs w:val="22"/>
              </w:rPr>
              <w:t>6.0%</w:t>
            </w:r>
          </w:p>
        </w:tc>
        <w:tc>
          <w:tcPr>
            <w:tcW w:w="1984" w:type="dxa"/>
            <w:shd w:val="clear" w:color="auto" w:fill="auto"/>
            <w:vAlign w:val="center"/>
          </w:tcPr>
          <w:p w:rsidR="00230743" w:rsidRPr="00802177" w:rsidRDefault="0062660D" w:rsidP="001E3005">
            <w:pPr>
              <w:jc w:val="left"/>
              <w:rPr>
                <w:szCs w:val="22"/>
              </w:rPr>
            </w:pPr>
            <w:r w:rsidRPr="00802177">
              <w:rPr>
                <w:szCs w:val="22"/>
              </w:rPr>
              <w:t>19.1%</w:t>
            </w:r>
          </w:p>
        </w:tc>
        <w:tc>
          <w:tcPr>
            <w:tcW w:w="2127" w:type="dxa"/>
            <w:shd w:val="clear" w:color="auto" w:fill="auto"/>
            <w:vAlign w:val="center"/>
          </w:tcPr>
          <w:p w:rsidR="00230743" w:rsidRPr="00802177" w:rsidRDefault="0062660D" w:rsidP="001E3005">
            <w:pPr>
              <w:jc w:val="left"/>
              <w:rPr>
                <w:szCs w:val="22"/>
              </w:rPr>
            </w:pPr>
            <w:r w:rsidRPr="00802177">
              <w:rPr>
                <w:szCs w:val="22"/>
              </w:rPr>
              <w:t>6.0%</w:t>
            </w:r>
          </w:p>
        </w:tc>
        <w:tc>
          <w:tcPr>
            <w:tcW w:w="2409" w:type="dxa"/>
            <w:shd w:val="clear" w:color="auto" w:fill="auto"/>
            <w:vAlign w:val="center"/>
          </w:tcPr>
          <w:p w:rsidR="00230743" w:rsidRPr="00802177" w:rsidRDefault="0062660D" w:rsidP="001E3005">
            <w:pPr>
              <w:jc w:val="left"/>
              <w:rPr>
                <w:szCs w:val="22"/>
              </w:rPr>
            </w:pPr>
            <w:r w:rsidRPr="00802177">
              <w:rPr>
                <w:szCs w:val="22"/>
              </w:rPr>
              <w:t>19.1%</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Montgomery High School Academy</w:t>
            </w:r>
          </w:p>
        </w:tc>
        <w:tc>
          <w:tcPr>
            <w:tcW w:w="1842" w:type="dxa"/>
            <w:shd w:val="clear" w:color="auto" w:fill="auto"/>
            <w:vAlign w:val="center"/>
          </w:tcPr>
          <w:p w:rsidR="00230743" w:rsidRPr="00802177" w:rsidRDefault="0062660D" w:rsidP="001E3005">
            <w:pPr>
              <w:jc w:val="left"/>
              <w:rPr>
                <w:szCs w:val="22"/>
              </w:rPr>
            </w:pPr>
            <w:r w:rsidRPr="00802177">
              <w:rPr>
                <w:szCs w:val="22"/>
              </w:rPr>
              <w:t>-1.7% plus £48,700</w:t>
            </w:r>
          </w:p>
        </w:tc>
        <w:tc>
          <w:tcPr>
            <w:tcW w:w="1843" w:type="dxa"/>
            <w:shd w:val="clear" w:color="auto" w:fill="auto"/>
            <w:vAlign w:val="center"/>
          </w:tcPr>
          <w:p w:rsidR="00230743" w:rsidRPr="00802177" w:rsidRDefault="0062660D" w:rsidP="001E3005">
            <w:pPr>
              <w:jc w:val="left"/>
              <w:rPr>
                <w:szCs w:val="22"/>
              </w:rPr>
            </w:pPr>
            <w:r w:rsidRPr="00802177">
              <w:rPr>
                <w:szCs w:val="22"/>
              </w:rPr>
              <w:t>11.4% plus £48,700</w:t>
            </w:r>
          </w:p>
        </w:tc>
        <w:tc>
          <w:tcPr>
            <w:tcW w:w="1843" w:type="dxa"/>
            <w:shd w:val="clear" w:color="auto" w:fill="auto"/>
            <w:vAlign w:val="center"/>
          </w:tcPr>
          <w:p w:rsidR="00230743" w:rsidRPr="00802177" w:rsidRDefault="0062660D" w:rsidP="001E3005">
            <w:pPr>
              <w:jc w:val="left"/>
              <w:rPr>
                <w:szCs w:val="22"/>
              </w:rPr>
            </w:pPr>
            <w:r w:rsidRPr="00802177">
              <w:rPr>
                <w:szCs w:val="22"/>
              </w:rPr>
              <w:t>-1.7% plus £50,700</w:t>
            </w:r>
          </w:p>
        </w:tc>
        <w:tc>
          <w:tcPr>
            <w:tcW w:w="1984" w:type="dxa"/>
            <w:shd w:val="clear" w:color="auto" w:fill="auto"/>
            <w:vAlign w:val="center"/>
          </w:tcPr>
          <w:p w:rsidR="00230743" w:rsidRPr="00802177" w:rsidRDefault="0062660D" w:rsidP="001E3005">
            <w:pPr>
              <w:jc w:val="left"/>
              <w:rPr>
                <w:szCs w:val="22"/>
              </w:rPr>
            </w:pPr>
            <w:r w:rsidRPr="00802177">
              <w:rPr>
                <w:szCs w:val="22"/>
              </w:rPr>
              <w:t>11.4% plus £50,700</w:t>
            </w:r>
          </w:p>
        </w:tc>
        <w:tc>
          <w:tcPr>
            <w:tcW w:w="2127" w:type="dxa"/>
            <w:shd w:val="clear" w:color="auto" w:fill="auto"/>
            <w:vAlign w:val="center"/>
          </w:tcPr>
          <w:p w:rsidR="00230743" w:rsidRPr="00802177" w:rsidRDefault="0062660D" w:rsidP="001E3005">
            <w:pPr>
              <w:jc w:val="left"/>
              <w:rPr>
                <w:szCs w:val="22"/>
              </w:rPr>
            </w:pPr>
            <w:r w:rsidRPr="00802177">
              <w:rPr>
                <w:szCs w:val="22"/>
              </w:rPr>
              <w:t>-1.7% plus £52,800</w:t>
            </w:r>
          </w:p>
        </w:tc>
        <w:tc>
          <w:tcPr>
            <w:tcW w:w="2409" w:type="dxa"/>
            <w:shd w:val="clear" w:color="auto" w:fill="auto"/>
            <w:vAlign w:val="center"/>
          </w:tcPr>
          <w:p w:rsidR="00230743" w:rsidRPr="00802177" w:rsidRDefault="0062660D" w:rsidP="001E3005">
            <w:pPr>
              <w:jc w:val="left"/>
              <w:rPr>
                <w:szCs w:val="22"/>
              </w:rPr>
            </w:pPr>
            <w:r w:rsidRPr="00802177">
              <w:rPr>
                <w:szCs w:val="22"/>
              </w:rPr>
              <w:t xml:space="preserve">11.4% plus </w:t>
            </w:r>
            <w:r w:rsidRPr="00802177">
              <w:rPr>
                <w:szCs w:val="22"/>
              </w:rPr>
              <w:t>£52,800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proofErr w:type="spellStart"/>
            <w:r w:rsidRPr="00FF2F9D">
              <w:rPr>
                <w:szCs w:val="22"/>
              </w:rPr>
              <w:t>Moorside</w:t>
            </w:r>
            <w:proofErr w:type="spellEnd"/>
            <w:r w:rsidRPr="00FF2F9D">
              <w:rPr>
                <w:szCs w:val="22"/>
              </w:rPr>
              <w:t xml:space="preserve"> Community PS Academy</w:t>
            </w:r>
          </w:p>
        </w:tc>
        <w:tc>
          <w:tcPr>
            <w:tcW w:w="1842" w:type="dxa"/>
            <w:shd w:val="clear" w:color="auto" w:fill="auto"/>
            <w:vAlign w:val="bottom"/>
          </w:tcPr>
          <w:p w:rsidR="00230743" w:rsidRPr="00802177" w:rsidRDefault="0062660D" w:rsidP="001E3005">
            <w:pPr>
              <w:jc w:val="left"/>
              <w:rPr>
                <w:szCs w:val="22"/>
              </w:rPr>
            </w:pPr>
            <w:r w:rsidRPr="00802177">
              <w:rPr>
                <w:szCs w:val="22"/>
              </w:rPr>
              <w:t>-0.5% plus £16,200</w:t>
            </w:r>
          </w:p>
        </w:tc>
        <w:tc>
          <w:tcPr>
            <w:tcW w:w="1843" w:type="dxa"/>
            <w:shd w:val="clear" w:color="auto" w:fill="auto"/>
            <w:vAlign w:val="bottom"/>
          </w:tcPr>
          <w:p w:rsidR="00230743" w:rsidRPr="00802177" w:rsidRDefault="0062660D" w:rsidP="001E3005">
            <w:pPr>
              <w:jc w:val="left"/>
              <w:rPr>
                <w:szCs w:val="22"/>
              </w:rPr>
            </w:pPr>
            <w:r w:rsidRPr="00802177">
              <w:rPr>
                <w:szCs w:val="22"/>
              </w:rPr>
              <w:t>12.6% plus £16,200</w:t>
            </w:r>
          </w:p>
        </w:tc>
        <w:tc>
          <w:tcPr>
            <w:tcW w:w="1843" w:type="dxa"/>
            <w:shd w:val="clear" w:color="auto" w:fill="auto"/>
            <w:vAlign w:val="bottom"/>
          </w:tcPr>
          <w:p w:rsidR="00230743" w:rsidRPr="00802177" w:rsidRDefault="0062660D" w:rsidP="001E3005">
            <w:pPr>
              <w:jc w:val="left"/>
              <w:rPr>
                <w:szCs w:val="22"/>
              </w:rPr>
            </w:pPr>
            <w:r w:rsidRPr="00802177">
              <w:rPr>
                <w:szCs w:val="22"/>
              </w:rPr>
              <w:t>-0.5% plus £16,900</w:t>
            </w:r>
          </w:p>
        </w:tc>
        <w:tc>
          <w:tcPr>
            <w:tcW w:w="1984" w:type="dxa"/>
            <w:shd w:val="clear" w:color="auto" w:fill="auto"/>
            <w:vAlign w:val="bottom"/>
          </w:tcPr>
          <w:p w:rsidR="00230743" w:rsidRPr="00802177" w:rsidRDefault="0062660D" w:rsidP="001E3005">
            <w:pPr>
              <w:jc w:val="left"/>
              <w:rPr>
                <w:szCs w:val="22"/>
              </w:rPr>
            </w:pPr>
            <w:r w:rsidRPr="00802177">
              <w:rPr>
                <w:szCs w:val="22"/>
              </w:rPr>
              <w:t>12.6% plus £16,900</w:t>
            </w:r>
          </w:p>
        </w:tc>
        <w:tc>
          <w:tcPr>
            <w:tcW w:w="2127" w:type="dxa"/>
            <w:shd w:val="clear" w:color="auto" w:fill="auto"/>
            <w:vAlign w:val="bottom"/>
          </w:tcPr>
          <w:p w:rsidR="00230743" w:rsidRPr="00802177" w:rsidRDefault="0062660D" w:rsidP="001E3005">
            <w:pPr>
              <w:jc w:val="left"/>
              <w:rPr>
                <w:szCs w:val="22"/>
              </w:rPr>
            </w:pPr>
            <w:r w:rsidRPr="00802177">
              <w:rPr>
                <w:szCs w:val="22"/>
              </w:rPr>
              <w:t>-0.5% plus £17,600</w:t>
            </w:r>
          </w:p>
        </w:tc>
        <w:tc>
          <w:tcPr>
            <w:tcW w:w="2409" w:type="dxa"/>
            <w:shd w:val="clear" w:color="auto" w:fill="auto"/>
            <w:vAlign w:val="bottom"/>
          </w:tcPr>
          <w:p w:rsidR="00230743" w:rsidRPr="00802177" w:rsidRDefault="0062660D" w:rsidP="001E3005">
            <w:pPr>
              <w:jc w:val="left"/>
              <w:rPr>
                <w:szCs w:val="22"/>
              </w:rPr>
            </w:pPr>
            <w:r w:rsidRPr="00802177">
              <w:rPr>
                <w:szCs w:val="22"/>
              </w:rPr>
              <w:t>12.6% plus £17,600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Morecambe Town Council</w:t>
            </w:r>
          </w:p>
        </w:tc>
        <w:tc>
          <w:tcPr>
            <w:tcW w:w="1842" w:type="dxa"/>
            <w:shd w:val="clear" w:color="auto" w:fill="auto"/>
            <w:vAlign w:val="center"/>
          </w:tcPr>
          <w:p w:rsidR="00230743" w:rsidRPr="00802177" w:rsidRDefault="0062660D" w:rsidP="001E3005">
            <w:pPr>
              <w:jc w:val="left"/>
              <w:rPr>
                <w:szCs w:val="22"/>
              </w:rPr>
            </w:pPr>
            <w:r w:rsidRPr="00802177">
              <w:rPr>
                <w:szCs w:val="22"/>
              </w:rPr>
              <w:t>1.7%</w:t>
            </w:r>
          </w:p>
        </w:tc>
        <w:tc>
          <w:tcPr>
            <w:tcW w:w="1843" w:type="dxa"/>
            <w:shd w:val="clear" w:color="auto" w:fill="auto"/>
            <w:vAlign w:val="center"/>
          </w:tcPr>
          <w:p w:rsidR="00230743" w:rsidRPr="00802177" w:rsidRDefault="0062660D" w:rsidP="001E3005">
            <w:pPr>
              <w:jc w:val="left"/>
              <w:rPr>
                <w:szCs w:val="22"/>
              </w:rPr>
            </w:pPr>
            <w:r w:rsidRPr="00802177">
              <w:rPr>
                <w:szCs w:val="22"/>
              </w:rPr>
              <w:t>14.8%</w:t>
            </w:r>
          </w:p>
        </w:tc>
        <w:tc>
          <w:tcPr>
            <w:tcW w:w="1843" w:type="dxa"/>
            <w:shd w:val="clear" w:color="auto" w:fill="auto"/>
            <w:vAlign w:val="center"/>
          </w:tcPr>
          <w:p w:rsidR="00230743" w:rsidRPr="00802177" w:rsidRDefault="0062660D" w:rsidP="001E3005">
            <w:pPr>
              <w:jc w:val="left"/>
              <w:rPr>
                <w:szCs w:val="22"/>
              </w:rPr>
            </w:pPr>
            <w:r w:rsidRPr="00802177">
              <w:rPr>
                <w:szCs w:val="22"/>
              </w:rPr>
              <w:t>1.7%</w:t>
            </w:r>
          </w:p>
        </w:tc>
        <w:tc>
          <w:tcPr>
            <w:tcW w:w="1984" w:type="dxa"/>
            <w:shd w:val="clear" w:color="auto" w:fill="auto"/>
            <w:vAlign w:val="center"/>
          </w:tcPr>
          <w:p w:rsidR="00230743" w:rsidRPr="00802177" w:rsidRDefault="0062660D" w:rsidP="001E3005">
            <w:pPr>
              <w:jc w:val="left"/>
              <w:rPr>
                <w:szCs w:val="22"/>
              </w:rPr>
            </w:pPr>
            <w:r w:rsidRPr="00802177">
              <w:rPr>
                <w:szCs w:val="22"/>
              </w:rPr>
              <w:t>14.8%</w:t>
            </w:r>
          </w:p>
        </w:tc>
        <w:tc>
          <w:tcPr>
            <w:tcW w:w="2127" w:type="dxa"/>
            <w:shd w:val="clear" w:color="auto" w:fill="auto"/>
            <w:vAlign w:val="center"/>
          </w:tcPr>
          <w:p w:rsidR="00230743" w:rsidRPr="00802177" w:rsidRDefault="0062660D" w:rsidP="001E3005">
            <w:pPr>
              <w:jc w:val="left"/>
              <w:rPr>
                <w:szCs w:val="22"/>
              </w:rPr>
            </w:pPr>
            <w:r w:rsidRPr="00802177">
              <w:rPr>
                <w:szCs w:val="22"/>
              </w:rPr>
              <w:t>1.7%</w:t>
            </w:r>
          </w:p>
        </w:tc>
        <w:tc>
          <w:tcPr>
            <w:tcW w:w="2409" w:type="dxa"/>
            <w:shd w:val="clear" w:color="auto" w:fill="auto"/>
            <w:vAlign w:val="center"/>
          </w:tcPr>
          <w:p w:rsidR="00230743" w:rsidRPr="00802177" w:rsidRDefault="0062660D" w:rsidP="001E3005">
            <w:pPr>
              <w:jc w:val="left"/>
              <w:rPr>
                <w:szCs w:val="22"/>
              </w:rPr>
            </w:pPr>
            <w:r w:rsidRPr="00802177">
              <w:rPr>
                <w:szCs w:val="22"/>
              </w:rPr>
              <w:t>14.8%</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Myerscough College</w:t>
            </w:r>
          </w:p>
        </w:tc>
        <w:tc>
          <w:tcPr>
            <w:tcW w:w="1842" w:type="dxa"/>
            <w:shd w:val="clear" w:color="auto" w:fill="auto"/>
            <w:vAlign w:val="center"/>
          </w:tcPr>
          <w:p w:rsidR="00230743" w:rsidRPr="00802177" w:rsidRDefault="0062660D" w:rsidP="001E3005">
            <w:pPr>
              <w:jc w:val="left"/>
              <w:rPr>
                <w:szCs w:val="22"/>
              </w:rPr>
            </w:pPr>
            <w:r w:rsidRPr="00802177">
              <w:rPr>
                <w:szCs w:val="22"/>
              </w:rPr>
              <w:t>-1.6% plus £133,400</w:t>
            </w:r>
          </w:p>
        </w:tc>
        <w:tc>
          <w:tcPr>
            <w:tcW w:w="1843" w:type="dxa"/>
            <w:shd w:val="clear" w:color="auto" w:fill="auto"/>
            <w:vAlign w:val="center"/>
          </w:tcPr>
          <w:p w:rsidR="00230743" w:rsidRPr="00802177" w:rsidRDefault="0062660D" w:rsidP="001E3005">
            <w:pPr>
              <w:jc w:val="left"/>
              <w:rPr>
                <w:szCs w:val="22"/>
              </w:rPr>
            </w:pPr>
            <w:r w:rsidRPr="00802177">
              <w:rPr>
                <w:szCs w:val="22"/>
              </w:rPr>
              <w:t xml:space="preserve">11.5% </w:t>
            </w:r>
            <w:r w:rsidRPr="00802177">
              <w:rPr>
                <w:szCs w:val="22"/>
              </w:rPr>
              <w:t>plus £133,400</w:t>
            </w:r>
          </w:p>
        </w:tc>
        <w:tc>
          <w:tcPr>
            <w:tcW w:w="1843" w:type="dxa"/>
            <w:shd w:val="clear" w:color="auto" w:fill="auto"/>
            <w:vAlign w:val="center"/>
          </w:tcPr>
          <w:p w:rsidR="00230743" w:rsidRPr="00802177" w:rsidRDefault="0062660D" w:rsidP="001E3005">
            <w:pPr>
              <w:jc w:val="left"/>
              <w:rPr>
                <w:szCs w:val="22"/>
              </w:rPr>
            </w:pPr>
            <w:r w:rsidRPr="00802177">
              <w:rPr>
                <w:szCs w:val="22"/>
              </w:rPr>
              <w:t>-1.6% plus £167,800</w:t>
            </w:r>
          </w:p>
        </w:tc>
        <w:tc>
          <w:tcPr>
            <w:tcW w:w="1984" w:type="dxa"/>
            <w:shd w:val="clear" w:color="auto" w:fill="auto"/>
            <w:vAlign w:val="center"/>
          </w:tcPr>
          <w:p w:rsidR="00230743" w:rsidRPr="00802177" w:rsidRDefault="0062660D" w:rsidP="001E3005">
            <w:pPr>
              <w:jc w:val="left"/>
              <w:rPr>
                <w:szCs w:val="22"/>
              </w:rPr>
            </w:pPr>
            <w:r w:rsidRPr="00802177">
              <w:rPr>
                <w:szCs w:val="22"/>
              </w:rPr>
              <w:t>11.5% plus £167,800</w:t>
            </w:r>
          </w:p>
        </w:tc>
        <w:tc>
          <w:tcPr>
            <w:tcW w:w="2127" w:type="dxa"/>
            <w:shd w:val="clear" w:color="auto" w:fill="auto"/>
            <w:vAlign w:val="center"/>
          </w:tcPr>
          <w:p w:rsidR="00230743" w:rsidRPr="00802177" w:rsidRDefault="0062660D" w:rsidP="001E3005">
            <w:pPr>
              <w:jc w:val="left"/>
              <w:rPr>
                <w:szCs w:val="22"/>
              </w:rPr>
            </w:pPr>
            <w:r w:rsidRPr="00802177">
              <w:rPr>
                <w:szCs w:val="22"/>
              </w:rPr>
              <w:t>-1.6% plus £202,600</w:t>
            </w:r>
          </w:p>
        </w:tc>
        <w:tc>
          <w:tcPr>
            <w:tcW w:w="2409" w:type="dxa"/>
            <w:shd w:val="clear" w:color="auto" w:fill="auto"/>
            <w:vAlign w:val="center"/>
          </w:tcPr>
          <w:p w:rsidR="00230743" w:rsidRPr="00802177" w:rsidRDefault="0062660D" w:rsidP="001E3005">
            <w:pPr>
              <w:jc w:val="left"/>
              <w:rPr>
                <w:szCs w:val="22"/>
              </w:rPr>
            </w:pPr>
            <w:r w:rsidRPr="00802177">
              <w:rPr>
                <w:szCs w:val="22"/>
              </w:rPr>
              <w:t>11.5% plus £202,600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Nelson and Colne College</w:t>
            </w:r>
          </w:p>
        </w:tc>
        <w:tc>
          <w:tcPr>
            <w:tcW w:w="1842" w:type="dxa"/>
            <w:shd w:val="clear" w:color="auto" w:fill="auto"/>
            <w:vAlign w:val="center"/>
          </w:tcPr>
          <w:p w:rsidR="00230743" w:rsidRPr="00802177" w:rsidRDefault="0062660D" w:rsidP="001E3005">
            <w:pPr>
              <w:jc w:val="left"/>
              <w:rPr>
                <w:szCs w:val="22"/>
              </w:rPr>
            </w:pPr>
            <w:r w:rsidRPr="00802177">
              <w:rPr>
                <w:szCs w:val="22"/>
              </w:rPr>
              <w:t>-0.6% plus £84,600</w:t>
            </w:r>
          </w:p>
        </w:tc>
        <w:tc>
          <w:tcPr>
            <w:tcW w:w="1843" w:type="dxa"/>
            <w:shd w:val="clear" w:color="auto" w:fill="auto"/>
            <w:vAlign w:val="center"/>
          </w:tcPr>
          <w:p w:rsidR="00230743" w:rsidRPr="00802177" w:rsidRDefault="0062660D" w:rsidP="001E3005">
            <w:pPr>
              <w:jc w:val="left"/>
              <w:rPr>
                <w:szCs w:val="22"/>
              </w:rPr>
            </w:pPr>
            <w:r w:rsidRPr="00802177">
              <w:rPr>
                <w:szCs w:val="22"/>
              </w:rPr>
              <w:t>12.5% plus £84,600</w:t>
            </w:r>
          </w:p>
        </w:tc>
        <w:tc>
          <w:tcPr>
            <w:tcW w:w="1843" w:type="dxa"/>
            <w:shd w:val="clear" w:color="auto" w:fill="auto"/>
            <w:vAlign w:val="center"/>
          </w:tcPr>
          <w:p w:rsidR="00230743" w:rsidRPr="00802177" w:rsidRDefault="0062660D" w:rsidP="001E3005">
            <w:pPr>
              <w:jc w:val="left"/>
              <w:rPr>
                <w:szCs w:val="22"/>
              </w:rPr>
            </w:pPr>
            <w:r w:rsidRPr="00802177">
              <w:rPr>
                <w:szCs w:val="22"/>
              </w:rPr>
              <w:t>-0.6% plus £88,100</w:t>
            </w:r>
          </w:p>
        </w:tc>
        <w:tc>
          <w:tcPr>
            <w:tcW w:w="1984" w:type="dxa"/>
            <w:shd w:val="clear" w:color="auto" w:fill="auto"/>
            <w:vAlign w:val="center"/>
          </w:tcPr>
          <w:p w:rsidR="00230743" w:rsidRPr="00802177" w:rsidRDefault="0062660D" w:rsidP="001E3005">
            <w:pPr>
              <w:jc w:val="left"/>
              <w:rPr>
                <w:szCs w:val="22"/>
              </w:rPr>
            </w:pPr>
            <w:r w:rsidRPr="00802177">
              <w:rPr>
                <w:szCs w:val="22"/>
              </w:rPr>
              <w:t>12.5% plus £88,100</w:t>
            </w:r>
          </w:p>
        </w:tc>
        <w:tc>
          <w:tcPr>
            <w:tcW w:w="2127" w:type="dxa"/>
            <w:shd w:val="clear" w:color="auto" w:fill="auto"/>
            <w:vAlign w:val="center"/>
          </w:tcPr>
          <w:p w:rsidR="00230743" w:rsidRPr="00802177" w:rsidRDefault="0062660D" w:rsidP="001E3005">
            <w:pPr>
              <w:jc w:val="left"/>
              <w:rPr>
                <w:szCs w:val="22"/>
              </w:rPr>
            </w:pPr>
            <w:r w:rsidRPr="00802177">
              <w:rPr>
                <w:szCs w:val="22"/>
              </w:rPr>
              <w:t>-0.6% plus £91,700</w:t>
            </w:r>
          </w:p>
        </w:tc>
        <w:tc>
          <w:tcPr>
            <w:tcW w:w="2409" w:type="dxa"/>
            <w:shd w:val="clear" w:color="auto" w:fill="auto"/>
            <w:vAlign w:val="center"/>
          </w:tcPr>
          <w:p w:rsidR="00230743" w:rsidRPr="00802177" w:rsidRDefault="0062660D" w:rsidP="001E3005">
            <w:pPr>
              <w:jc w:val="left"/>
              <w:rPr>
                <w:szCs w:val="22"/>
              </w:rPr>
            </w:pPr>
            <w:r w:rsidRPr="00802177">
              <w:rPr>
                <w:szCs w:val="22"/>
              </w:rPr>
              <w:t>12.5% plus £91,700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New Fylde Housing Ltd</w:t>
            </w:r>
          </w:p>
        </w:tc>
        <w:tc>
          <w:tcPr>
            <w:tcW w:w="1842" w:type="dxa"/>
            <w:shd w:val="clear" w:color="auto" w:fill="auto"/>
            <w:vAlign w:val="center"/>
          </w:tcPr>
          <w:p w:rsidR="00230743" w:rsidRPr="00802177" w:rsidRDefault="0062660D" w:rsidP="001E3005">
            <w:pPr>
              <w:jc w:val="left"/>
              <w:rPr>
                <w:szCs w:val="22"/>
              </w:rPr>
            </w:pPr>
            <w:r w:rsidRPr="00802177">
              <w:rPr>
                <w:szCs w:val="22"/>
              </w:rPr>
              <w:t>11.3% plus £116,900</w:t>
            </w:r>
          </w:p>
        </w:tc>
        <w:tc>
          <w:tcPr>
            <w:tcW w:w="1843" w:type="dxa"/>
            <w:shd w:val="clear" w:color="auto" w:fill="auto"/>
            <w:vAlign w:val="center"/>
          </w:tcPr>
          <w:p w:rsidR="00230743" w:rsidRPr="00802177" w:rsidRDefault="0062660D" w:rsidP="001E3005">
            <w:pPr>
              <w:jc w:val="left"/>
              <w:rPr>
                <w:szCs w:val="22"/>
              </w:rPr>
            </w:pPr>
            <w:r w:rsidRPr="00802177">
              <w:rPr>
                <w:szCs w:val="22"/>
              </w:rPr>
              <w:t>24.4% plus £116,900</w:t>
            </w:r>
          </w:p>
        </w:tc>
        <w:tc>
          <w:tcPr>
            <w:tcW w:w="1843" w:type="dxa"/>
            <w:shd w:val="clear" w:color="auto" w:fill="auto"/>
            <w:vAlign w:val="center"/>
          </w:tcPr>
          <w:p w:rsidR="00230743" w:rsidRPr="00802177" w:rsidRDefault="0062660D" w:rsidP="001E3005">
            <w:pPr>
              <w:jc w:val="left"/>
              <w:rPr>
                <w:szCs w:val="22"/>
              </w:rPr>
            </w:pPr>
            <w:r w:rsidRPr="00802177">
              <w:rPr>
                <w:szCs w:val="22"/>
              </w:rPr>
              <w:t>11.3% plus £121,700</w:t>
            </w:r>
          </w:p>
        </w:tc>
        <w:tc>
          <w:tcPr>
            <w:tcW w:w="1984" w:type="dxa"/>
            <w:shd w:val="clear" w:color="auto" w:fill="auto"/>
            <w:vAlign w:val="center"/>
          </w:tcPr>
          <w:p w:rsidR="00230743" w:rsidRPr="00802177" w:rsidRDefault="0062660D" w:rsidP="001E3005">
            <w:pPr>
              <w:jc w:val="left"/>
              <w:rPr>
                <w:szCs w:val="22"/>
              </w:rPr>
            </w:pPr>
            <w:r w:rsidRPr="00802177">
              <w:rPr>
                <w:szCs w:val="22"/>
              </w:rPr>
              <w:t>24.4% plus £121,700</w:t>
            </w:r>
          </w:p>
        </w:tc>
        <w:tc>
          <w:tcPr>
            <w:tcW w:w="2127" w:type="dxa"/>
            <w:shd w:val="clear" w:color="auto" w:fill="auto"/>
            <w:vAlign w:val="center"/>
          </w:tcPr>
          <w:p w:rsidR="00230743" w:rsidRPr="00802177" w:rsidRDefault="0062660D" w:rsidP="001E3005">
            <w:pPr>
              <w:jc w:val="left"/>
              <w:rPr>
                <w:szCs w:val="22"/>
              </w:rPr>
            </w:pPr>
            <w:r w:rsidRPr="00802177">
              <w:rPr>
                <w:szCs w:val="22"/>
              </w:rPr>
              <w:t>11.3% plus £126,700</w:t>
            </w:r>
          </w:p>
        </w:tc>
        <w:tc>
          <w:tcPr>
            <w:tcW w:w="2409" w:type="dxa"/>
            <w:shd w:val="clear" w:color="auto" w:fill="auto"/>
            <w:vAlign w:val="center"/>
          </w:tcPr>
          <w:p w:rsidR="00230743" w:rsidRPr="00802177" w:rsidRDefault="0062660D" w:rsidP="001E3005">
            <w:pPr>
              <w:jc w:val="left"/>
              <w:rPr>
                <w:szCs w:val="22"/>
              </w:rPr>
            </w:pPr>
            <w:r w:rsidRPr="00802177">
              <w:rPr>
                <w:szCs w:val="22"/>
              </w:rPr>
              <w:t>24.4% plus £126,700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NIC Services Group Ltd</w:t>
            </w:r>
          </w:p>
        </w:tc>
        <w:tc>
          <w:tcPr>
            <w:tcW w:w="1842" w:type="dxa"/>
            <w:shd w:val="clear" w:color="auto" w:fill="auto"/>
            <w:vAlign w:val="center"/>
          </w:tcPr>
          <w:p w:rsidR="00230743" w:rsidRPr="00802177" w:rsidRDefault="0062660D" w:rsidP="001E3005">
            <w:pPr>
              <w:jc w:val="left"/>
              <w:rPr>
                <w:szCs w:val="22"/>
              </w:rPr>
            </w:pPr>
            <w:r w:rsidRPr="00802177">
              <w:rPr>
                <w:szCs w:val="22"/>
              </w:rPr>
              <w:t>2.6%</w:t>
            </w:r>
          </w:p>
        </w:tc>
        <w:tc>
          <w:tcPr>
            <w:tcW w:w="1843" w:type="dxa"/>
            <w:shd w:val="clear" w:color="auto" w:fill="auto"/>
            <w:vAlign w:val="center"/>
          </w:tcPr>
          <w:p w:rsidR="00230743" w:rsidRPr="00802177" w:rsidRDefault="0062660D" w:rsidP="001E3005">
            <w:pPr>
              <w:jc w:val="left"/>
              <w:rPr>
                <w:szCs w:val="22"/>
              </w:rPr>
            </w:pPr>
            <w:r w:rsidRPr="00802177">
              <w:rPr>
                <w:szCs w:val="22"/>
              </w:rPr>
              <w:t>15.7%</w:t>
            </w:r>
          </w:p>
        </w:tc>
        <w:tc>
          <w:tcPr>
            <w:tcW w:w="1843" w:type="dxa"/>
            <w:shd w:val="clear" w:color="auto" w:fill="auto"/>
            <w:vAlign w:val="center"/>
          </w:tcPr>
          <w:p w:rsidR="00230743" w:rsidRPr="00802177" w:rsidRDefault="0062660D" w:rsidP="001E3005">
            <w:pPr>
              <w:jc w:val="left"/>
              <w:rPr>
                <w:szCs w:val="22"/>
              </w:rPr>
            </w:pPr>
            <w:r w:rsidRPr="00802177">
              <w:rPr>
                <w:szCs w:val="22"/>
              </w:rPr>
              <w:t>3.4%</w:t>
            </w:r>
          </w:p>
        </w:tc>
        <w:tc>
          <w:tcPr>
            <w:tcW w:w="1984" w:type="dxa"/>
            <w:shd w:val="clear" w:color="auto" w:fill="auto"/>
            <w:vAlign w:val="center"/>
          </w:tcPr>
          <w:p w:rsidR="00230743" w:rsidRPr="00802177" w:rsidRDefault="0062660D" w:rsidP="001E3005">
            <w:pPr>
              <w:jc w:val="left"/>
              <w:rPr>
                <w:szCs w:val="22"/>
              </w:rPr>
            </w:pPr>
            <w:r w:rsidRPr="00802177">
              <w:rPr>
                <w:szCs w:val="22"/>
              </w:rPr>
              <w:t>16.5%</w:t>
            </w:r>
          </w:p>
        </w:tc>
        <w:tc>
          <w:tcPr>
            <w:tcW w:w="2127" w:type="dxa"/>
            <w:shd w:val="clear" w:color="auto" w:fill="auto"/>
            <w:vAlign w:val="center"/>
          </w:tcPr>
          <w:p w:rsidR="00230743" w:rsidRPr="00802177" w:rsidRDefault="0062660D" w:rsidP="001E3005">
            <w:pPr>
              <w:jc w:val="left"/>
              <w:rPr>
                <w:szCs w:val="22"/>
              </w:rPr>
            </w:pPr>
            <w:r w:rsidRPr="00802177">
              <w:rPr>
                <w:szCs w:val="22"/>
              </w:rPr>
              <w:t>4.1%</w:t>
            </w:r>
          </w:p>
        </w:tc>
        <w:tc>
          <w:tcPr>
            <w:tcW w:w="2409" w:type="dxa"/>
            <w:shd w:val="clear" w:color="auto" w:fill="auto"/>
            <w:vAlign w:val="center"/>
          </w:tcPr>
          <w:p w:rsidR="00230743" w:rsidRPr="00802177" w:rsidRDefault="0062660D" w:rsidP="001E3005">
            <w:pPr>
              <w:jc w:val="left"/>
              <w:rPr>
                <w:szCs w:val="22"/>
              </w:rPr>
            </w:pPr>
            <w:r w:rsidRPr="00802177">
              <w:rPr>
                <w:szCs w:val="22"/>
              </w:rPr>
              <w:t>17.2%</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proofErr w:type="spellStart"/>
            <w:r w:rsidRPr="00FF2F9D">
              <w:rPr>
                <w:szCs w:val="22"/>
              </w:rPr>
              <w:t>Norbreck</w:t>
            </w:r>
            <w:proofErr w:type="spellEnd"/>
            <w:r w:rsidRPr="00FF2F9D">
              <w:rPr>
                <w:szCs w:val="22"/>
              </w:rPr>
              <w:t xml:space="preserve"> Primary Academy</w:t>
            </w:r>
          </w:p>
        </w:tc>
        <w:tc>
          <w:tcPr>
            <w:tcW w:w="1842" w:type="dxa"/>
            <w:shd w:val="clear" w:color="auto" w:fill="auto"/>
            <w:vAlign w:val="center"/>
          </w:tcPr>
          <w:p w:rsidR="00230743" w:rsidRPr="00802177" w:rsidRDefault="0062660D" w:rsidP="001E3005">
            <w:pPr>
              <w:jc w:val="left"/>
              <w:rPr>
                <w:szCs w:val="22"/>
              </w:rPr>
            </w:pPr>
            <w:r w:rsidRPr="00802177">
              <w:rPr>
                <w:szCs w:val="22"/>
              </w:rPr>
              <w:t>1.8% plus £14,500</w:t>
            </w:r>
          </w:p>
        </w:tc>
        <w:tc>
          <w:tcPr>
            <w:tcW w:w="1843" w:type="dxa"/>
            <w:shd w:val="clear" w:color="auto" w:fill="auto"/>
            <w:vAlign w:val="center"/>
          </w:tcPr>
          <w:p w:rsidR="00230743" w:rsidRPr="00802177" w:rsidRDefault="0062660D" w:rsidP="001E3005">
            <w:pPr>
              <w:jc w:val="left"/>
              <w:rPr>
                <w:szCs w:val="22"/>
              </w:rPr>
            </w:pPr>
            <w:r w:rsidRPr="00802177">
              <w:rPr>
                <w:szCs w:val="22"/>
              </w:rPr>
              <w:t>14.9% plus £14,500</w:t>
            </w:r>
          </w:p>
        </w:tc>
        <w:tc>
          <w:tcPr>
            <w:tcW w:w="1843" w:type="dxa"/>
            <w:shd w:val="clear" w:color="auto" w:fill="auto"/>
            <w:vAlign w:val="center"/>
          </w:tcPr>
          <w:p w:rsidR="00230743" w:rsidRPr="00802177" w:rsidRDefault="0062660D" w:rsidP="001E3005">
            <w:pPr>
              <w:jc w:val="left"/>
              <w:rPr>
                <w:szCs w:val="22"/>
              </w:rPr>
            </w:pPr>
            <w:r w:rsidRPr="00802177">
              <w:rPr>
                <w:szCs w:val="22"/>
              </w:rPr>
              <w:t xml:space="preserve">1.8% plus </w:t>
            </w:r>
            <w:r w:rsidRPr="00802177">
              <w:rPr>
                <w:szCs w:val="22"/>
              </w:rPr>
              <w:t>£16,300</w:t>
            </w:r>
          </w:p>
        </w:tc>
        <w:tc>
          <w:tcPr>
            <w:tcW w:w="1984" w:type="dxa"/>
            <w:shd w:val="clear" w:color="auto" w:fill="auto"/>
            <w:vAlign w:val="center"/>
          </w:tcPr>
          <w:p w:rsidR="00230743" w:rsidRPr="00802177" w:rsidRDefault="0062660D" w:rsidP="001E3005">
            <w:pPr>
              <w:jc w:val="left"/>
              <w:rPr>
                <w:szCs w:val="22"/>
              </w:rPr>
            </w:pPr>
            <w:r w:rsidRPr="00802177">
              <w:rPr>
                <w:szCs w:val="22"/>
              </w:rPr>
              <w:t>14.9% plus £16,300</w:t>
            </w:r>
          </w:p>
        </w:tc>
        <w:tc>
          <w:tcPr>
            <w:tcW w:w="2127" w:type="dxa"/>
            <w:shd w:val="clear" w:color="auto" w:fill="auto"/>
            <w:vAlign w:val="center"/>
          </w:tcPr>
          <w:p w:rsidR="00230743" w:rsidRPr="00802177" w:rsidRDefault="0062660D" w:rsidP="001E3005">
            <w:pPr>
              <w:jc w:val="left"/>
              <w:rPr>
                <w:szCs w:val="22"/>
              </w:rPr>
            </w:pPr>
            <w:r w:rsidRPr="00802177">
              <w:rPr>
                <w:szCs w:val="22"/>
              </w:rPr>
              <w:t>1.8% plus £18,200</w:t>
            </w:r>
          </w:p>
        </w:tc>
        <w:tc>
          <w:tcPr>
            <w:tcW w:w="2409" w:type="dxa"/>
            <w:shd w:val="clear" w:color="auto" w:fill="auto"/>
            <w:vAlign w:val="center"/>
          </w:tcPr>
          <w:p w:rsidR="00230743" w:rsidRPr="00802177" w:rsidRDefault="0062660D" w:rsidP="001E3005">
            <w:pPr>
              <w:jc w:val="left"/>
              <w:rPr>
                <w:szCs w:val="22"/>
              </w:rPr>
            </w:pPr>
            <w:r w:rsidRPr="00802177">
              <w:rPr>
                <w:szCs w:val="22"/>
              </w:rPr>
              <w:t>14.9% plus £18,200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NSL Ltd (Lancaster)</w:t>
            </w:r>
          </w:p>
        </w:tc>
        <w:tc>
          <w:tcPr>
            <w:tcW w:w="1842" w:type="dxa"/>
            <w:shd w:val="clear" w:color="auto" w:fill="auto"/>
            <w:vAlign w:val="center"/>
          </w:tcPr>
          <w:p w:rsidR="00230743" w:rsidRPr="00802177" w:rsidRDefault="0062660D" w:rsidP="001E3005">
            <w:pPr>
              <w:jc w:val="left"/>
              <w:rPr>
                <w:szCs w:val="22"/>
              </w:rPr>
            </w:pPr>
            <w:r w:rsidRPr="00802177">
              <w:rPr>
                <w:szCs w:val="22"/>
              </w:rPr>
              <w:t>-3.4%</w:t>
            </w:r>
          </w:p>
        </w:tc>
        <w:tc>
          <w:tcPr>
            <w:tcW w:w="1843" w:type="dxa"/>
            <w:shd w:val="clear" w:color="auto" w:fill="auto"/>
            <w:vAlign w:val="center"/>
          </w:tcPr>
          <w:p w:rsidR="00230743" w:rsidRPr="00802177" w:rsidRDefault="0062660D" w:rsidP="001E3005">
            <w:pPr>
              <w:jc w:val="left"/>
              <w:rPr>
                <w:szCs w:val="22"/>
              </w:rPr>
            </w:pPr>
            <w:r w:rsidRPr="00802177">
              <w:rPr>
                <w:szCs w:val="22"/>
              </w:rPr>
              <w:t>9.7%</w:t>
            </w:r>
          </w:p>
        </w:tc>
        <w:tc>
          <w:tcPr>
            <w:tcW w:w="1843" w:type="dxa"/>
            <w:shd w:val="clear" w:color="auto" w:fill="auto"/>
            <w:vAlign w:val="center"/>
          </w:tcPr>
          <w:p w:rsidR="00230743" w:rsidRPr="00802177" w:rsidRDefault="0062660D" w:rsidP="001E3005">
            <w:pPr>
              <w:jc w:val="left"/>
              <w:rPr>
                <w:szCs w:val="22"/>
              </w:rPr>
            </w:pPr>
            <w:r w:rsidRPr="00802177">
              <w:rPr>
                <w:szCs w:val="22"/>
              </w:rPr>
              <w:t>-3.4%</w:t>
            </w:r>
          </w:p>
        </w:tc>
        <w:tc>
          <w:tcPr>
            <w:tcW w:w="1984" w:type="dxa"/>
            <w:shd w:val="clear" w:color="auto" w:fill="auto"/>
            <w:vAlign w:val="center"/>
          </w:tcPr>
          <w:p w:rsidR="00230743" w:rsidRPr="00802177" w:rsidRDefault="0062660D" w:rsidP="001E3005">
            <w:pPr>
              <w:jc w:val="left"/>
              <w:rPr>
                <w:szCs w:val="22"/>
              </w:rPr>
            </w:pPr>
            <w:r w:rsidRPr="00802177">
              <w:rPr>
                <w:szCs w:val="22"/>
              </w:rPr>
              <w:t>9.7%</w:t>
            </w:r>
          </w:p>
        </w:tc>
        <w:tc>
          <w:tcPr>
            <w:tcW w:w="2127" w:type="dxa"/>
            <w:shd w:val="clear" w:color="auto" w:fill="auto"/>
            <w:vAlign w:val="center"/>
          </w:tcPr>
          <w:p w:rsidR="00230743" w:rsidRPr="00802177" w:rsidRDefault="0062660D" w:rsidP="001E3005">
            <w:pPr>
              <w:jc w:val="left"/>
              <w:rPr>
                <w:szCs w:val="22"/>
              </w:rPr>
            </w:pPr>
            <w:r w:rsidRPr="00802177">
              <w:rPr>
                <w:szCs w:val="22"/>
              </w:rPr>
              <w:t>-3.4%</w:t>
            </w:r>
          </w:p>
        </w:tc>
        <w:tc>
          <w:tcPr>
            <w:tcW w:w="2409" w:type="dxa"/>
            <w:shd w:val="clear" w:color="auto" w:fill="auto"/>
            <w:vAlign w:val="center"/>
          </w:tcPr>
          <w:p w:rsidR="00230743" w:rsidRPr="00802177" w:rsidRDefault="0062660D" w:rsidP="001E3005">
            <w:pPr>
              <w:jc w:val="left"/>
              <w:rPr>
                <w:szCs w:val="22"/>
              </w:rPr>
            </w:pPr>
            <w:r w:rsidRPr="00802177">
              <w:rPr>
                <w:szCs w:val="22"/>
              </w:rPr>
              <w:t>9.7%</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NW Inshore Fisheries</w:t>
            </w:r>
          </w:p>
        </w:tc>
        <w:tc>
          <w:tcPr>
            <w:tcW w:w="1842" w:type="dxa"/>
            <w:shd w:val="clear" w:color="auto" w:fill="auto"/>
            <w:vAlign w:val="center"/>
          </w:tcPr>
          <w:p w:rsidR="00230743" w:rsidRPr="00802177" w:rsidRDefault="0062660D" w:rsidP="001E3005">
            <w:pPr>
              <w:jc w:val="left"/>
              <w:rPr>
                <w:szCs w:val="22"/>
              </w:rPr>
            </w:pPr>
            <w:r w:rsidRPr="00802177">
              <w:rPr>
                <w:szCs w:val="22"/>
              </w:rPr>
              <w:t>2.6% plus £27,000</w:t>
            </w:r>
          </w:p>
        </w:tc>
        <w:tc>
          <w:tcPr>
            <w:tcW w:w="1843" w:type="dxa"/>
            <w:shd w:val="clear" w:color="auto" w:fill="auto"/>
            <w:vAlign w:val="center"/>
          </w:tcPr>
          <w:p w:rsidR="00230743" w:rsidRPr="00802177" w:rsidRDefault="0062660D" w:rsidP="001E3005">
            <w:pPr>
              <w:jc w:val="left"/>
              <w:rPr>
                <w:szCs w:val="22"/>
              </w:rPr>
            </w:pPr>
            <w:r w:rsidRPr="00802177">
              <w:rPr>
                <w:szCs w:val="22"/>
              </w:rPr>
              <w:t>15.7% plus £27,000</w:t>
            </w:r>
          </w:p>
        </w:tc>
        <w:tc>
          <w:tcPr>
            <w:tcW w:w="1843" w:type="dxa"/>
            <w:shd w:val="clear" w:color="auto" w:fill="auto"/>
            <w:vAlign w:val="center"/>
          </w:tcPr>
          <w:p w:rsidR="00230743" w:rsidRPr="00802177" w:rsidRDefault="0062660D" w:rsidP="001E3005">
            <w:pPr>
              <w:jc w:val="left"/>
              <w:rPr>
                <w:szCs w:val="22"/>
              </w:rPr>
            </w:pPr>
            <w:r w:rsidRPr="00802177">
              <w:rPr>
                <w:szCs w:val="22"/>
              </w:rPr>
              <w:t>2.6% plus £28,100</w:t>
            </w:r>
          </w:p>
        </w:tc>
        <w:tc>
          <w:tcPr>
            <w:tcW w:w="1984" w:type="dxa"/>
            <w:shd w:val="clear" w:color="auto" w:fill="auto"/>
            <w:vAlign w:val="center"/>
          </w:tcPr>
          <w:p w:rsidR="00230743" w:rsidRPr="00802177" w:rsidRDefault="0062660D" w:rsidP="001E3005">
            <w:pPr>
              <w:jc w:val="left"/>
              <w:rPr>
                <w:szCs w:val="22"/>
              </w:rPr>
            </w:pPr>
            <w:r w:rsidRPr="00802177">
              <w:rPr>
                <w:szCs w:val="22"/>
              </w:rPr>
              <w:t>15.7% plus £28,100</w:t>
            </w:r>
          </w:p>
        </w:tc>
        <w:tc>
          <w:tcPr>
            <w:tcW w:w="2127" w:type="dxa"/>
            <w:shd w:val="clear" w:color="auto" w:fill="auto"/>
            <w:vAlign w:val="center"/>
          </w:tcPr>
          <w:p w:rsidR="00230743" w:rsidRPr="00802177" w:rsidRDefault="0062660D" w:rsidP="001E3005">
            <w:pPr>
              <w:jc w:val="left"/>
              <w:rPr>
                <w:szCs w:val="22"/>
              </w:rPr>
            </w:pPr>
            <w:r w:rsidRPr="00802177">
              <w:rPr>
                <w:szCs w:val="22"/>
              </w:rPr>
              <w:t>2.6% plus £29,300</w:t>
            </w:r>
          </w:p>
        </w:tc>
        <w:tc>
          <w:tcPr>
            <w:tcW w:w="2409" w:type="dxa"/>
            <w:shd w:val="clear" w:color="auto" w:fill="auto"/>
            <w:vAlign w:val="center"/>
          </w:tcPr>
          <w:p w:rsidR="00230743" w:rsidRPr="00802177" w:rsidRDefault="0062660D" w:rsidP="001E3005">
            <w:pPr>
              <w:jc w:val="left"/>
              <w:rPr>
                <w:szCs w:val="22"/>
              </w:rPr>
            </w:pPr>
            <w:r w:rsidRPr="00802177">
              <w:rPr>
                <w:szCs w:val="22"/>
              </w:rPr>
              <w:t>15.7% plus £29,300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 xml:space="preserve">Office of the Police and Crime Commissioner </w:t>
            </w:r>
          </w:p>
        </w:tc>
        <w:tc>
          <w:tcPr>
            <w:tcW w:w="1842" w:type="dxa"/>
            <w:shd w:val="clear" w:color="auto" w:fill="auto"/>
            <w:vAlign w:val="center"/>
          </w:tcPr>
          <w:p w:rsidR="00230743" w:rsidRPr="00802177" w:rsidRDefault="0062660D" w:rsidP="001E3005">
            <w:pPr>
              <w:jc w:val="left"/>
              <w:rPr>
                <w:szCs w:val="22"/>
              </w:rPr>
            </w:pPr>
            <w:r w:rsidRPr="00802177">
              <w:rPr>
                <w:szCs w:val="22"/>
              </w:rPr>
              <w:t>-1.6% plus £2,900,000</w:t>
            </w:r>
          </w:p>
        </w:tc>
        <w:tc>
          <w:tcPr>
            <w:tcW w:w="1843" w:type="dxa"/>
            <w:shd w:val="clear" w:color="auto" w:fill="auto"/>
            <w:vAlign w:val="center"/>
          </w:tcPr>
          <w:p w:rsidR="00230743" w:rsidRPr="00802177" w:rsidRDefault="0062660D" w:rsidP="001E3005">
            <w:pPr>
              <w:jc w:val="left"/>
              <w:rPr>
                <w:szCs w:val="22"/>
              </w:rPr>
            </w:pPr>
            <w:r w:rsidRPr="00802177">
              <w:rPr>
                <w:szCs w:val="22"/>
              </w:rPr>
              <w:t>11.5% plus £2,900,000</w:t>
            </w:r>
          </w:p>
        </w:tc>
        <w:tc>
          <w:tcPr>
            <w:tcW w:w="1843" w:type="dxa"/>
            <w:shd w:val="clear" w:color="auto" w:fill="auto"/>
            <w:vAlign w:val="center"/>
          </w:tcPr>
          <w:p w:rsidR="00230743" w:rsidRPr="00802177" w:rsidRDefault="0062660D" w:rsidP="001E3005">
            <w:pPr>
              <w:jc w:val="left"/>
              <w:rPr>
                <w:szCs w:val="22"/>
              </w:rPr>
            </w:pPr>
            <w:r w:rsidRPr="00802177">
              <w:rPr>
                <w:szCs w:val="22"/>
              </w:rPr>
              <w:t>-1.6% plus £2,900,000</w:t>
            </w:r>
          </w:p>
        </w:tc>
        <w:tc>
          <w:tcPr>
            <w:tcW w:w="1984" w:type="dxa"/>
            <w:shd w:val="clear" w:color="auto" w:fill="auto"/>
            <w:vAlign w:val="center"/>
          </w:tcPr>
          <w:p w:rsidR="00230743" w:rsidRPr="00802177" w:rsidRDefault="0062660D" w:rsidP="001E3005">
            <w:pPr>
              <w:jc w:val="left"/>
              <w:rPr>
                <w:szCs w:val="22"/>
              </w:rPr>
            </w:pPr>
            <w:r w:rsidRPr="00802177">
              <w:rPr>
                <w:szCs w:val="22"/>
              </w:rPr>
              <w:t>11.5% plus £2,900,000</w:t>
            </w:r>
          </w:p>
        </w:tc>
        <w:tc>
          <w:tcPr>
            <w:tcW w:w="2127" w:type="dxa"/>
            <w:shd w:val="clear" w:color="auto" w:fill="auto"/>
            <w:vAlign w:val="center"/>
          </w:tcPr>
          <w:p w:rsidR="00230743" w:rsidRPr="00802177" w:rsidRDefault="0062660D" w:rsidP="001E3005">
            <w:pPr>
              <w:jc w:val="left"/>
              <w:rPr>
                <w:szCs w:val="22"/>
              </w:rPr>
            </w:pPr>
            <w:r w:rsidRPr="00802177">
              <w:rPr>
                <w:szCs w:val="22"/>
              </w:rPr>
              <w:t>-1.6% plus £2,900,000</w:t>
            </w:r>
          </w:p>
        </w:tc>
        <w:tc>
          <w:tcPr>
            <w:tcW w:w="2409" w:type="dxa"/>
            <w:shd w:val="clear" w:color="auto" w:fill="auto"/>
            <w:vAlign w:val="center"/>
          </w:tcPr>
          <w:p w:rsidR="00230743" w:rsidRPr="00802177" w:rsidRDefault="0062660D" w:rsidP="001E3005">
            <w:pPr>
              <w:jc w:val="left"/>
              <w:rPr>
                <w:szCs w:val="22"/>
              </w:rPr>
            </w:pPr>
            <w:r w:rsidRPr="00802177">
              <w:rPr>
                <w:szCs w:val="22"/>
              </w:rPr>
              <w:t>11.5% plus £2,900,000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 xml:space="preserve">Old </w:t>
            </w:r>
            <w:proofErr w:type="spellStart"/>
            <w:r w:rsidRPr="00FF2F9D">
              <w:rPr>
                <w:szCs w:val="22"/>
              </w:rPr>
              <w:t>Laund</w:t>
            </w:r>
            <w:proofErr w:type="spellEnd"/>
            <w:r w:rsidRPr="00FF2F9D">
              <w:rPr>
                <w:szCs w:val="22"/>
              </w:rPr>
              <w:t xml:space="preserve"> </w:t>
            </w:r>
            <w:r w:rsidRPr="00FF2F9D">
              <w:rPr>
                <w:szCs w:val="22"/>
              </w:rPr>
              <w:t>Booth</w:t>
            </w:r>
            <w:r w:rsidRPr="00FF2F9D">
              <w:rPr>
                <w:szCs w:val="22"/>
              </w:rPr>
              <w:t xml:space="preserve"> Parish Council</w:t>
            </w:r>
          </w:p>
        </w:tc>
        <w:tc>
          <w:tcPr>
            <w:tcW w:w="1842" w:type="dxa"/>
            <w:shd w:val="clear" w:color="auto" w:fill="auto"/>
            <w:vAlign w:val="center"/>
          </w:tcPr>
          <w:p w:rsidR="00230743" w:rsidRPr="00802177" w:rsidRDefault="0062660D" w:rsidP="001E3005">
            <w:pPr>
              <w:jc w:val="left"/>
              <w:rPr>
                <w:szCs w:val="22"/>
              </w:rPr>
            </w:pPr>
            <w:r w:rsidRPr="00802177">
              <w:rPr>
                <w:szCs w:val="22"/>
              </w:rPr>
              <w:t>TBC</w:t>
            </w:r>
          </w:p>
        </w:tc>
        <w:tc>
          <w:tcPr>
            <w:tcW w:w="1843" w:type="dxa"/>
            <w:shd w:val="clear" w:color="auto" w:fill="auto"/>
            <w:vAlign w:val="center"/>
          </w:tcPr>
          <w:p w:rsidR="00230743" w:rsidRPr="00802177" w:rsidRDefault="0062660D" w:rsidP="001E3005">
            <w:pPr>
              <w:jc w:val="left"/>
              <w:rPr>
                <w:szCs w:val="22"/>
              </w:rPr>
            </w:pPr>
            <w:r w:rsidRPr="00802177">
              <w:rPr>
                <w:szCs w:val="22"/>
              </w:rPr>
              <w:t>TBC</w:t>
            </w:r>
          </w:p>
        </w:tc>
        <w:tc>
          <w:tcPr>
            <w:tcW w:w="1843" w:type="dxa"/>
            <w:shd w:val="clear" w:color="auto" w:fill="auto"/>
            <w:vAlign w:val="center"/>
          </w:tcPr>
          <w:p w:rsidR="00230743" w:rsidRPr="00802177" w:rsidRDefault="0062660D" w:rsidP="001E3005">
            <w:pPr>
              <w:jc w:val="left"/>
              <w:rPr>
                <w:szCs w:val="22"/>
              </w:rPr>
            </w:pPr>
            <w:r w:rsidRPr="00802177">
              <w:rPr>
                <w:szCs w:val="22"/>
              </w:rPr>
              <w:t>TBC</w:t>
            </w:r>
          </w:p>
        </w:tc>
        <w:tc>
          <w:tcPr>
            <w:tcW w:w="1984" w:type="dxa"/>
            <w:shd w:val="clear" w:color="auto" w:fill="auto"/>
            <w:vAlign w:val="center"/>
          </w:tcPr>
          <w:p w:rsidR="00230743" w:rsidRPr="00802177" w:rsidRDefault="0062660D" w:rsidP="001E3005">
            <w:pPr>
              <w:jc w:val="left"/>
              <w:rPr>
                <w:szCs w:val="22"/>
              </w:rPr>
            </w:pPr>
            <w:r w:rsidRPr="00802177">
              <w:rPr>
                <w:szCs w:val="22"/>
              </w:rPr>
              <w:t>TBC</w:t>
            </w:r>
          </w:p>
        </w:tc>
        <w:tc>
          <w:tcPr>
            <w:tcW w:w="2127" w:type="dxa"/>
            <w:shd w:val="clear" w:color="auto" w:fill="auto"/>
            <w:vAlign w:val="center"/>
          </w:tcPr>
          <w:p w:rsidR="00230743" w:rsidRPr="00802177" w:rsidRDefault="0062660D" w:rsidP="001E3005">
            <w:pPr>
              <w:jc w:val="left"/>
              <w:rPr>
                <w:szCs w:val="22"/>
              </w:rPr>
            </w:pPr>
            <w:r w:rsidRPr="00802177">
              <w:rPr>
                <w:szCs w:val="22"/>
              </w:rPr>
              <w:t>TBC</w:t>
            </w:r>
          </w:p>
        </w:tc>
        <w:tc>
          <w:tcPr>
            <w:tcW w:w="2409" w:type="dxa"/>
            <w:shd w:val="clear" w:color="auto" w:fill="auto"/>
            <w:vAlign w:val="center"/>
          </w:tcPr>
          <w:p w:rsidR="00230743" w:rsidRPr="00802177" w:rsidRDefault="0062660D" w:rsidP="001E3005">
            <w:pPr>
              <w:jc w:val="left"/>
              <w:rPr>
                <w:szCs w:val="22"/>
              </w:rPr>
            </w:pPr>
            <w:r w:rsidRPr="00802177">
              <w:rPr>
                <w:szCs w:val="22"/>
              </w:rPr>
              <w:t>TBC</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proofErr w:type="spellStart"/>
            <w:r w:rsidRPr="00FF2F9D">
              <w:rPr>
                <w:szCs w:val="22"/>
              </w:rPr>
              <w:t>Parbold</w:t>
            </w:r>
            <w:proofErr w:type="spellEnd"/>
            <w:r w:rsidRPr="00FF2F9D">
              <w:rPr>
                <w:szCs w:val="22"/>
              </w:rPr>
              <w:t xml:space="preserve"> Douglas C.E. </w:t>
            </w:r>
            <w:r w:rsidRPr="00FF2F9D">
              <w:rPr>
                <w:szCs w:val="22"/>
              </w:rPr>
              <w:t>Academy</w:t>
            </w:r>
          </w:p>
        </w:tc>
        <w:tc>
          <w:tcPr>
            <w:tcW w:w="1842" w:type="dxa"/>
            <w:shd w:val="clear" w:color="auto" w:fill="auto"/>
            <w:vAlign w:val="center"/>
          </w:tcPr>
          <w:p w:rsidR="00230743" w:rsidRPr="00802177" w:rsidRDefault="0062660D" w:rsidP="001E3005">
            <w:pPr>
              <w:jc w:val="left"/>
              <w:rPr>
                <w:szCs w:val="22"/>
              </w:rPr>
            </w:pPr>
            <w:r w:rsidRPr="00802177">
              <w:rPr>
                <w:szCs w:val="22"/>
              </w:rPr>
              <w:t>2.1% plus £5,700</w:t>
            </w:r>
          </w:p>
        </w:tc>
        <w:tc>
          <w:tcPr>
            <w:tcW w:w="1843" w:type="dxa"/>
            <w:shd w:val="clear" w:color="auto" w:fill="auto"/>
            <w:vAlign w:val="center"/>
          </w:tcPr>
          <w:p w:rsidR="00230743" w:rsidRPr="00802177" w:rsidRDefault="0062660D" w:rsidP="001E3005">
            <w:pPr>
              <w:jc w:val="left"/>
              <w:rPr>
                <w:szCs w:val="22"/>
              </w:rPr>
            </w:pPr>
            <w:r w:rsidRPr="00802177">
              <w:rPr>
                <w:szCs w:val="22"/>
              </w:rPr>
              <w:t>15.2% plus £5,700</w:t>
            </w:r>
          </w:p>
        </w:tc>
        <w:tc>
          <w:tcPr>
            <w:tcW w:w="1843" w:type="dxa"/>
            <w:shd w:val="clear" w:color="auto" w:fill="auto"/>
            <w:vAlign w:val="center"/>
          </w:tcPr>
          <w:p w:rsidR="00230743" w:rsidRPr="00802177" w:rsidRDefault="0062660D" w:rsidP="001E3005">
            <w:pPr>
              <w:jc w:val="left"/>
              <w:rPr>
                <w:szCs w:val="22"/>
              </w:rPr>
            </w:pPr>
            <w:r w:rsidRPr="00802177">
              <w:rPr>
                <w:szCs w:val="22"/>
              </w:rPr>
              <w:t>2.1% plus £7,500</w:t>
            </w:r>
          </w:p>
        </w:tc>
        <w:tc>
          <w:tcPr>
            <w:tcW w:w="1984" w:type="dxa"/>
            <w:shd w:val="clear" w:color="auto" w:fill="auto"/>
            <w:vAlign w:val="center"/>
          </w:tcPr>
          <w:p w:rsidR="00230743" w:rsidRPr="00802177" w:rsidRDefault="0062660D" w:rsidP="001E3005">
            <w:pPr>
              <w:jc w:val="left"/>
              <w:rPr>
                <w:szCs w:val="22"/>
              </w:rPr>
            </w:pPr>
            <w:r w:rsidRPr="00802177">
              <w:rPr>
                <w:szCs w:val="22"/>
              </w:rPr>
              <w:t>15.2% plus £7,500</w:t>
            </w:r>
          </w:p>
        </w:tc>
        <w:tc>
          <w:tcPr>
            <w:tcW w:w="2127" w:type="dxa"/>
            <w:shd w:val="clear" w:color="auto" w:fill="auto"/>
            <w:vAlign w:val="center"/>
          </w:tcPr>
          <w:p w:rsidR="00230743" w:rsidRPr="00802177" w:rsidRDefault="0062660D" w:rsidP="001E3005">
            <w:pPr>
              <w:jc w:val="left"/>
              <w:rPr>
                <w:szCs w:val="22"/>
              </w:rPr>
            </w:pPr>
            <w:r w:rsidRPr="00802177">
              <w:rPr>
                <w:szCs w:val="22"/>
              </w:rPr>
              <w:t>2.1% plus £9,400</w:t>
            </w:r>
          </w:p>
        </w:tc>
        <w:tc>
          <w:tcPr>
            <w:tcW w:w="2409" w:type="dxa"/>
            <w:shd w:val="clear" w:color="auto" w:fill="auto"/>
            <w:vAlign w:val="center"/>
          </w:tcPr>
          <w:p w:rsidR="00230743" w:rsidRPr="00802177" w:rsidRDefault="0062660D" w:rsidP="001E3005">
            <w:pPr>
              <w:jc w:val="left"/>
              <w:rPr>
                <w:szCs w:val="22"/>
              </w:rPr>
            </w:pPr>
            <w:r w:rsidRPr="00802177">
              <w:rPr>
                <w:szCs w:val="22"/>
              </w:rPr>
              <w:t>15.2% plus £9,400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Parklands High School Academy</w:t>
            </w:r>
          </w:p>
        </w:tc>
        <w:tc>
          <w:tcPr>
            <w:tcW w:w="1842" w:type="dxa"/>
            <w:shd w:val="clear" w:color="auto" w:fill="auto"/>
            <w:vAlign w:val="center"/>
          </w:tcPr>
          <w:p w:rsidR="00230743" w:rsidRPr="00802177" w:rsidRDefault="0062660D" w:rsidP="001E3005">
            <w:pPr>
              <w:jc w:val="left"/>
              <w:rPr>
                <w:szCs w:val="22"/>
              </w:rPr>
            </w:pPr>
            <w:r w:rsidRPr="00802177">
              <w:rPr>
                <w:szCs w:val="22"/>
              </w:rPr>
              <w:t>1.8% plus £20,900</w:t>
            </w:r>
          </w:p>
        </w:tc>
        <w:tc>
          <w:tcPr>
            <w:tcW w:w="1843" w:type="dxa"/>
            <w:shd w:val="clear" w:color="auto" w:fill="auto"/>
            <w:vAlign w:val="center"/>
          </w:tcPr>
          <w:p w:rsidR="00230743" w:rsidRPr="00802177" w:rsidRDefault="0062660D" w:rsidP="001E3005">
            <w:pPr>
              <w:jc w:val="left"/>
              <w:rPr>
                <w:szCs w:val="22"/>
              </w:rPr>
            </w:pPr>
            <w:r w:rsidRPr="00802177">
              <w:rPr>
                <w:szCs w:val="22"/>
              </w:rPr>
              <w:t>14.9% plus £20,900</w:t>
            </w:r>
          </w:p>
        </w:tc>
        <w:tc>
          <w:tcPr>
            <w:tcW w:w="1843" w:type="dxa"/>
            <w:shd w:val="clear" w:color="auto" w:fill="auto"/>
            <w:vAlign w:val="center"/>
          </w:tcPr>
          <w:p w:rsidR="00230743" w:rsidRPr="00802177" w:rsidRDefault="0062660D" w:rsidP="001E3005">
            <w:pPr>
              <w:jc w:val="left"/>
              <w:rPr>
                <w:szCs w:val="22"/>
              </w:rPr>
            </w:pPr>
            <w:r w:rsidRPr="00802177">
              <w:rPr>
                <w:szCs w:val="22"/>
              </w:rPr>
              <w:t>1.8% plus £21,800</w:t>
            </w:r>
          </w:p>
        </w:tc>
        <w:tc>
          <w:tcPr>
            <w:tcW w:w="1984" w:type="dxa"/>
            <w:shd w:val="clear" w:color="auto" w:fill="auto"/>
            <w:vAlign w:val="center"/>
          </w:tcPr>
          <w:p w:rsidR="00230743" w:rsidRPr="00802177" w:rsidRDefault="0062660D" w:rsidP="001E3005">
            <w:pPr>
              <w:jc w:val="left"/>
              <w:rPr>
                <w:szCs w:val="22"/>
              </w:rPr>
            </w:pPr>
            <w:r w:rsidRPr="00802177">
              <w:rPr>
                <w:szCs w:val="22"/>
              </w:rPr>
              <w:t>14.9% plus £21,800</w:t>
            </w:r>
          </w:p>
        </w:tc>
        <w:tc>
          <w:tcPr>
            <w:tcW w:w="2127" w:type="dxa"/>
            <w:shd w:val="clear" w:color="auto" w:fill="auto"/>
            <w:vAlign w:val="center"/>
          </w:tcPr>
          <w:p w:rsidR="00230743" w:rsidRPr="00802177" w:rsidRDefault="0062660D" w:rsidP="001E3005">
            <w:pPr>
              <w:jc w:val="left"/>
              <w:rPr>
                <w:szCs w:val="22"/>
              </w:rPr>
            </w:pPr>
            <w:r w:rsidRPr="00802177">
              <w:rPr>
                <w:szCs w:val="22"/>
              </w:rPr>
              <w:t>1.8% plus £22,700</w:t>
            </w:r>
          </w:p>
        </w:tc>
        <w:tc>
          <w:tcPr>
            <w:tcW w:w="2409" w:type="dxa"/>
            <w:shd w:val="clear" w:color="auto" w:fill="auto"/>
            <w:vAlign w:val="center"/>
          </w:tcPr>
          <w:p w:rsidR="00230743" w:rsidRPr="00802177" w:rsidRDefault="0062660D" w:rsidP="001E3005">
            <w:pPr>
              <w:jc w:val="left"/>
              <w:rPr>
                <w:szCs w:val="22"/>
              </w:rPr>
            </w:pPr>
            <w:r w:rsidRPr="00802177">
              <w:rPr>
                <w:szCs w:val="22"/>
              </w:rPr>
              <w:t>14.9% plus £22,700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Pendle Borough Council</w:t>
            </w:r>
          </w:p>
        </w:tc>
        <w:tc>
          <w:tcPr>
            <w:tcW w:w="1842" w:type="dxa"/>
            <w:shd w:val="clear" w:color="auto" w:fill="auto"/>
            <w:vAlign w:val="center"/>
          </w:tcPr>
          <w:p w:rsidR="00230743" w:rsidRPr="00802177" w:rsidRDefault="0062660D" w:rsidP="001E3005">
            <w:pPr>
              <w:jc w:val="left"/>
              <w:rPr>
                <w:szCs w:val="22"/>
              </w:rPr>
            </w:pPr>
            <w:r w:rsidRPr="00802177">
              <w:rPr>
                <w:szCs w:val="22"/>
              </w:rPr>
              <w:t>-0.9% plus £1,247,800</w:t>
            </w:r>
          </w:p>
        </w:tc>
        <w:tc>
          <w:tcPr>
            <w:tcW w:w="1843" w:type="dxa"/>
            <w:shd w:val="clear" w:color="auto" w:fill="auto"/>
            <w:vAlign w:val="center"/>
          </w:tcPr>
          <w:p w:rsidR="00230743" w:rsidRPr="00802177" w:rsidRDefault="0062660D" w:rsidP="001E3005">
            <w:pPr>
              <w:jc w:val="left"/>
              <w:rPr>
                <w:szCs w:val="22"/>
              </w:rPr>
            </w:pPr>
            <w:r w:rsidRPr="00802177">
              <w:rPr>
                <w:szCs w:val="22"/>
              </w:rPr>
              <w:t>12.2% plus £1,247,800</w:t>
            </w:r>
          </w:p>
        </w:tc>
        <w:tc>
          <w:tcPr>
            <w:tcW w:w="1843" w:type="dxa"/>
            <w:shd w:val="clear" w:color="auto" w:fill="auto"/>
            <w:vAlign w:val="center"/>
          </w:tcPr>
          <w:p w:rsidR="00230743" w:rsidRPr="00802177" w:rsidRDefault="0062660D" w:rsidP="001E3005">
            <w:pPr>
              <w:jc w:val="left"/>
              <w:rPr>
                <w:szCs w:val="22"/>
              </w:rPr>
            </w:pPr>
            <w:r w:rsidRPr="00802177">
              <w:rPr>
                <w:szCs w:val="22"/>
              </w:rPr>
              <w:t>-0.9% plus £1,299,000</w:t>
            </w:r>
          </w:p>
        </w:tc>
        <w:tc>
          <w:tcPr>
            <w:tcW w:w="1984" w:type="dxa"/>
            <w:shd w:val="clear" w:color="auto" w:fill="auto"/>
            <w:vAlign w:val="center"/>
          </w:tcPr>
          <w:p w:rsidR="00230743" w:rsidRPr="00802177" w:rsidRDefault="0062660D" w:rsidP="001E3005">
            <w:pPr>
              <w:jc w:val="left"/>
              <w:rPr>
                <w:szCs w:val="22"/>
              </w:rPr>
            </w:pPr>
            <w:r w:rsidRPr="00802177">
              <w:rPr>
                <w:szCs w:val="22"/>
              </w:rPr>
              <w:t>12.2% plus £1,299,000</w:t>
            </w:r>
          </w:p>
        </w:tc>
        <w:tc>
          <w:tcPr>
            <w:tcW w:w="2127" w:type="dxa"/>
            <w:shd w:val="clear" w:color="auto" w:fill="auto"/>
            <w:vAlign w:val="center"/>
          </w:tcPr>
          <w:p w:rsidR="00230743" w:rsidRPr="00802177" w:rsidRDefault="0062660D" w:rsidP="001E3005">
            <w:pPr>
              <w:jc w:val="left"/>
              <w:rPr>
                <w:szCs w:val="22"/>
              </w:rPr>
            </w:pPr>
            <w:r w:rsidRPr="00802177">
              <w:rPr>
                <w:szCs w:val="22"/>
              </w:rPr>
              <w:t>-0.9% plus £1,352,300</w:t>
            </w:r>
          </w:p>
        </w:tc>
        <w:tc>
          <w:tcPr>
            <w:tcW w:w="2409" w:type="dxa"/>
            <w:shd w:val="clear" w:color="auto" w:fill="auto"/>
            <w:vAlign w:val="center"/>
          </w:tcPr>
          <w:p w:rsidR="00230743" w:rsidRPr="00802177" w:rsidRDefault="0062660D" w:rsidP="001E3005">
            <w:pPr>
              <w:jc w:val="left"/>
              <w:rPr>
                <w:szCs w:val="22"/>
              </w:rPr>
            </w:pPr>
            <w:r w:rsidRPr="00802177">
              <w:rPr>
                <w:szCs w:val="22"/>
              </w:rPr>
              <w:t>12.2% plus £1,352,300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 xml:space="preserve">Pendle Education Trust - Colne </w:t>
            </w:r>
            <w:proofErr w:type="spellStart"/>
            <w:r w:rsidRPr="00FF2F9D">
              <w:rPr>
                <w:szCs w:val="22"/>
              </w:rPr>
              <w:t>Primet</w:t>
            </w:r>
            <w:proofErr w:type="spellEnd"/>
          </w:p>
        </w:tc>
        <w:tc>
          <w:tcPr>
            <w:tcW w:w="1842" w:type="dxa"/>
            <w:shd w:val="clear" w:color="auto" w:fill="auto"/>
            <w:vAlign w:val="center"/>
          </w:tcPr>
          <w:p w:rsidR="00230743" w:rsidRPr="00802177" w:rsidRDefault="0062660D" w:rsidP="001E3005">
            <w:pPr>
              <w:jc w:val="left"/>
              <w:rPr>
                <w:szCs w:val="22"/>
              </w:rPr>
            </w:pPr>
            <w:r w:rsidRPr="00802177">
              <w:rPr>
                <w:szCs w:val="22"/>
              </w:rPr>
              <w:t>2.3% plus £17,500</w:t>
            </w:r>
          </w:p>
        </w:tc>
        <w:tc>
          <w:tcPr>
            <w:tcW w:w="1843" w:type="dxa"/>
            <w:shd w:val="clear" w:color="auto" w:fill="auto"/>
            <w:vAlign w:val="center"/>
          </w:tcPr>
          <w:p w:rsidR="00230743" w:rsidRPr="00802177" w:rsidRDefault="0062660D" w:rsidP="001E3005">
            <w:pPr>
              <w:jc w:val="left"/>
              <w:rPr>
                <w:szCs w:val="22"/>
              </w:rPr>
            </w:pPr>
            <w:r w:rsidRPr="00802177">
              <w:rPr>
                <w:szCs w:val="22"/>
              </w:rPr>
              <w:t>15.4% plus £17,500</w:t>
            </w:r>
          </w:p>
        </w:tc>
        <w:tc>
          <w:tcPr>
            <w:tcW w:w="1843" w:type="dxa"/>
            <w:shd w:val="clear" w:color="auto" w:fill="auto"/>
            <w:vAlign w:val="center"/>
          </w:tcPr>
          <w:p w:rsidR="00230743" w:rsidRPr="00802177" w:rsidRDefault="0062660D" w:rsidP="001E3005">
            <w:pPr>
              <w:jc w:val="left"/>
              <w:rPr>
                <w:szCs w:val="22"/>
              </w:rPr>
            </w:pPr>
            <w:r w:rsidRPr="00802177">
              <w:rPr>
                <w:szCs w:val="22"/>
              </w:rPr>
              <w:t>2.3% plus £18,200</w:t>
            </w:r>
          </w:p>
        </w:tc>
        <w:tc>
          <w:tcPr>
            <w:tcW w:w="1984" w:type="dxa"/>
            <w:shd w:val="clear" w:color="auto" w:fill="auto"/>
            <w:vAlign w:val="center"/>
          </w:tcPr>
          <w:p w:rsidR="00230743" w:rsidRPr="00802177" w:rsidRDefault="0062660D" w:rsidP="001E3005">
            <w:pPr>
              <w:jc w:val="left"/>
              <w:rPr>
                <w:szCs w:val="22"/>
              </w:rPr>
            </w:pPr>
            <w:r w:rsidRPr="00802177">
              <w:rPr>
                <w:szCs w:val="22"/>
              </w:rPr>
              <w:t xml:space="preserve">15.4% </w:t>
            </w:r>
            <w:r w:rsidRPr="00802177">
              <w:rPr>
                <w:szCs w:val="22"/>
              </w:rPr>
              <w:t>plus £18,200</w:t>
            </w:r>
          </w:p>
        </w:tc>
        <w:tc>
          <w:tcPr>
            <w:tcW w:w="2127" w:type="dxa"/>
            <w:shd w:val="clear" w:color="auto" w:fill="auto"/>
            <w:vAlign w:val="center"/>
          </w:tcPr>
          <w:p w:rsidR="00230743" w:rsidRPr="00802177" w:rsidRDefault="0062660D" w:rsidP="001E3005">
            <w:pPr>
              <w:jc w:val="left"/>
              <w:rPr>
                <w:szCs w:val="22"/>
              </w:rPr>
            </w:pPr>
            <w:r w:rsidRPr="00802177">
              <w:rPr>
                <w:szCs w:val="22"/>
              </w:rPr>
              <w:t>2.3% plus £18,900</w:t>
            </w:r>
          </w:p>
        </w:tc>
        <w:tc>
          <w:tcPr>
            <w:tcW w:w="2409" w:type="dxa"/>
            <w:shd w:val="clear" w:color="auto" w:fill="auto"/>
            <w:vAlign w:val="center"/>
          </w:tcPr>
          <w:p w:rsidR="00230743" w:rsidRPr="00802177" w:rsidRDefault="0062660D" w:rsidP="001E3005">
            <w:pPr>
              <w:jc w:val="left"/>
              <w:rPr>
                <w:szCs w:val="22"/>
              </w:rPr>
            </w:pPr>
            <w:r w:rsidRPr="00802177">
              <w:rPr>
                <w:szCs w:val="22"/>
              </w:rPr>
              <w:t>15.4% plus £18,900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Pendle Education Trust - Walter St</w:t>
            </w:r>
          </w:p>
        </w:tc>
        <w:tc>
          <w:tcPr>
            <w:tcW w:w="1842" w:type="dxa"/>
            <w:shd w:val="clear" w:color="auto" w:fill="auto"/>
            <w:vAlign w:val="center"/>
          </w:tcPr>
          <w:p w:rsidR="00230743" w:rsidRPr="00802177" w:rsidRDefault="0062660D" w:rsidP="001E3005">
            <w:pPr>
              <w:jc w:val="left"/>
              <w:rPr>
                <w:szCs w:val="22"/>
              </w:rPr>
            </w:pPr>
            <w:r w:rsidRPr="00802177">
              <w:rPr>
                <w:szCs w:val="22"/>
              </w:rPr>
              <w:t>0.8% plus £15,800</w:t>
            </w:r>
          </w:p>
        </w:tc>
        <w:tc>
          <w:tcPr>
            <w:tcW w:w="1843" w:type="dxa"/>
            <w:shd w:val="clear" w:color="auto" w:fill="auto"/>
            <w:vAlign w:val="center"/>
          </w:tcPr>
          <w:p w:rsidR="00230743" w:rsidRPr="00802177" w:rsidRDefault="0062660D" w:rsidP="001E3005">
            <w:pPr>
              <w:jc w:val="left"/>
              <w:rPr>
                <w:szCs w:val="22"/>
              </w:rPr>
            </w:pPr>
            <w:r w:rsidRPr="00802177">
              <w:rPr>
                <w:szCs w:val="22"/>
              </w:rPr>
              <w:t>13.9% plus £15,800</w:t>
            </w:r>
          </w:p>
        </w:tc>
        <w:tc>
          <w:tcPr>
            <w:tcW w:w="1843" w:type="dxa"/>
            <w:shd w:val="clear" w:color="auto" w:fill="auto"/>
            <w:vAlign w:val="center"/>
          </w:tcPr>
          <w:p w:rsidR="00230743" w:rsidRPr="00802177" w:rsidRDefault="0062660D" w:rsidP="001E3005">
            <w:pPr>
              <w:jc w:val="left"/>
              <w:rPr>
                <w:szCs w:val="22"/>
              </w:rPr>
            </w:pPr>
            <w:r w:rsidRPr="00802177">
              <w:rPr>
                <w:szCs w:val="22"/>
              </w:rPr>
              <w:t>0.8% plus £16,400</w:t>
            </w:r>
          </w:p>
        </w:tc>
        <w:tc>
          <w:tcPr>
            <w:tcW w:w="1984" w:type="dxa"/>
            <w:shd w:val="clear" w:color="auto" w:fill="auto"/>
            <w:vAlign w:val="center"/>
          </w:tcPr>
          <w:p w:rsidR="00230743" w:rsidRPr="00802177" w:rsidRDefault="0062660D" w:rsidP="001E3005">
            <w:pPr>
              <w:jc w:val="left"/>
              <w:rPr>
                <w:szCs w:val="22"/>
              </w:rPr>
            </w:pPr>
            <w:r w:rsidRPr="00802177">
              <w:rPr>
                <w:szCs w:val="22"/>
              </w:rPr>
              <w:t>13.9% plus £16,400</w:t>
            </w:r>
          </w:p>
        </w:tc>
        <w:tc>
          <w:tcPr>
            <w:tcW w:w="2127" w:type="dxa"/>
            <w:shd w:val="clear" w:color="auto" w:fill="auto"/>
            <w:vAlign w:val="center"/>
          </w:tcPr>
          <w:p w:rsidR="00230743" w:rsidRPr="00802177" w:rsidRDefault="0062660D" w:rsidP="001E3005">
            <w:pPr>
              <w:jc w:val="left"/>
              <w:rPr>
                <w:szCs w:val="22"/>
              </w:rPr>
            </w:pPr>
            <w:r w:rsidRPr="00802177">
              <w:rPr>
                <w:szCs w:val="22"/>
              </w:rPr>
              <w:t>0.8% plus £17,100</w:t>
            </w:r>
          </w:p>
        </w:tc>
        <w:tc>
          <w:tcPr>
            <w:tcW w:w="2409" w:type="dxa"/>
            <w:shd w:val="clear" w:color="auto" w:fill="auto"/>
            <w:vAlign w:val="center"/>
          </w:tcPr>
          <w:p w:rsidR="00230743" w:rsidRPr="00802177" w:rsidRDefault="0062660D" w:rsidP="001E3005">
            <w:pPr>
              <w:jc w:val="left"/>
              <w:rPr>
                <w:szCs w:val="22"/>
              </w:rPr>
            </w:pPr>
            <w:r w:rsidRPr="00802177">
              <w:rPr>
                <w:szCs w:val="22"/>
              </w:rPr>
              <w:t>13.9% plus £17,100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Pendle Leisure Trust Ltd</w:t>
            </w:r>
          </w:p>
        </w:tc>
        <w:tc>
          <w:tcPr>
            <w:tcW w:w="1842" w:type="dxa"/>
            <w:shd w:val="clear" w:color="auto" w:fill="auto"/>
            <w:vAlign w:val="center"/>
          </w:tcPr>
          <w:p w:rsidR="00230743" w:rsidRPr="00802177" w:rsidRDefault="0062660D" w:rsidP="001E3005">
            <w:pPr>
              <w:jc w:val="left"/>
              <w:rPr>
                <w:szCs w:val="22"/>
              </w:rPr>
            </w:pPr>
            <w:r w:rsidRPr="00802177">
              <w:rPr>
                <w:szCs w:val="22"/>
              </w:rPr>
              <w:t>-1.3% plus £30,400</w:t>
            </w:r>
          </w:p>
        </w:tc>
        <w:tc>
          <w:tcPr>
            <w:tcW w:w="1843" w:type="dxa"/>
            <w:shd w:val="clear" w:color="auto" w:fill="auto"/>
            <w:vAlign w:val="center"/>
          </w:tcPr>
          <w:p w:rsidR="00230743" w:rsidRPr="00802177" w:rsidRDefault="0062660D" w:rsidP="001E3005">
            <w:pPr>
              <w:jc w:val="left"/>
              <w:rPr>
                <w:szCs w:val="22"/>
              </w:rPr>
            </w:pPr>
            <w:r w:rsidRPr="00802177">
              <w:rPr>
                <w:szCs w:val="22"/>
              </w:rPr>
              <w:t xml:space="preserve">11.8% plus </w:t>
            </w:r>
            <w:r w:rsidRPr="00802177">
              <w:rPr>
                <w:szCs w:val="22"/>
              </w:rPr>
              <w:t>£30,400</w:t>
            </w:r>
          </w:p>
        </w:tc>
        <w:tc>
          <w:tcPr>
            <w:tcW w:w="1843" w:type="dxa"/>
            <w:shd w:val="clear" w:color="auto" w:fill="auto"/>
            <w:vAlign w:val="center"/>
          </w:tcPr>
          <w:p w:rsidR="00230743" w:rsidRPr="00802177" w:rsidRDefault="0062660D" w:rsidP="001E3005">
            <w:pPr>
              <w:jc w:val="left"/>
              <w:rPr>
                <w:szCs w:val="22"/>
              </w:rPr>
            </w:pPr>
            <w:r w:rsidRPr="00802177">
              <w:rPr>
                <w:szCs w:val="22"/>
              </w:rPr>
              <w:t>-1.3% plus £31,600</w:t>
            </w:r>
          </w:p>
        </w:tc>
        <w:tc>
          <w:tcPr>
            <w:tcW w:w="1984" w:type="dxa"/>
            <w:shd w:val="clear" w:color="auto" w:fill="auto"/>
            <w:vAlign w:val="center"/>
          </w:tcPr>
          <w:p w:rsidR="00230743" w:rsidRPr="00802177" w:rsidRDefault="0062660D" w:rsidP="001E3005">
            <w:pPr>
              <w:jc w:val="left"/>
              <w:rPr>
                <w:szCs w:val="22"/>
              </w:rPr>
            </w:pPr>
            <w:r w:rsidRPr="00802177">
              <w:rPr>
                <w:szCs w:val="22"/>
              </w:rPr>
              <w:t>11.8% plus £31,600</w:t>
            </w:r>
          </w:p>
        </w:tc>
        <w:tc>
          <w:tcPr>
            <w:tcW w:w="2127" w:type="dxa"/>
            <w:shd w:val="clear" w:color="auto" w:fill="auto"/>
            <w:vAlign w:val="center"/>
          </w:tcPr>
          <w:p w:rsidR="00230743" w:rsidRPr="00802177" w:rsidRDefault="0062660D" w:rsidP="001E3005">
            <w:pPr>
              <w:jc w:val="left"/>
              <w:rPr>
                <w:szCs w:val="22"/>
              </w:rPr>
            </w:pPr>
            <w:r w:rsidRPr="00802177">
              <w:rPr>
                <w:szCs w:val="22"/>
              </w:rPr>
              <w:t>-1.3% plus £32,900</w:t>
            </w:r>
          </w:p>
        </w:tc>
        <w:tc>
          <w:tcPr>
            <w:tcW w:w="2409" w:type="dxa"/>
            <w:shd w:val="clear" w:color="auto" w:fill="auto"/>
            <w:vAlign w:val="center"/>
          </w:tcPr>
          <w:p w:rsidR="00230743" w:rsidRPr="00802177" w:rsidRDefault="0062660D" w:rsidP="001E3005">
            <w:pPr>
              <w:jc w:val="left"/>
              <w:rPr>
                <w:szCs w:val="22"/>
              </w:rPr>
            </w:pPr>
            <w:r w:rsidRPr="00802177">
              <w:rPr>
                <w:szCs w:val="22"/>
              </w:rPr>
              <w:t>11.8% plus £32,900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Penwortham Priory Academy</w:t>
            </w:r>
          </w:p>
        </w:tc>
        <w:tc>
          <w:tcPr>
            <w:tcW w:w="1842" w:type="dxa"/>
            <w:shd w:val="clear" w:color="auto" w:fill="auto"/>
            <w:vAlign w:val="center"/>
          </w:tcPr>
          <w:p w:rsidR="00230743" w:rsidRPr="00802177" w:rsidRDefault="0062660D" w:rsidP="001E3005">
            <w:pPr>
              <w:jc w:val="left"/>
              <w:rPr>
                <w:szCs w:val="22"/>
              </w:rPr>
            </w:pPr>
            <w:r w:rsidRPr="00802177">
              <w:rPr>
                <w:szCs w:val="22"/>
              </w:rPr>
              <w:t>1.7% plus £18,500</w:t>
            </w:r>
          </w:p>
        </w:tc>
        <w:tc>
          <w:tcPr>
            <w:tcW w:w="1843" w:type="dxa"/>
            <w:shd w:val="clear" w:color="auto" w:fill="auto"/>
            <w:vAlign w:val="center"/>
          </w:tcPr>
          <w:p w:rsidR="00230743" w:rsidRPr="00802177" w:rsidRDefault="0062660D" w:rsidP="001E3005">
            <w:pPr>
              <w:jc w:val="left"/>
              <w:rPr>
                <w:szCs w:val="22"/>
              </w:rPr>
            </w:pPr>
            <w:r w:rsidRPr="00802177">
              <w:rPr>
                <w:szCs w:val="22"/>
              </w:rPr>
              <w:t>14.8% plus £18,500</w:t>
            </w:r>
          </w:p>
        </w:tc>
        <w:tc>
          <w:tcPr>
            <w:tcW w:w="1843" w:type="dxa"/>
            <w:shd w:val="clear" w:color="auto" w:fill="auto"/>
            <w:vAlign w:val="center"/>
          </w:tcPr>
          <w:p w:rsidR="00230743" w:rsidRPr="00802177" w:rsidRDefault="0062660D" w:rsidP="001E3005">
            <w:pPr>
              <w:jc w:val="left"/>
              <w:rPr>
                <w:szCs w:val="22"/>
              </w:rPr>
            </w:pPr>
            <w:r w:rsidRPr="00802177">
              <w:rPr>
                <w:szCs w:val="22"/>
              </w:rPr>
              <w:t>1.7% plus £19,300</w:t>
            </w:r>
          </w:p>
        </w:tc>
        <w:tc>
          <w:tcPr>
            <w:tcW w:w="1984" w:type="dxa"/>
            <w:shd w:val="clear" w:color="auto" w:fill="auto"/>
            <w:vAlign w:val="center"/>
          </w:tcPr>
          <w:p w:rsidR="00230743" w:rsidRPr="00802177" w:rsidRDefault="0062660D" w:rsidP="001E3005">
            <w:pPr>
              <w:jc w:val="left"/>
              <w:rPr>
                <w:szCs w:val="22"/>
              </w:rPr>
            </w:pPr>
            <w:r w:rsidRPr="00802177">
              <w:rPr>
                <w:szCs w:val="22"/>
              </w:rPr>
              <w:t>14.8% plus £19,300</w:t>
            </w:r>
          </w:p>
        </w:tc>
        <w:tc>
          <w:tcPr>
            <w:tcW w:w="2127" w:type="dxa"/>
            <w:shd w:val="clear" w:color="auto" w:fill="auto"/>
            <w:vAlign w:val="center"/>
          </w:tcPr>
          <w:p w:rsidR="00230743" w:rsidRPr="00802177" w:rsidRDefault="0062660D" w:rsidP="001E3005">
            <w:pPr>
              <w:jc w:val="left"/>
              <w:rPr>
                <w:szCs w:val="22"/>
              </w:rPr>
            </w:pPr>
            <w:r w:rsidRPr="00802177">
              <w:rPr>
                <w:szCs w:val="22"/>
              </w:rPr>
              <w:t>1.7% plus £20,100</w:t>
            </w:r>
          </w:p>
        </w:tc>
        <w:tc>
          <w:tcPr>
            <w:tcW w:w="2409" w:type="dxa"/>
            <w:shd w:val="clear" w:color="auto" w:fill="auto"/>
            <w:vAlign w:val="center"/>
          </w:tcPr>
          <w:p w:rsidR="00230743" w:rsidRPr="00802177" w:rsidRDefault="0062660D" w:rsidP="001E3005">
            <w:pPr>
              <w:jc w:val="left"/>
              <w:rPr>
                <w:szCs w:val="22"/>
              </w:rPr>
            </w:pPr>
            <w:r w:rsidRPr="00802177">
              <w:rPr>
                <w:szCs w:val="22"/>
              </w:rPr>
              <w:t>14.8% plus £20,100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Penwortham Town Council</w:t>
            </w:r>
          </w:p>
        </w:tc>
        <w:tc>
          <w:tcPr>
            <w:tcW w:w="1842" w:type="dxa"/>
            <w:shd w:val="clear" w:color="auto" w:fill="auto"/>
            <w:vAlign w:val="center"/>
          </w:tcPr>
          <w:p w:rsidR="00230743" w:rsidRPr="00802177" w:rsidRDefault="0062660D" w:rsidP="001E3005">
            <w:pPr>
              <w:jc w:val="left"/>
              <w:rPr>
                <w:szCs w:val="22"/>
              </w:rPr>
            </w:pPr>
            <w:r w:rsidRPr="00802177">
              <w:rPr>
                <w:szCs w:val="22"/>
              </w:rPr>
              <w:t>-0.3%</w:t>
            </w:r>
          </w:p>
        </w:tc>
        <w:tc>
          <w:tcPr>
            <w:tcW w:w="1843" w:type="dxa"/>
            <w:shd w:val="clear" w:color="auto" w:fill="auto"/>
            <w:vAlign w:val="center"/>
          </w:tcPr>
          <w:p w:rsidR="00230743" w:rsidRPr="00802177" w:rsidRDefault="0062660D" w:rsidP="001E3005">
            <w:pPr>
              <w:jc w:val="left"/>
              <w:rPr>
                <w:szCs w:val="22"/>
              </w:rPr>
            </w:pPr>
            <w:r w:rsidRPr="00802177">
              <w:rPr>
                <w:szCs w:val="22"/>
              </w:rPr>
              <w:t>12.8%</w:t>
            </w:r>
          </w:p>
        </w:tc>
        <w:tc>
          <w:tcPr>
            <w:tcW w:w="1843" w:type="dxa"/>
            <w:shd w:val="clear" w:color="auto" w:fill="auto"/>
            <w:vAlign w:val="center"/>
          </w:tcPr>
          <w:p w:rsidR="00230743" w:rsidRPr="00802177" w:rsidRDefault="0062660D" w:rsidP="001E3005">
            <w:pPr>
              <w:jc w:val="left"/>
              <w:rPr>
                <w:szCs w:val="22"/>
              </w:rPr>
            </w:pPr>
            <w:r w:rsidRPr="00802177">
              <w:rPr>
                <w:szCs w:val="22"/>
              </w:rPr>
              <w:t>-0.3%</w:t>
            </w:r>
          </w:p>
        </w:tc>
        <w:tc>
          <w:tcPr>
            <w:tcW w:w="1984" w:type="dxa"/>
            <w:shd w:val="clear" w:color="auto" w:fill="auto"/>
            <w:vAlign w:val="center"/>
          </w:tcPr>
          <w:p w:rsidR="00230743" w:rsidRPr="00802177" w:rsidRDefault="0062660D" w:rsidP="001E3005">
            <w:pPr>
              <w:jc w:val="left"/>
              <w:rPr>
                <w:szCs w:val="22"/>
              </w:rPr>
            </w:pPr>
            <w:r w:rsidRPr="00802177">
              <w:rPr>
                <w:szCs w:val="22"/>
              </w:rPr>
              <w:t>12.8%</w:t>
            </w:r>
          </w:p>
        </w:tc>
        <w:tc>
          <w:tcPr>
            <w:tcW w:w="2127" w:type="dxa"/>
            <w:shd w:val="clear" w:color="auto" w:fill="auto"/>
            <w:vAlign w:val="center"/>
          </w:tcPr>
          <w:p w:rsidR="00230743" w:rsidRPr="00802177" w:rsidRDefault="0062660D" w:rsidP="001E3005">
            <w:pPr>
              <w:jc w:val="left"/>
              <w:rPr>
                <w:szCs w:val="22"/>
              </w:rPr>
            </w:pPr>
            <w:r w:rsidRPr="00802177">
              <w:rPr>
                <w:szCs w:val="22"/>
              </w:rPr>
              <w:t>-0.3%</w:t>
            </w:r>
          </w:p>
        </w:tc>
        <w:tc>
          <w:tcPr>
            <w:tcW w:w="2409" w:type="dxa"/>
            <w:shd w:val="clear" w:color="auto" w:fill="auto"/>
            <w:vAlign w:val="center"/>
          </w:tcPr>
          <w:p w:rsidR="00230743" w:rsidRPr="00802177" w:rsidRDefault="0062660D" w:rsidP="001E3005">
            <w:pPr>
              <w:jc w:val="left"/>
              <w:rPr>
                <w:szCs w:val="22"/>
              </w:rPr>
            </w:pPr>
            <w:r w:rsidRPr="00802177">
              <w:rPr>
                <w:szCs w:val="22"/>
              </w:rPr>
              <w:t>12.8%</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Pilling Parish Council</w:t>
            </w:r>
          </w:p>
        </w:tc>
        <w:tc>
          <w:tcPr>
            <w:tcW w:w="1842" w:type="dxa"/>
            <w:shd w:val="clear" w:color="auto" w:fill="auto"/>
            <w:vAlign w:val="center"/>
          </w:tcPr>
          <w:p w:rsidR="00230743" w:rsidRPr="00802177" w:rsidRDefault="0062660D" w:rsidP="001E3005">
            <w:pPr>
              <w:jc w:val="left"/>
              <w:rPr>
                <w:szCs w:val="22"/>
              </w:rPr>
            </w:pPr>
            <w:r w:rsidRPr="00802177">
              <w:rPr>
                <w:szCs w:val="22"/>
              </w:rPr>
              <w:t>11.2%</w:t>
            </w:r>
          </w:p>
        </w:tc>
        <w:tc>
          <w:tcPr>
            <w:tcW w:w="1843" w:type="dxa"/>
            <w:shd w:val="clear" w:color="auto" w:fill="auto"/>
            <w:vAlign w:val="center"/>
          </w:tcPr>
          <w:p w:rsidR="00230743" w:rsidRPr="00802177" w:rsidRDefault="0062660D" w:rsidP="001E3005">
            <w:pPr>
              <w:jc w:val="left"/>
              <w:rPr>
                <w:szCs w:val="22"/>
              </w:rPr>
            </w:pPr>
            <w:r w:rsidRPr="00802177">
              <w:rPr>
                <w:szCs w:val="22"/>
              </w:rPr>
              <w:t>24.3%</w:t>
            </w:r>
          </w:p>
        </w:tc>
        <w:tc>
          <w:tcPr>
            <w:tcW w:w="1843" w:type="dxa"/>
            <w:shd w:val="clear" w:color="auto" w:fill="auto"/>
            <w:vAlign w:val="center"/>
          </w:tcPr>
          <w:p w:rsidR="00230743" w:rsidRPr="00802177" w:rsidRDefault="0062660D" w:rsidP="001E3005">
            <w:pPr>
              <w:jc w:val="left"/>
              <w:rPr>
                <w:szCs w:val="22"/>
              </w:rPr>
            </w:pPr>
            <w:r w:rsidRPr="00802177">
              <w:rPr>
                <w:szCs w:val="22"/>
              </w:rPr>
              <w:t>11.2%</w:t>
            </w:r>
          </w:p>
        </w:tc>
        <w:tc>
          <w:tcPr>
            <w:tcW w:w="1984" w:type="dxa"/>
            <w:shd w:val="clear" w:color="auto" w:fill="auto"/>
            <w:vAlign w:val="center"/>
          </w:tcPr>
          <w:p w:rsidR="00230743" w:rsidRPr="00802177" w:rsidRDefault="0062660D" w:rsidP="001E3005">
            <w:pPr>
              <w:jc w:val="left"/>
              <w:rPr>
                <w:szCs w:val="22"/>
              </w:rPr>
            </w:pPr>
            <w:r w:rsidRPr="00802177">
              <w:rPr>
                <w:szCs w:val="22"/>
              </w:rPr>
              <w:t>24.3%</w:t>
            </w:r>
          </w:p>
        </w:tc>
        <w:tc>
          <w:tcPr>
            <w:tcW w:w="2127" w:type="dxa"/>
            <w:shd w:val="clear" w:color="auto" w:fill="auto"/>
            <w:vAlign w:val="center"/>
          </w:tcPr>
          <w:p w:rsidR="00230743" w:rsidRPr="00802177" w:rsidRDefault="0062660D" w:rsidP="001E3005">
            <w:pPr>
              <w:jc w:val="left"/>
              <w:rPr>
                <w:szCs w:val="22"/>
              </w:rPr>
            </w:pPr>
            <w:r w:rsidRPr="00802177">
              <w:rPr>
                <w:szCs w:val="22"/>
              </w:rPr>
              <w:t>11.2%</w:t>
            </w:r>
          </w:p>
        </w:tc>
        <w:tc>
          <w:tcPr>
            <w:tcW w:w="2409" w:type="dxa"/>
            <w:shd w:val="clear" w:color="auto" w:fill="auto"/>
            <w:vAlign w:val="center"/>
          </w:tcPr>
          <w:p w:rsidR="00230743" w:rsidRPr="00802177" w:rsidRDefault="0062660D" w:rsidP="001E3005">
            <w:pPr>
              <w:jc w:val="left"/>
              <w:rPr>
                <w:szCs w:val="22"/>
              </w:rPr>
            </w:pPr>
            <w:r w:rsidRPr="00802177">
              <w:rPr>
                <w:szCs w:val="22"/>
              </w:rPr>
              <w:t>24.3%</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 xml:space="preserve">Places for People </w:t>
            </w:r>
          </w:p>
        </w:tc>
        <w:tc>
          <w:tcPr>
            <w:tcW w:w="1842" w:type="dxa"/>
            <w:shd w:val="clear" w:color="auto" w:fill="auto"/>
            <w:vAlign w:val="center"/>
          </w:tcPr>
          <w:p w:rsidR="00230743" w:rsidRPr="00802177" w:rsidRDefault="0062660D" w:rsidP="001E3005">
            <w:pPr>
              <w:jc w:val="left"/>
              <w:rPr>
                <w:szCs w:val="22"/>
              </w:rPr>
            </w:pPr>
            <w:r w:rsidRPr="00802177">
              <w:rPr>
                <w:szCs w:val="22"/>
              </w:rPr>
              <w:t>2.8%</w:t>
            </w:r>
          </w:p>
        </w:tc>
        <w:tc>
          <w:tcPr>
            <w:tcW w:w="1843" w:type="dxa"/>
            <w:shd w:val="clear" w:color="auto" w:fill="auto"/>
            <w:vAlign w:val="center"/>
          </w:tcPr>
          <w:p w:rsidR="00230743" w:rsidRPr="00802177" w:rsidRDefault="0062660D" w:rsidP="001E3005">
            <w:pPr>
              <w:jc w:val="left"/>
              <w:rPr>
                <w:szCs w:val="22"/>
              </w:rPr>
            </w:pPr>
            <w:r w:rsidRPr="00802177">
              <w:rPr>
                <w:szCs w:val="22"/>
              </w:rPr>
              <w:t>15.9%</w:t>
            </w:r>
          </w:p>
        </w:tc>
        <w:tc>
          <w:tcPr>
            <w:tcW w:w="1843" w:type="dxa"/>
            <w:shd w:val="clear" w:color="auto" w:fill="auto"/>
            <w:vAlign w:val="center"/>
          </w:tcPr>
          <w:p w:rsidR="00230743" w:rsidRPr="00802177" w:rsidRDefault="0062660D" w:rsidP="001E3005">
            <w:pPr>
              <w:jc w:val="left"/>
              <w:rPr>
                <w:szCs w:val="22"/>
              </w:rPr>
            </w:pPr>
            <w:r w:rsidRPr="00802177">
              <w:rPr>
                <w:szCs w:val="22"/>
              </w:rPr>
              <w:t>2.8%</w:t>
            </w:r>
          </w:p>
        </w:tc>
        <w:tc>
          <w:tcPr>
            <w:tcW w:w="1984" w:type="dxa"/>
            <w:shd w:val="clear" w:color="auto" w:fill="auto"/>
            <w:vAlign w:val="center"/>
          </w:tcPr>
          <w:p w:rsidR="00230743" w:rsidRPr="00802177" w:rsidRDefault="0062660D" w:rsidP="001E3005">
            <w:pPr>
              <w:jc w:val="left"/>
              <w:rPr>
                <w:szCs w:val="22"/>
              </w:rPr>
            </w:pPr>
            <w:r w:rsidRPr="00802177">
              <w:rPr>
                <w:szCs w:val="22"/>
              </w:rPr>
              <w:t>15.9%</w:t>
            </w:r>
          </w:p>
        </w:tc>
        <w:tc>
          <w:tcPr>
            <w:tcW w:w="2127" w:type="dxa"/>
            <w:shd w:val="clear" w:color="auto" w:fill="auto"/>
            <w:vAlign w:val="center"/>
          </w:tcPr>
          <w:p w:rsidR="00230743" w:rsidRPr="00802177" w:rsidRDefault="0062660D" w:rsidP="001E3005">
            <w:pPr>
              <w:jc w:val="left"/>
              <w:rPr>
                <w:szCs w:val="22"/>
              </w:rPr>
            </w:pPr>
            <w:r w:rsidRPr="00802177">
              <w:rPr>
                <w:szCs w:val="22"/>
              </w:rPr>
              <w:t>2.8%</w:t>
            </w:r>
          </w:p>
        </w:tc>
        <w:tc>
          <w:tcPr>
            <w:tcW w:w="2409" w:type="dxa"/>
            <w:shd w:val="clear" w:color="auto" w:fill="auto"/>
            <w:vAlign w:val="center"/>
          </w:tcPr>
          <w:p w:rsidR="00230743" w:rsidRPr="00802177" w:rsidRDefault="0062660D" w:rsidP="001E3005">
            <w:pPr>
              <w:jc w:val="left"/>
              <w:rPr>
                <w:szCs w:val="22"/>
              </w:rPr>
            </w:pPr>
            <w:r w:rsidRPr="00802177">
              <w:rPr>
                <w:szCs w:val="22"/>
              </w:rPr>
              <w:t>15.9%</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proofErr w:type="spellStart"/>
            <w:r w:rsidRPr="00FF2F9D">
              <w:rPr>
                <w:szCs w:val="22"/>
              </w:rPr>
              <w:t>Preesall</w:t>
            </w:r>
            <w:proofErr w:type="spellEnd"/>
            <w:r w:rsidRPr="00FF2F9D">
              <w:rPr>
                <w:szCs w:val="22"/>
              </w:rPr>
              <w:t xml:space="preserve"> Town Council</w:t>
            </w:r>
          </w:p>
        </w:tc>
        <w:tc>
          <w:tcPr>
            <w:tcW w:w="1842" w:type="dxa"/>
            <w:shd w:val="clear" w:color="auto" w:fill="auto"/>
            <w:vAlign w:val="center"/>
          </w:tcPr>
          <w:p w:rsidR="00230743" w:rsidRPr="00802177" w:rsidRDefault="0062660D" w:rsidP="001E3005">
            <w:pPr>
              <w:jc w:val="left"/>
              <w:rPr>
                <w:szCs w:val="22"/>
              </w:rPr>
            </w:pPr>
            <w:r w:rsidRPr="00802177">
              <w:rPr>
                <w:szCs w:val="22"/>
              </w:rPr>
              <w:t>TBC</w:t>
            </w:r>
          </w:p>
        </w:tc>
        <w:tc>
          <w:tcPr>
            <w:tcW w:w="1843" w:type="dxa"/>
            <w:shd w:val="clear" w:color="auto" w:fill="auto"/>
            <w:vAlign w:val="center"/>
          </w:tcPr>
          <w:p w:rsidR="00230743" w:rsidRPr="00802177" w:rsidRDefault="0062660D" w:rsidP="001E3005">
            <w:pPr>
              <w:jc w:val="left"/>
              <w:rPr>
                <w:szCs w:val="22"/>
              </w:rPr>
            </w:pPr>
            <w:r w:rsidRPr="00802177">
              <w:rPr>
                <w:szCs w:val="22"/>
              </w:rPr>
              <w:t>TBC</w:t>
            </w:r>
          </w:p>
        </w:tc>
        <w:tc>
          <w:tcPr>
            <w:tcW w:w="1843" w:type="dxa"/>
            <w:shd w:val="clear" w:color="auto" w:fill="auto"/>
            <w:vAlign w:val="center"/>
          </w:tcPr>
          <w:p w:rsidR="00230743" w:rsidRPr="00802177" w:rsidRDefault="0062660D" w:rsidP="001E3005">
            <w:pPr>
              <w:jc w:val="left"/>
              <w:rPr>
                <w:szCs w:val="22"/>
              </w:rPr>
            </w:pPr>
            <w:r w:rsidRPr="00802177">
              <w:rPr>
                <w:szCs w:val="22"/>
              </w:rPr>
              <w:t>TBC</w:t>
            </w:r>
          </w:p>
        </w:tc>
        <w:tc>
          <w:tcPr>
            <w:tcW w:w="1984" w:type="dxa"/>
            <w:shd w:val="clear" w:color="auto" w:fill="auto"/>
            <w:vAlign w:val="center"/>
          </w:tcPr>
          <w:p w:rsidR="00230743" w:rsidRPr="00802177" w:rsidRDefault="0062660D" w:rsidP="001E3005">
            <w:pPr>
              <w:jc w:val="left"/>
              <w:rPr>
                <w:szCs w:val="22"/>
              </w:rPr>
            </w:pPr>
            <w:r w:rsidRPr="00802177">
              <w:rPr>
                <w:szCs w:val="22"/>
              </w:rPr>
              <w:t>TBC</w:t>
            </w:r>
          </w:p>
        </w:tc>
        <w:tc>
          <w:tcPr>
            <w:tcW w:w="2127" w:type="dxa"/>
            <w:shd w:val="clear" w:color="auto" w:fill="auto"/>
            <w:vAlign w:val="center"/>
          </w:tcPr>
          <w:p w:rsidR="00230743" w:rsidRPr="00802177" w:rsidRDefault="0062660D" w:rsidP="001E3005">
            <w:pPr>
              <w:jc w:val="left"/>
              <w:rPr>
                <w:szCs w:val="22"/>
              </w:rPr>
            </w:pPr>
            <w:r w:rsidRPr="00802177">
              <w:rPr>
                <w:szCs w:val="22"/>
              </w:rPr>
              <w:t>TBC</w:t>
            </w:r>
          </w:p>
        </w:tc>
        <w:tc>
          <w:tcPr>
            <w:tcW w:w="2409" w:type="dxa"/>
            <w:shd w:val="clear" w:color="auto" w:fill="auto"/>
            <w:vAlign w:val="center"/>
          </w:tcPr>
          <w:p w:rsidR="00230743" w:rsidRPr="00802177" w:rsidRDefault="0062660D" w:rsidP="001E3005">
            <w:pPr>
              <w:jc w:val="left"/>
              <w:rPr>
                <w:szCs w:val="22"/>
              </w:rPr>
            </w:pPr>
            <w:r w:rsidRPr="00802177">
              <w:rPr>
                <w:szCs w:val="22"/>
              </w:rPr>
              <w:t>TBC</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Preston Care and Repair</w:t>
            </w:r>
          </w:p>
        </w:tc>
        <w:tc>
          <w:tcPr>
            <w:tcW w:w="1842" w:type="dxa"/>
            <w:shd w:val="clear" w:color="auto" w:fill="auto"/>
            <w:vAlign w:val="center"/>
          </w:tcPr>
          <w:p w:rsidR="00230743" w:rsidRPr="00802177" w:rsidRDefault="0062660D" w:rsidP="001E3005">
            <w:pPr>
              <w:jc w:val="left"/>
              <w:rPr>
                <w:szCs w:val="22"/>
              </w:rPr>
            </w:pPr>
            <w:r w:rsidRPr="00802177">
              <w:rPr>
                <w:szCs w:val="22"/>
              </w:rPr>
              <w:t>7.7% plus £600</w:t>
            </w:r>
          </w:p>
        </w:tc>
        <w:tc>
          <w:tcPr>
            <w:tcW w:w="1843" w:type="dxa"/>
            <w:shd w:val="clear" w:color="auto" w:fill="auto"/>
            <w:vAlign w:val="center"/>
          </w:tcPr>
          <w:p w:rsidR="00230743" w:rsidRPr="00802177" w:rsidRDefault="0062660D" w:rsidP="001E3005">
            <w:pPr>
              <w:jc w:val="left"/>
              <w:rPr>
                <w:szCs w:val="22"/>
              </w:rPr>
            </w:pPr>
            <w:r w:rsidRPr="00802177">
              <w:rPr>
                <w:szCs w:val="22"/>
              </w:rPr>
              <w:t>20.8% plus £600</w:t>
            </w:r>
          </w:p>
        </w:tc>
        <w:tc>
          <w:tcPr>
            <w:tcW w:w="1843" w:type="dxa"/>
            <w:shd w:val="clear" w:color="auto" w:fill="auto"/>
            <w:vAlign w:val="center"/>
          </w:tcPr>
          <w:p w:rsidR="00230743" w:rsidRPr="00802177" w:rsidRDefault="0062660D" w:rsidP="001E3005">
            <w:pPr>
              <w:jc w:val="left"/>
              <w:rPr>
                <w:szCs w:val="22"/>
              </w:rPr>
            </w:pPr>
            <w:r w:rsidRPr="00802177">
              <w:rPr>
                <w:szCs w:val="22"/>
              </w:rPr>
              <w:t xml:space="preserve">7.7% plus </w:t>
            </w:r>
            <w:r w:rsidRPr="00802177">
              <w:rPr>
                <w:szCs w:val="22"/>
              </w:rPr>
              <w:t>£600</w:t>
            </w:r>
          </w:p>
        </w:tc>
        <w:tc>
          <w:tcPr>
            <w:tcW w:w="1984" w:type="dxa"/>
            <w:shd w:val="clear" w:color="auto" w:fill="auto"/>
            <w:vAlign w:val="center"/>
          </w:tcPr>
          <w:p w:rsidR="00230743" w:rsidRPr="00802177" w:rsidRDefault="0062660D" w:rsidP="001E3005">
            <w:pPr>
              <w:jc w:val="left"/>
              <w:rPr>
                <w:szCs w:val="22"/>
              </w:rPr>
            </w:pPr>
            <w:r w:rsidRPr="00802177">
              <w:rPr>
                <w:szCs w:val="22"/>
              </w:rPr>
              <w:t>20.8% plus £600</w:t>
            </w:r>
          </w:p>
        </w:tc>
        <w:tc>
          <w:tcPr>
            <w:tcW w:w="2127" w:type="dxa"/>
            <w:shd w:val="clear" w:color="auto" w:fill="auto"/>
            <w:vAlign w:val="center"/>
          </w:tcPr>
          <w:p w:rsidR="00230743" w:rsidRPr="00802177" w:rsidRDefault="0062660D" w:rsidP="001E3005">
            <w:pPr>
              <w:jc w:val="left"/>
              <w:rPr>
                <w:szCs w:val="22"/>
              </w:rPr>
            </w:pPr>
            <w:r w:rsidRPr="00802177">
              <w:rPr>
                <w:szCs w:val="22"/>
              </w:rPr>
              <w:t>7.7% plus £600</w:t>
            </w:r>
          </w:p>
        </w:tc>
        <w:tc>
          <w:tcPr>
            <w:tcW w:w="2409" w:type="dxa"/>
            <w:shd w:val="clear" w:color="auto" w:fill="auto"/>
            <w:vAlign w:val="center"/>
          </w:tcPr>
          <w:p w:rsidR="00230743" w:rsidRPr="00802177" w:rsidRDefault="0062660D" w:rsidP="001E3005">
            <w:pPr>
              <w:jc w:val="left"/>
              <w:rPr>
                <w:szCs w:val="22"/>
              </w:rPr>
            </w:pPr>
            <w:r w:rsidRPr="00802177">
              <w:rPr>
                <w:szCs w:val="22"/>
              </w:rPr>
              <w:t>20.8% plus £600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Preston City Council</w:t>
            </w:r>
          </w:p>
        </w:tc>
        <w:tc>
          <w:tcPr>
            <w:tcW w:w="1842" w:type="dxa"/>
            <w:shd w:val="clear" w:color="auto" w:fill="auto"/>
            <w:vAlign w:val="center"/>
          </w:tcPr>
          <w:p w:rsidR="00230743" w:rsidRPr="00802177" w:rsidRDefault="0062660D" w:rsidP="001E3005">
            <w:pPr>
              <w:jc w:val="left"/>
              <w:rPr>
                <w:szCs w:val="22"/>
              </w:rPr>
            </w:pPr>
            <w:r w:rsidRPr="00802177">
              <w:rPr>
                <w:szCs w:val="22"/>
              </w:rPr>
              <w:t>-0.3% plus £1,233,600</w:t>
            </w:r>
          </w:p>
        </w:tc>
        <w:tc>
          <w:tcPr>
            <w:tcW w:w="1843" w:type="dxa"/>
            <w:shd w:val="clear" w:color="auto" w:fill="auto"/>
            <w:vAlign w:val="center"/>
          </w:tcPr>
          <w:p w:rsidR="00230743" w:rsidRPr="00802177" w:rsidRDefault="0062660D" w:rsidP="001E3005">
            <w:pPr>
              <w:jc w:val="left"/>
              <w:rPr>
                <w:szCs w:val="22"/>
              </w:rPr>
            </w:pPr>
            <w:r w:rsidRPr="00802177">
              <w:rPr>
                <w:szCs w:val="22"/>
              </w:rPr>
              <w:t>12.8% plus £1,233,600</w:t>
            </w:r>
          </w:p>
        </w:tc>
        <w:tc>
          <w:tcPr>
            <w:tcW w:w="1843" w:type="dxa"/>
            <w:shd w:val="clear" w:color="auto" w:fill="auto"/>
            <w:vAlign w:val="center"/>
          </w:tcPr>
          <w:p w:rsidR="00230743" w:rsidRPr="00802177" w:rsidRDefault="0062660D" w:rsidP="001E3005">
            <w:pPr>
              <w:jc w:val="left"/>
              <w:rPr>
                <w:szCs w:val="22"/>
              </w:rPr>
            </w:pPr>
            <w:r w:rsidRPr="00802177">
              <w:rPr>
                <w:szCs w:val="22"/>
              </w:rPr>
              <w:t>-0.3% plus £1,385,600</w:t>
            </w:r>
          </w:p>
        </w:tc>
        <w:tc>
          <w:tcPr>
            <w:tcW w:w="1984" w:type="dxa"/>
            <w:shd w:val="clear" w:color="auto" w:fill="auto"/>
            <w:vAlign w:val="center"/>
          </w:tcPr>
          <w:p w:rsidR="00230743" w:rsidRPr="00802177" w:rsidRDefault="0062660D" w:rsidP="001E3005">
            <w:pPr>
              <w:jc w:val="left"/>
              <w:rPr>
                <w:szCs w:val="22"/>
              </w:rPr>
            </w:pPr>
            <w:r w:rsidRPr="00802177">
              <w:rPr>
                <w:szCs w:val="22"/>
              </w:rPr>
              <w:t>12.8% plus £1,385,600</w:t>
            </w:r>
          </w:p>
        </w:tc>
        <w:tc>
          <w:tcPr>
            <w:tcW w:w="2127" w:type="dxa"/>
            <w:shd w:val="clear" w:color="auto" w:fill="auto"/>
            <w:vAlign w:val="center"/>
          </w:tcPr>
          <w:p w:rsidR="00230743" w:rsidRPr="00802177" w:rsidRDefault="0062660D" w:rsidP="001E3005">
            <w:pPr>
              <w:jc w:val="left"/>
              <w:rPr>
                <w:szCs w:val="22"/>
              </w:rPr>
            </w:pPr>
            <w:r w:rsidRPr="00802177">
              <w:rPr>
                <w:szCs w:val="22"/>
              </w:rPr>
              <w:t>-0.3% plus £1,540,100</w:t>
            </w:r>
          </w:p>
        </w:tc>
        <w:tc>
          <w:tcPr>
            <w:tcW w:w="2409" w:type="dxa"/>
            <w:shd w:val="clear" w:color="auto" w:fill="auto"/>
            <w:vAlign w:val="center"/>
          </w:tcPr>
          <w:p w:rsidR="00230743" w:rsidRPr="00802177" w:rsidRDefault="0062660D" w:rsidP="001E3005">
            <w:pPr>
              <w:jc w:val="left"/>
              <w:rPr>
                <w:szCs w:val="22"/>
              </w:rPr>
            </w:pPr>
            <w:r w:rsidRPr="00802177">
              <w:rPr>
                <w:szCs w:val="22"/>
              </w:rPr>
              <w:t>12.8% plus £1,540,100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Preston College</w:t>
            </w:r>
          </w:p>
        </w:tc>
        <w:tc>
          <w:tcPr>
            <w:tcW w:w="1842" w:type="dxa"/>
            <w:shd w:val="clear" w:color="auto" w:fill="auto"/>
            <w:vAlign w:val="center"/>
          </w:tcPr>
          <w:p w:rsidR="00230743" w:rsidRPr="00802177" w:rsidRDefault="0062660D" w:rsidP="001E3005">
            <w:pPr>
              <w:jc w:val="left"/>
              <w:rPr>
                <w:szCs w:val="22"/>
              </w:rPr>
            </w:pPr>
            <w:r w:rsidRPr="00802177">
              <w:rPr>
                <w:szCs w:val="22"/>
              </w:rPr>
              <w:t>-1.4% plus £304,000</w:t>
            </w:r>
          </w:p>
        </w:tc>
        <w:tc>
          <w:tcPr>
            <w:tcW w:w="1843" w:type="dxa"/>
            <w:shd w:val="clear" w:color="auto" w:fill="auto"/>
            <w:vAlign w:val="center"/>
          </w:tcPr>
          <w:p w:rsidR="00230743" w:rsidRPr="00802177" w:rsidRDefault="0062660D" w:rsidP="001E3005">
            <w:pPr>
              <w:jc w:val="left"/>
              <w:rPr>
                <w:szCs w:val="22"/>
              </w:rPr>
            </w:pPr>
            <w:r w:rsidRPr="00802177">
              <w:rPr>
                <w:szCs w:val="22"/>
              </w:rPr>
              <w:t xml:space="preserve">11.7% plus </w:t>
            </w:r>
            <w:r w:rsidRPr="00802177">
              <w:rPr>
                <w:szCs w:val="22"/>
              </w:rPr>
              <w:t>£304,000</w:t>
            </w:r>
          </w:p>
        </w:tc>
        <w:tc>
          <w:tcPr>
            <w:tcW w:w="1843" w:type="dxa"/>
            <w:shd w:val="clear" w:color="auto" w:fill="auto"/>
            <w:vAlign w:val="center"/>
          </w:tcPr>
          <w:p w:rsidR="00230743" w:rsidRPr="00802177" w:rsidRDefault="0062660D" w:rsidP="001E3005">
            <w:pPr>
              <w:jc w:val="left"/>
              <w:rPr>
                <w:szCs w:val="22"/>
              </w:rPr>
            </w:pPr>
            <w:r w:rsidRPr="00802177">
              <w:rPr>
                <w:szCs w:val="22"/>
              </w:rPr>
              <w:t>-1.4% plus £316,500</w:t>
            </w:r>
          </w:p>
        </w:tc>
        <w:tc>
          <w:tcPr>
            <w:tcW w:w="1984" w:type="dxa"/>
            <w:shd w:val="clear" w:color="auto" w:fill="auto"/>
            <w:vAlign w:val="center"/>
          </w:tcPr>
          <w:p w:rsidR="00230743" w:rsidRPr="00802177" w:rsidRDefault="0062660D" w:rsidP="001E3005">
            <w:pPr>
              <w:jc w:val="left"/>
              <w:rPr>
                <w:szCs w:val="22"/>
              </w:rPr>
            </w:pPr>
            <w:r w:rsidRPr="00802177">
              <w:rPr>
                <w:szCs w:val="22"/>
              </w:rPr>
              <w:t>11.7% plus £316,500</w:t>
            </w:r>
          </w:p>
        </w:tc>
        <w:tc>
          <w:tcPr>
            <w:tcW w:w="2127" w:type="dxa"/>
            <w:shd w:val="clear" w:color="auto" w:fill="auto"/>
            <w:vAlign w:val="center"/>
          </w:tcPr>
          <w:p w:rsidR="00230743" w:rsidRPr="00802177" w:rsidRDefault="0062660D" w:rsidP="001E3005">
            <w:pPr>
              <w:jc w:val="left"/>
              <w:rPr>
                <w:szCs w:val="22"/>
              </w:rPr>
            </w:pPr>
            <w:r w:rsidRPr="00802177">
              <w:rPr>
                <w:szCs w:val="22"/>
              </w:rPr>
              <w:t>-1.4% plus £329,500</w:t>
            </w:r>
          </w:p>
        </w:tc>
        <w:tc>
          <w:tcPr>
            <w:tcW w:w="2409" w:type="dxa"/>
            <w:shd w:val="clear" w:color="auto" w:fill="auto"/>
            <w:vAlign w:val="center"/>
          </w:tcPr>
          <w:p w:rsidR="00230743" w:rsidRPr="00802177" w:rsidRDefault="0062660D" w:rsidP="001E3005">
            <w:pPr>
              <w:jc w:val="left"/>
              <w:rPr>
                <w:szCs w:val="22"/>
              </w:rPr>
            </w:pPr>
            <w:r w:rsidRPr="00802177">
              <w:rPr>
                <w:szCs w:val="22"/>
              </w:rPr>
              <w:t>11.7% plus £329,500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Preston Council for Vol</w:t>
            </w:r>
            <w:r>
              <w:rPr>
                <w:szCs w:val="22"/>
              </w:rPr>
              <w:t>untary</w:t>
            </w:r>
            <w:r w:rsidRPr="00FF2F9D">
              <w:rPr>
                <w:szCs w:val="22"/>
              </w:rPr>
              <w:t xml:space="preserve"> Servic</w:t>
            </w:r>
            <w:r>
              <w:rPr>
                <w:szCs w:val="22"/>
              </w:rPr>
              <w:t>es</w:t>
            </w:r>
          </w:p>
        </w:tc>
        <w:tc>
          <w:tcPr>
            <w:tcW w:w="1842" w:type="dxa"/>
            <w:shd w:val="clear" w:color="auto" w:fill="auto"/>
            <w:vAlign w:val="center"/>
          </w:tcPr>
          <w:p w:rsidR="00230743" w:rsidRPr="00802177" w:rsidRDefault="0062660D" w:rsidP="001E3005">
            <w:pPr>
              <w:jc w:val="left"/>
              <w:rPr>
                <w:szCs w:val="22"/>
              </w:rPr>
            </w:pPr>
            <w:r w:rsidRPr="00802177">
              <w:rPr>
                <w:szCs w:val="22"/>
              </w:rPr>
              <w:t>11.5%</w:t>
            </w:r>
          </w:p>
        </w:tc>
        <w:tc>
          <w:tcPr>
            <w:tcW w:w="1843" w:type="dxa"/>
            <w:shd w:val="clear" w:color="auto" w:fill="auto"/>
            <w:vAlign w:val="center"/>
          </w:tcPr>
          <w:p w:rsidR="00230743" w:rsidRPr="00802177" w:rsidRDefault="0062660D" w:rsidP="001E3005">
            <w:pPr>
              <w:jc w:val="left"/>
              <w:rPr>
                <w:szCs w:val="22"/>
              </w:rPr>
            </w:pPr>
            <w:r w:rsidRPr="00802177">
              <w:rPr>
                <w:szCs w:val="22"/>
              </w:rPr>
              <w:t>24.6%</w:t>
            </w:r>
          </w:p>
        </w:tc>
        <w:tc>
          <w:tcPr>
            <w:tcW w:w="1843" w:type="dxa"/>
            <w:shd w:val="clear" w:color="auto" w:fill="auto"/>
            <w:vAlign w:val="center"/>
          </w:tcPr>
          <w:p w:rsidR="00230743" w:rsidRPr="00802177" w:rsidRDefault="0062660D" w:rsidP="001E3005">
            <w:pPr>
              <w:jc w:val="left"/>
              <w:rPr>
                <w:szCs w:val="22"/>
              </w:rPr>
            </w:pPr>
            <w:r w:rsidRPr="00802177">
              <w:rPr>
                <w:szCs w:val="22"/>
              </w:rPr>
              <w:t>12.0% plus £1,000</w:t>
            </w:r>
          </w:p>
        </w:tc>
        <w:tc>
          <w:tcPr>
            <w:tcW w:w="1984" w:type="dxa"/>
            <w:shd w:val="clear" w:color="auto" w:fill="auto"/>
            <w:vAlign w:val="center"/>
          </w:tcPr>
          <w:p w:rsidR="00230743" w:rsidRPr="00802177" w:rsidRDefault="0062660D" w:rsidP="001E3005">
            <w:pPr>
              <w:jc w:val="left"/>
              <w:rPr>
                <w:szCs w:val="22"/>
              </w:rPr>
            </w:pPr>
            <w:r w:rsidRPr="00802177">
              <w:rPr>
                <w:szCs w:val="22"/>
              </w:rPr>
              <w:t>25.1% plus £1,000</w:t>
            </w:r>
          </w:p>
        </w:tc>
        <w:tc>
          <w:tcPr>
            <w:tcW w:w="2127" w:type="dxa"/>
            <w:shd w:val="clear" w:color="auto" w:fill="auto"/>
            <w:vAlign w:val="center"/>
          </w:tcPr>
          <w:p w:rsidR="00230743" w:rsidRPr="00802177" w:rsidRDefault="0062660D" w:rsidP="001E3005">
            <w:pPr>
              <w:jc w:val="left"/>
              <w:rPr>
                <w:szCs w:val="22"/>
              </w:rPr>
            </w:pPr>
            <w:r w:rsidRPr="00802177">
              <w:rPr>
                <w:szCs w:val="22"/>
              </w:rPr>
              <w:t>12.0% plus £2,200</w:t>
            </w:r>
          </w:p>
        </w:tc>
        <w:tc>
          <w:tcPr>
            <w:tcW w:w="2409" w:type="dxa"/>
            <w:shd w:val="clear" w:color="auto" w:fill="auto"/>
            <w:vAlign w:val="center"/>
          </w:tcPr>
          <w:p w:rsidR="00230743" w:rsidRPr="00802177" w:rsidRDefault="0062660D" w:rsidP="001E3005">
            <w:pPr>
              <w:jc w:val="left"/>
              <w:rPr>
                <w:szCs w:val="22"/>
              </w:rPr>
            </w:pPr>
            <w:r w:rsidRPr="00802177">
              <w:rPr>
                <w:szCs w:val="22"/>
              </w:rPr>
              <w:t>25.1% plus £2,200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Progress Housing Group</w:t>
            </w:r>
          </w:p>
        </w:tc>
        <w:tc>
          <w:tcPr>
            <w:tcW w:w="1842" w:type="dxa"/>
            <w:shd w:val="clear" w:color="auto" w:fill="auto"/>
            <w:vAlign w:val="center"/>
          </w:tcPr>
          <w:p w:rsidR="00230743" w:rsidRPr="00802177" w:rsidRDefault="0062660D" w:rsidP="001E3005">
            <w:pPr>
              <w:jc w:val="left"/>
              <w:rPr>
                <w:szCs w:val="22"/>
              </w:rPr>
            </w:pPr>
            <w:r w:rsidRPr="00802177">
              <w:rPr>
                <w:szCs w:val="22"/>
              </w:rPr>
              <w:t>2.8% plus £160,300</w:t>
            </w:r>
          </w:p>
        </w:tc>
        <w:tc>
          <w:tcPr>
            <w:tcW w:w="1843" w:type="dxa"/>
            <w:shd w:val="clear" w:color="auto" w:fill="auto"/>
            <w:vAlign w:val="center"/>
          </w:tcPr>
          <w:p w:rsidR="00230743" w:rsidRPr="00802177" w:rsidRDefault="0062660D" w:rsidP="001E3005">
            <w:pPr>
              <w:jc w:val="left"/>
              <w:rPr>
                <w:szCs w:val="22"/>
              </w:rPr>
            </w:pPr>
            <w:r w:rsidRPr="00802177">
              <w:rPr>
                <w:szCs w:val="22"/>
              </w:rPr>
              <w:t>15.9% plus £160,300</w:t>
            </w:r>
          </w:p>
        </w:tc>
        <w:tc>
          <w:tcPr>
            <w:tcW w:w="1843" w:type="dxa"/>
            <w:shd w:val="clear" w:color="auto" w:fill="auto"/>
            <w:vAlign w:val="center"/>
          </w:tcPr>
          <w:p w:rsidR="00230743" w:rsidRPr="00802177" w:rsidRDefault="0062660D" w:rsidP="001E3005">
            <w:pPr>
              <w:jc w:val="left"/>
              <w:rPr>
                <w:szCs w:val="22"/>
              </w:rPr>
            </w:pPr>
            <w:r w:rsidRPr="00802177">
              <w:rPr>
                <w:szCs w:val="22"/>
              </w:rPr>
              <w:t>2.8% plus £166,900</w:t>
            </w:r>
          </w:p>
        </w:tc>
        <w:tc>
          <w:tcPr>
            <w:tcW w:w="1984" w:type="dxa"/>
            <w:shd w:val="clear" w:color="auto" w:fill="auto"/>
            <w:vAlign w:val="center"/>
          </w:tcPr>
          <w:p w:rsidR="00230743" w:rsidRPr="00802177" w:rsidRDefault="0062660D" w:rsidP="001E3005">
            <w:pPr>
              <w:jc w:val="left"/>
              <w:rPr>
                <w:szCs w:val="22"/>
              </w:rPr>
            </w:pPr>
            <w:r w:rsidRPr="00802177">
              <w:rPr>
                <w:szCs w:val="22"/>
              </w:rPr>
              <w:t>15.9% plus £166,900</w:t>
            </w:r>
          </w:p>
        </w:tc>
        <w:tc>
          <w:tcPr>
            <w:tcW w:w="2127" w:type="dxa"/>
            <w:shd w:val="clear" w:color="auto" w:fill="auto"/>
            <w:vAlign w:val="center"/>
          </w:tcPr>
          <w:p w:rsidR="00230743" w:rsidRPr="00802177" w:rsidRDefault="0062660D" w:rsidP="001E3005">
            <w:pPr>
              <w:jc w:val="left"/>
              <w:rPr>
                <w:szCs w:val="22"/>
              </w:rPr>
            </w:pPr>
            <w:r w:rsidRPr="00802177">
              <w:rPr>
                <w:szCs w:val="22"/>
              </w:rPr>
              <w:t>2.8% plus £173,700</w:t>
            </w:r>
          </w:p>
        </w:tc>
        <w:tc>
          <w:tcPr>
            <w:tcW w:w="2409" w:type="dxa"/>
            <w:shd w:val="clear" w:color="auto" w:fill="auto"/>
            <w:vAlign w:val="center"/>
          </w:tcPr>
          <w:p w:rsidR="00230743" w:rsidRPr="00802177" w:rsidRDefault="0062660D" w:rsidP="001E3005">
            <w:pPr>
              <w:jc w:val="left"/>
              <w:rPr>
                <w:szCs w:val="22"/>
              </w:rPr>
            </w:pPr>
            <w:r w:rsidRPr="00802177">
              <w:rPr>
                <w:szCs w:val="22"/>
              </w:rPr>
              <w:t>15.9% plus £173,700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Progress Recruitments (se) Ltd</w:t>
            </w:r>
          </w:p>
        </w:tc>
        <w:tc>
          <w:tcPr>
            <w:tcW w:w="1842" w:type="dxa"/>
            <w:shd w:val="clear" w:color="auto" w:fill="auto"/>
            <w:vAlign w:val="center"/>
          </w:tcPr>
          <w:p w:rsidR="00230743" w:rsidRPr="00802177" w:rsidRDefault="0062660D" w:rsidP="001E3005">
            <w:pPr>
              <w:jc w:val="left"/>
              <w:rPr>
                <w:szCs w:val="22"/>
              </w:rPr>
            </w:pPr>
            <w:r w:rsidRPr="00802177">
              <w:rPr>
                <w:szCs w:val="22"/>
              </w:rPr>
              <w:t>-3.2%</w:t>
            </w:r>
          </w:p>
        </w:tc>
        <w:tc>
          <w:tcPr>
            <w:tcW w:w="1843" w:type="dxa"/>
            <w:shd w:val="clear" w:color="auto" w:fill="auto"/>
            <w:vAlign w:val="center"/>
          </w:tcPr>
          <w:p w:rsidR="00230743" w:rsidRPr="00802177" w:rsidRDefault="0062660D" w:rsidP="001E3005">
            <w:pPr>
              <w:jc w:val="left"/>
              <w:rPr>
                <w:szCs w:val="22"/>
              </w:rPr>
            </w:pPr>
            <w:r w:rsidRPr="00802177">
              <w:rPr>
                <w:szCs w:val="22"/>
              </w:rPr>
              <w:t>9.9%</w:t>
            </w:r>
          </w:p>
        </w:tc>
        <w:tc>
          <w:tcPr>
            <w:tcW w:w="1843" w:type="dxa"/>
            <w:shd w:val="clear" w:color="auto" w:fill="auto"/>
            <w:vAlign w:val="center"/>
          </w:tcPr>
          <w:p w:rsidR="00230743" w:rsidRPr="00802177" w:rsidRDefault="0062660D" w:rsidP="001E3005">
            <w:pPr>
              <w:jc w:val="left"/>
              <w:rPr>
                <w:szCs w:val="22"/>
              </w:rPr>
            </w:pPr>
            <w:r w:rsidRPr="00802177">
              <w:rPr>
                <w:szCs w:val="22"/>
              </w:rPr>
              <w:t>-3.2%</w:t>
            </w:r>
          </w:p>
        </w:tc>
        <w:tc>
          <w:tcPr>
            <w:tcW w:w="1984" w:type="dxa"/>
            <w:shd w:val="clear" w:color="auto" w:fill="auto"/>
            <w:vAlign w:val="center"/>
          </w:tcPr>
          <w:p w:rsidR="00230743" w:rsidRPr="00802177" w:rsidRDefault="0062660D" w:rsidP="001E3005">
            <w:pPr>
              <w:jc w:val="left"/>
              <w:rPr>
                <w:szCs w:val="22"/>
              </w:rPr>
            </w:pPr>
            <w:r w:rsidRPr="00802177">
              <w:rPr>
                <w:szCs w:val="22"/>
              </w:rPr>
              <w:t>9.9%</w:t>
            </w:r>
          </w:p>
        </w:tc>
        <w:tc>
          <w:tcPr>
            <w:tcW w:w="2127" w:type="dxa"/>
            <w:shd w:val="clear" w:color="auto" w:fill="auto"/>
            <w:vAlign w:val="center"/>
          </w:tcPr>
          <w:p w:rsidR="00230743" w:rsidRPr="00802177" w:rsidRDefault="0062660D" w:rsidP="001E3005">
            <w:pPr>
              <w:jc w:val="left"/>
              <w:rPr>
                <w:szCs w:val="22"/>
              </w:rPr>
            </w:pPr>
            <w:r w:rsidRPr="00802177">
              <w:rPr>
                <w:szCs w:val="22"/>
              </w:rPr>
              <w:t>-3.2%</w:t>
            </w:r>
          </w:p>
        </w:tc>
        <w:tc>
          <w:tcPr>
            <w:tcW w:w="2409" w:type="dxa"/>
            <w:shd w:val="clear" w:color="auto" w:fill="auto"/>
            <w:vAlign w:val="center"/>
          </w:tcPr>
          <w:p w:rsidR="00230743" w:rsidRPr="00802177" w:rsidRDefault="0062660D" w:rsidP="001E3005">
            <w:pPr>
              <w:jc w:val="left"/>
              <w:rPr>
                <w:szCs w:val="22"/>
              </w:rPr>
            </w:pPr>
            <w:r w:rsidRPr="00802177">
              <w:rPr>
                <w:szCs w:val="22"/>
              </w:rPr>
              <w:t>9.9%</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Queen Elizabeth's Grammar School</w:t>
            </w:r>
          </w:p>
        </w:tc>
        <w:tc>
          <w:tcPr>
            <w:tcW w:w="1842" w:type="dxa"/>
            <w:shd w:val="clear" w:color="auto" w:fill="auto"/>
            <w:vAlign w:val="center"/>
          </w:tcPr>
          <w:p w:rsidR="00230743" w:rsidRPr="00802177" w:rsidRDefault="0062660D" w:rsidP="001E3005">
            <w:pPr>
              <w:jc w:val="left"/>
              <w:rPr>
                <w:szCs w:val="22"/>
              </w:rPr>
            </w:pPr>
            <w:r w:rsidRPr="00802177">
              <w:rPr>
                <w:szCs w:val="22"/>
              </w:rPr>
              <w:t>7.1% plus £15,600</w:t>
            </w:r>
          </w:p>
        </w:tc>
        <w:tc>
          <w:tcPr>
            <w:tcW w:w="1843" w:type="dxa"/>
            <w:shd w:val="clear" w:color="auto" w:fill="auto"/>
            <w:vAlign w:val="center"/>
          </w:tcPr>
          <w:p w:rsidR="00230743" w:rsidRPr="00802177" w:rsidRDefault="0062660D" w:rsidP="001E3005">
            <w:pPr>
              <w:jc w:val="left"/>
              <w:rPr>
                <w:szCs w:val="22"/>
              </w:rPr>
            </w:pPr>
            <w:r w:rsidRPr="00802177">
              <w:rPr>
                <w:szCs w:val="22"/>
              </w:rPr>
              <w:t>20.2% plus £15,600</w:t>
            </w:r>
          </w:p>
        </w:tc>
        <w:tc>
          <w:tcPr>
            <w:tcW w:w="1843" w:type="dxa"/>
            <w:shd w:val="clear" w:color="auto" w:fill="auto"/>
            <w:vAlign w:val="center"/>
          </w:tcPr>
          <w:p w:rsidR="00230743" w:rsidRPr="00802177" w:rsidRDefault="0062660D" w:rsidP="001E3005">
            <w:pPr>
              <w:jc w:val="left"/>
              <w:rPr>
                <w:szCs w:val="22"/>
              </w:rPr>
            </w:pPr>
            <w:r w:rsidRPr="00802177">
              <w:rPr>
                <w:szCs w:val="22"/>
              </w:rPr>
              <w:t>7.1% plus £23,900</w:t>
            </w:r>
          </w:p>
        </w:tc>
        <w:tc>
          <w:tcPr>
            <w:tcW w:w="1984" w:type="dxa"/>
            <w:shd w:val="clear" w:color="auto" w:fill="auto"/>
            <w:vAlign w:val="center"/>
          </w:tcPr>
          <w:p w:rsidR="00230743" w:rsidRPr="00802177" w:rsidRDefault="0062660D" w:rsidP="001E3005">
            <w:pPr>
              <w:jc w:val="left"/>
              <w:rPr>
                <w:szCs w:val="22"/>
              </w:rPr>
            </w:pPr>
            <w:r w:rsidRPr="00802177">
              <w:rPr>
                <w:szCs w:val="22"/>
              </w:rPr>
              <w:t>20.2% plus £23,900</w:t>
            </w:r>
          </w:p>
        </w:tc>
        <w:tc>
          <w:tcPr>
            <w:tcW w:w="2127" w:type="dxa"/>
            <w:shd w:val="clear" w:color="auto" w:fill="auto"/>
            <w:vAlign w:val="center"/>
          </w:tcPr>
          <w:p w:rsidR="00230743" w:rsidRPr="00802177" w:rsidRDefault="0062660D" w:rsidP="001E3005">
            <w:pPr>
              <w:jc w:val="left"/>
              <w:rPr>
                <w:szCs w:val="22"/>
              </w:rPr>
            </w:pPr>
            <w:r w:rsidRPr="00802177">
              <w:rPr>
                <w:szCs w:val="22"/>
              </w:rPr>
              <w:t>7.1% plus £32,300</w:t>
            </w:r>
          </w:p>
        </w:tc>
        <w:tc>
          <w:tcPr>
            <w:tcW w:w="2409" w:type="dxa"/>
            <w:shd w:val="clear" w:color="auto" w:fill="auto"/>
            <w:vAlign w:val="center"/>
          </w:tcPr>
          <w:p w:rsidR="00230743" w:rsidRPr="00802177" w:rsidRDefault="0062660D" w:rsidP="001E3005">
            <w:pPr>
              <w:jc w:val="left"/>
              <w:rPr>
                <w:szCs w:val="22"/>
              </w:rPr>
            </w:pPr>
            <w:r w:rsidRPr="00802177">
              <w:rPr>
                <w:szCs w:val="22"/>
              </w:rPr>
              <w:t>20.2% plus £32,300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Ribble Valley Borough Council</w:t>
            </w:r>
          </w:p>
        </w:tc>
        <w:tc>
          <w:tcPr>
            <w:tcW w:w="1842" w:type="dxa"/>
            <w:shd w:val="clear" w:color="auto" w:fill="auto"/>
            <w:vAlign w:val="center"/>
          </w:tcPr>
          <w:p w:rsidR="00230743" w:rsidRPr="00802177" w:rsidRDefault="0062660D" w:rsidP="001E3005">
            <w:pPr>
              <w:jc w:val="left"/>
              <w:rPr>
                <w:szCs w:val="22"/>
              </w:rPr>
            </w:pPr>
            <w:r w:rsidRPr="00802177">
              <w:rPr>
                <w:szCs w:val="22"/>
              </w:rPr>
              <w:t>0.9% plus £195,900</w:t>
            </w:r>
          </w:p>
        </w:tc>
        <w:tc>
          <w:tcPr>
            <w:tcW w:w="1843" w:type="dxa"/>
            <w:shd w:val="clear" w:color="auto" w:fill="auto"/>
            <w:vAlign w:val="center"/>
          </w:tcPr>
          <w:p w:rsidR="00230743" w:rsidRPr="00802177" w:rsidRDefault="0062660D" w:rsidP="001E3005">
            <w:pPr>
              <w:jc w:val="left"/>
              <w:rPr>
                <w:szCs w:val="22"/>
              </w:rPr>
            </w:pPr>
            <w:r w:rsidRPr="00802177">
              <w:rPr>
                <w:szCs w:val="22"/>
              </w:rPr>
              <w:t>14.0% plus £195,900</w:t>
            </w:r>
          </w:p>
        </w:tc>
        <w:tc>
          <w:tcPr>
            <w:tcW w:w="1843" w:type="dxa"/>
            <w:shd w:val="clear" w:color="auto" w:fill="auto"/>
            <w:vAlign w:val="center"/>
          </w:tcPr>
          <w:p w:rsidR="00230743" w:rsidRPr="00802177" w:rsidRDefault="0062660D" w:rsidP="001E3005">
            <w:pPr>
              <w:jc w:val="left"/>
              <w:rPr>
                <w:szCs w:val="22"/>
              </w:rPr>
            </w:pPr>
            <w:r w:rsidRPr="00802177">
              <w:rPr>
                <w:szCs w:val="22"/>
              </w:rPr>
              <w:t>0.9% plus £203,900</w:t>
            </w:r>
          </w:p>
        </w:tc>
        <w:tc>
          <w:tcPr>
            <w:tcW w:w="1984" w:type="dxa"/>
            <w:shd w:val="clear" w:color="auto" w:fill="auto"/>
            <w:vAlign w:val="center"/>
          </w:tcPr>
          <w:p w:rsidR="00230743" w:rsidRPr="00802177" w:rsidRDefault="0062660D" w:rsidP="001E3005">
            <w:pPr>
              <w:jc w:val="left"/>
              <w:rPr>
                <w:szCs w:val="22"/>
              </w:rPr>
            </w:pPr>
            <w:r w:rsidRPr="00802177">
              <w:rPr>
                <w:szCs w:val="22"/>
              </w:rPr>
              <w:t>14.0% plus £203,900</w:t>
            </w:r>
          </w:p>
        </w:tc>
        <w:tc>
          <w:tcPr>
            <w:tcW w:w="2127" w:type="dxa"/>
            <w:shd w:val="clear" w:color="auto" w:fill="auto"/>
            <w:vAlign w:val="center"/>
          </w:tcPr>
          <w:p w:rsidR="00230743" w:rsidRPr="00802177" w:rsidRDefault="0062660D" w:rsidP="001E3005">
            <w:pPr>
              <w:jc w:val="left"/>
              <w:rPr>
                <w:szCs w:val="22"/>
              </w:rPr>
            </w:pPr>
            <w:r w:rsidRPr="00802177">
              <w:rPr>
                <w:szCs w:val="22"/>
              </w:rPr>
              <w:t>0.9% plus £212,300</w:t>
            </w:r>
          </w:p>
        </w:tc>
        <w:tc>
          <w:tcPr>
            <w:tcW w:w="2409" w:type="dxa"/>
            <w:shd w:val="clear" w:color="auto" w:fill="auto"/>
            <w:vAlign w:val="center"/>
          </w:tcPr>
          <w:p w:rsidR="00230743" w:rsidRPr="00802177" w:rsidRDefault="0062660D" w:rsidP="001E3005">
            <w:pPr>
              <w:jc w:val="left"/>
              <w:rPr>
                <w:szCs w:val="22"/>
              </w:rPr>
            </w:pPr>
            <w:r w:rsidRPr="00802177">
              <w:rPr>
                <w:szCs w:val="22"/>
              </w:rPr>
              <w:t>14.0% plus £212,300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Ribble Valley Homes Ltd</w:t>
            </w:r>
          </w:p>
        </w:tc>
        <w:tc>
          <w:tcPr>
            <w:tcW w:w="1842" w:type="dxa"/>
            <w:shd w:val="clear" w:color="auto" w:fill="auto"/>
            <w:vAlign w:val="center"/>
          </w:tcPr>
          <w:p w:rsidR="00230743" w:rsidRPr="00802177" w:rsidRDefault="0062660D" w:rsidP="001E3005">
            <w:pPr>
              <w:jc w:val="left"/>
              <w:rPr>
                <w:szCs w:val="22"/>
              </w:rPr>
            </w:pPr>
            <w:r w:rsidRPr="00802177">
              <w:rPr>
                <w:szCs w:val="22"/>
              </w:rPr>
              <w:t>2.7%</w:t>
            </w:r>
          </w:p>
        </w:tc>
        <w:tc>
          <w:tcPr>
            <w:tcW w:w="1843" w:type="dxa"/>
            <w:shd w:val="clear" w:color="auto" w:fill="auto"/>
            <w:vAlign w:val="center"/>
          </w:tcPr>
          <w:p w:rsidR="00230743" w:rsidRPr="00802177" w:rsidRDefault="0062660D" w:rsidP="001E3005">
            <w:pPr>
              <w:jc w:val="left"/>
              <w:rPr>
                <w:szCs w:val="22"/>
              </w:rPr>
            </w:pPr>
            <w:r w:rsidRPr="00802177">
              <w:rPr>
                <w:szCs w:val="22"/>
              </w:rPr>
              <w:t>15.8%</w:t>
            </w:r>
          </w:p>
        </w:tc>
        <w:tc>
          <w:tcPr>
            <w:tcW w:w="1843" w:type="dxa"/>
            <w:shd w:val="clear" w:color="auto" w:fill="auto"/>
            <w:vAlign w:val="center"/>
          </w:tcPr>
          <w:p w:rsidR="00230743" w:rsidRPr="00802177" w:rsidRDefault="0062660D" w:rsidP="001E3005">
            <w:pPr>
              <w:jc w:val="left"/>
              <w:rPr>
                <w:szCs w:val="22"/>
              </w:rPr>
            </w:pPr>
            <w:r w:rsidRPr="00802177">
              <w:rPr>
                <w:szCs w:val="22"/>
              </w:rPr>
              <w:t>2.7%</w:t>
            </w:r>
          </w:p>
        </w:tc>
        <w:tc>
          <w:tcPr>
            <w:tcW w:w="1984" w:type="dxa"/>
            <w:shd w:val="clear" w:color="auto" w:fill="auto"/>
            <w:vAlign w:val="center"/>
          </w:tcPr>
          <w:p w:rsidR="00230743" w:rsidRPr="00802177" w:rsidRDefault="0062660D" w:rsidP="001E3005">
            <w:pPr>
              <w:jc w:val="left"/>
              <w:rPr>
                <w:szCs w:val="22"/>
              </w:rPr>
            </w:pPr>
            <w:r w:rsidRPr="00802177">
              <w:rPr>
                <w:szCs w:val="22"/>
              </w:rPr>
              <w:t>15.8%</w:t>
            </w:r>
          </w:p>
        </w:tc>
        <w:tc>
          <w:tcPr>
            <w:tcW w:w="2127" w:type="dxa"/>
            <w:shd w:val="clear" w:color="auto" w:fill="auto"/>
            <w:vAlign w:val="center"/>
          </w:tcPr>
          <w:p w:rsidR="00230743" w:rsidRPr="00802177" w:rsidRDefault="0062660D" w:rsidP="001E3005">
            <w:pPr>
              <w:jc w:val="left"/>
              <w:rPr>
                <w:szCs w:val="22"/>
              </w:rPr>
            </w:pPr>
            <w:r w:rsidRPr="00802177">
              <w:rPr>
                <w:szCs w:val="22"/>
              </w:rPr>
              <w:t>2.7%</w:t>
            </w:r>
          </w:p>
        </w:tc>
        <w:tc>
          <w:tcPr>
            <w:tcW w:w="2409" w:type="dxa"/>
            <w:shd w:val="clear" w:color="auto" w:fill="auto"/>
            <w:vAlign w:val="center"/>
          </w:tcPr>
          <w:p w:rsidR="00230743" w:rsidRPr="00802177" w:rsidRDefault="0062660D" w:rsidP="001E3005">
            <w:pPr>
              <w:jc w:val="left"/>
              <w:rPr>
                <w:szCs w:val="22"/>
              </w:rPr>
            </w:pPr>
            <w:r w:rsidRPr="00802177">
              <w:rPr>
                <w:szCs w:val="22"/>
              </w:rPr>
              <w:t>15.8%</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Ripley St Thomas C.E. (Academy)</w:t>
            </w:r>
          </w:p>
        </w:tc>
        <w:tc>
          <w:tcPr>
            <w:tcW w:w="1842" w:type="dxa"/>
            <w:shd w:val="clear" w:color="auto" w:fill="auto"/>
            <w:vAlign w:val="center"/>
          </w:tcPr>
          <w:p w:rsidR="00230743" w:rsidRPr="00802177" w:rsidRDefault="0062660D" w:rsidP="001E3005">
            <w:pPr>
              <w:jc w:val="left"/>
              <w:rPr>
                <w:szCs w:val="22"/>
              </w:rPr>
            </w:pPr>
            <w:r w:rsidRPr="00802177">
              <w:rPr>
                <w:szCs w:val="22"/>
              </w:rPr>
              <w:t>2.9% plus £34,200</w:t>
            </w:r>
          </w:p>
        </w:tc>
        <w:tc>
          <w:tcPr>
            <w:tcW w:w="1843" w:type="dxa"/>
            <w:shd w:val="clear" w:color="auto" w:fill="auto"/>
            <w:vAlign w:val="center"/>
          </w:tcPr>
          <w:p w:rsidR="00230743" w:rsidRPr="00802177" w:rsidRDefault="0062660D" w:rsidP="001E3005">
            <w:pPr>
              <w:jc w:val="left"/>
              <w:rPr>
                <w:szCs w:val="22"/>
              </w:rPr>
            </w:pPr>
            <w:r w:rsidRPr="00802177">
              <w:rPr>
                <w:szCs w:val="22"/>
              </w:rPr>
              <w:t>16.0% plus £34,200</w:t>
            </w:r>
          </w:p>
        </w:tc>
        <w:tc>
          <w:tcPr>
            <w:tcW w:w="1843" w:type="dxa"/>
            <w:shd w:val="clear" w:color="auto" w:fill="auto"/>
            <w:vAlign w:val="center"/>
          </w:tcPr>
          <w:p w:rsidR="00230743" w:rsidRPr="00802177" w:rsidRDefault="0062660D" w:rsidP="001E3005">
            <w:pPr>
              <w:jc w:val="left"/>
              <w:rPr>
                <w:szCs w:val="22"/>
              </w:rPr>
            </w:pPr>
            <w:r w:rsidRPr="00802177">
              <w:rPr>
                <w:szCs w:val="22"/>
              </w:rPr>
              <w:t>2.9% plus £39,900</w:t>
            </w:r>
          </w:p>
        </w:tc>
        <w:tc>
          <w:tcPr>
            <w:tcW w:w="1984" w:type="dxa"/>
            <w:shd w:val="clear" w:color="auto" w:fill="auto"/>
            <w:vAlign w:val="center"/>
          </w:tcPr>
          <w:p w:rsidR="00230743" w:rsidRPr="00802177" w:rsidRDefault="0062660D" w:rsidP="001E3005">
            <w:pPr>
              <w:jc w:val="left"/>
              <w:rPr>
                <w:szCs w:val="22"/>
              </w:rPr>
            </w:pPr>
            <w:r w:rsidRPr="00802177">
              <w:rPr>
                <w:szCs w:val="22"/>
              </w:rPr>
              <w:t>16.0% plus £39,900</w:t>
            </w:r>
          </w:p>
        </w:tc>
        <w:tc>
          <w:tcPr>
            <w:tcW w:w="2127" w:type="dxa"/>
            <w:shd w:val="clear" w:color="auto" w:fill="auto"/>
            <w:vAlign w:val="center"/>
          </w:tcPr>
          <w:p w:rsidR="00230743" w:rsidRPr="00802177" w:rsidRDefault="0062660D" w:rsidP="001E3005">
            <w:pPr>
              <w:jc w:val="left"/>
              <w:rPr>
                <w:szCs w:val="22"/>
              </w:rPr>
            </w:pPr>
            <w:r w:rsidRPr="00802177">
              <w:rPr>
                <w:szCs w:val="22"/>
              </w:rPr>
              <w:t>2.9% plus £45,600</w:t>
            </w:r>
          </w:p>
        </w:tc>
        <w:tc>
          <w:tcPr>
            <w:tcW w:w="2409" w:type="dxa"/>
            <w:shd w:val="clear" w:color="auto" w:fill="auto"/>
            <w:vAlign w:val="center"/>
          </w:tcPr>
          <w:p w:rsidR="00230743" w:rsidRPr="00802177" w:rsidRDefault="0062660D" w:rsidP="001E3005">
            <w:pPr>
              <w:jc w:val="left"/>
              <w:rPr>
                <w:szCs w:val="22"/>
              </w:rPr>
            </w:pPr>
            <w:r w:rsidRPr="00802177">
              <w:rPr>
                <w:szCs w:val="22"/>
              </w:rPr>
              <w:t>16.0% plus £45,600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Roseacre Primary Academy</w:t>
            </w:r>
          </w:p>
        </w:tc>
        <w:tc>
          <w:tcPr>
            <w:tcW w:w="1842" w:type="dxa"/>
            <w:shd w:val="clear" w:color="auto" w:fill="auto"/>
            <w:vAlign w:val="center"/>
          </w:tcPr>
          <w:p w:rsidR="00230743" w:rsidRPr="00802177" w:rsidRDefault="0062660D" w:rsidP="001E3005">
            <w:pPr>
              <w:jc w:val="left"/>
              <w:rPr>
                <w:szCs w:val="22"/>
              </w:rPr>
            </w:pPr>
            <w:r w:rsidRPr="00802177">
              <w:rPr>
                <w:szCs w:val="22"/>
              </w:rPr>
              <w:t>0.3% plus £18,500</w:t>
            </w:r>
          </w:p>
        </w:tc>
        <w:tc>
          <w:tcPr>
            <w:tcW w:w="1843" w:type="dxa"/>
            <w:shd w:val="clear" w:color="auto" w:fill="auto"/>
            <w:vAlign w:val="center"/>
          </w:tcPr>
          <w:p w:rsidR="00230743" w:rsidRPr="00802177" w:rsidRDefault="0062660D" w:rsidP="001E3005">
            <w:pPr>
              <w:jc w:val="left"/>
              <w:rPr>
                <w:szCs w:val="22"/>
              </w:rPr>
            </w:pPr>
            <w:r w:rsidRPr="00802177">
              <w:rPr>
                <w:szCs w:val="22"/>
              </w:rPr>
              <w:t>13.4% plus £18,500</w:t>
            </w:r>
          </w:p>
        </w:tc>
        <w:tc>
          <w:tcPr>
            <w:tcW w:w="1843" w:type="dxa"/>
            <w:shd w:val="clear" w:color="auto" w:fill="auto"/>
            <w:vAlign w:val="center"/>
          </w:tcPr>
          <w:p w:rsidR="00230743" w:rsidRPr="00802177" w:rsidRDefault="0062660D" w:rsidP="001E3005">
            <w:pPr>
              <w:jc w:val="left"/>
              <w:rPr>
                <w:szCs w:val="22"/>
              </w:rPr>
            </w:pPr>
            <w:r w:rsidRPr="00802177">
              <w:rPr>
                <w:szCs w:val="22"/>
              </w:rPr>
              <w:t>0.3% plus £19,300</w:t>
            </w:r>
          </w:p>
        </w:tc>
        <w:tc>
          <w:tcPr>
            <w:tcW w:w="1984" w:type="dxa"/>
            <w:shd w:val="clear" w:color="auto" w:fill="auto"/>
            <w:vAlign w:val="center"/>
          </w:tcPr>
          <w:p w:rsidR="00230743" w:rsidRPr="00802177" w:rsidRDefault="0062660D" w:rsidP="001E3005">
            <w:pPr>
              <w:jc w:val="left"/>
              <w:rPr>
                <w:szCs w:val="22"/>
              </w:rPr>
            </w:pPr>
            <w:r w:rsidRPr="00802177">
              <w:rPr>
                <w:szCs w:val="22"/>
              </w:rPr>
              <w:t>13.4% plus £19,300</w:t>
            </w:r>
          </w:p>
        </w:tc>
        <w:tc>
          <w:tcPr>
            <w:tcW w:w="2127" w:type="dxa"/>
            <w:shd w:val="clear" w:color="auto" w:fill="auto"/>
            <w:vAlign w:val="center"/>
          </w:tcPr>
          <w:p w:rsidR="00230743" w:rsidRPr="00802177" w:rsidRDefault="0062660D" w:rsidP="001E3005">
            <w:pPr>
              <w:jc w:val="left"/>
              <w:rPr>
                <w:szCs w:val="22"/>
              </w:rPr>
            </w:pPr>
            <w:r w:rsidRPr="00802177">
              <w:rPr>
                <w:szCs w:val="22"/>
              </w:rPr>
              <w:t xml:space="preserve">0.3% </w:t>
            </w:r>
            <w:r w:rsidRPr="00802177">
              <w:rPr>
                <w:szCs w:val="22"/>
              </w:rPr>
              <w:t>plus £20,100</w:t>
            </w:r>
          </w:p>
        </w:tc>
        <w:tc>
          <w:tcPr>
            <w:tcW w:w="2409" w:type="dxa"/>
            <w:shd w:val="clear" w:color="auto" w:fill="auto"/>
            <w:vAlign w:val="center"/>
          </w:tcPr>
          <w:p w:rsidR="00230743" w:rsidRPr="00802177" w:rsidRDefault="0062660D" w:rsidP="001E3005">
            <w:pPr>
              <w:jc w:val="left"/>
              <w:rPr>
                <w:szCs w:val="22"/>
              </w:rPr>
            </w:pPr>
            <w:r w:rsidRPr="00802177">
              <w:rPr>
                <w:szCs w:val="22"/>
              </w:rPr>
              <w:t>13.4% plus £20,100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Rossendale Borough Council</w:t>
            </w:r>
          </w:p>
        </w:tc>
        <w:tc>
          <w:tcPr>
            <w:tcW w:w="1842" w:type="dxa"/>
            <w:shd w:val="clear" w:color="auto" w:fill="auto"/>
            <w:vAlign w:val="center"/>
          </w:tcPr>
          <w:p w:rsidR="00230743" w:rsidRPr="00802177" w:rsidRDefault="0062660D" w:rsidP="001E3005">
            <w:pPr>
              <w:jc w:val="left"/>
              <w:rPr>
                <w:szCs w:val="22"/>
              </w:rPr>
            </w:pPr>
            <w:r w:rsidRPr="00802177">
              <w:rPr>
                <w:szCs w:val="22"/>
              </w:rPr>
              <w:t>0.9% plus £955,000</w:t>
            </w:r>
          </w:p>
        </w:tc>
        <w:tc>
          <w:tcPr>
            <w:tcW w:w="1843" w:type="dxa"/>
            <w:shd w:val="clear" w:color="auto" w:fill="auto"/>
            <w:vAlign w:val="center"/>
          </w:tcPr>
          <w:p w:rsidR="00230743" w:rsidRPr="00802177" w:rsidRDefault="0062660D" w:rsidP="001E3005">
            <w:pPr>
              <w:jc w:val="left"/>
              <w:rPr>
                <w:szCs w:val="22"/>
              </w:rPr>
            </w:pPr>
            <w:r w:rsidRPr="00802177">
              <w:rPr>
                <w:szCs w:val="22"/>
              </w:rPr>
              <w:t>14.0% plus £955,000</w:t>
            </w:r>
          </w:p>
        </w:tc>
        <w:tc>
          <w:tcPr>
            <w:tcW w:w="1843" w:type="dxa"/>
            <w:shd w:val="clear" w:color="auto" w:fill="auto"/>
            <w:vAlign w:val="center"/>
          </w:tcPr>
          <w:p w:rsidR="00230743" w:rsidRPr="00802177" w:rsidRDefault="0062660D" w:rsidP="001E3005">
            <w:pPr>
              <w:jc w:val="left"/>
              <w:rPr>
                <w:szCs w:val="22"/>
              </w:rPr>
            </w:pPr>
            <w:r w:rsidRPr="00802177">
              <w:rPr>
                <w:szCs w:val="22"/>
              </w:rPr>
              <w:t>0.9% plus £994,200</w:t>
            </w:r>
          </w:p>
        </w:tc>
        <w:tc>
          <w:tcPr>
            <w:tcW w:w="1984" w:type="dxa"/>
            <w:shd w:val="clear" w:color="auto" w:fill="auto"/>
            <w:vAlign w:val="center"/>
          </w:tcPr>
          <w:p w:rsidR="00230743" w:rsidRPr="00802177" w:rsidRDefault="0062660D" w:rsidP="001E3005">
            <w:pPr>
              <w:jc w:val="left"/>
              <w:rPr>
                <w:szCs w:val="22"/>
              </w:rPr>
            </w:pPr>
            <w:r w:rsidRPr="00802177">
              <w:rPr>
                <w:szCs w:val="22"/>
              </w:rPr>
              <w:t>14.0% plus £994,200</w:t>
            </w:r>
          </w:p>
        </w:tc>
        <w:tc>
          <w:tcPr>
            <w:tcW w:w="2127" w:type="dxa"/>
            <w:shd w:val="clear" w:color="auto" w:fill="auto"/>
            <w:vAlign w:val="center"/>
          </w:tcPr>
          <w:p w:rsidR="00230743" w:rsidRPr="00802177" w:rsidRDefault="0062660D" w:rsidP="001E3005">
            <w:pPr>
              <w:jc w:val="left"/>
              <w:rPr>
                <w:szCs w:val="22"/>
              </w:rPr>
            </w:pPr>
            <w:r w:rsidRPr="00802177">
              <w:rPr>
                <w:szCs w:val="22"/>
              </w:rPr>
              <w:t>0.9% plus £1,035,000</w:t>
            </w:r>
          </w:p>
        </w:tc>
        <w:tc>
          <w:tcPr>
            <w:tcW w:w="2409" w:type="dxa"/>
            <w:shd w:val="clear" w:color="auto" w:fill="auto"/>
            <w:vAlign w:val="center"/>
          </w:tcPr>
          <w:p w:rsidR="00230743" w:rsidRPr="00802177" w:rsidRDefault="0062660D" w:rsidP="001E3005">
            <w:pPr>
              <w:jc w:val="left"/>
              <w:rPr>
                <w:szCs w:val="22"/>
              </w:rPr>
            </w:pPr>
            <w:r w:rsidRPr="00802177">
              <w:rPr>
                <w:szCs w:val="22"/>
              </w:rPr>
              <w:t>14.0% plus £1,035,000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Rossendale Leisure Trust</w:t>
            </w:r>
          </w:p>
        </w:tc>
        <w:tc>
          <w:tcPr>
            <w:tcW w:w="1842" w:type="dxa"/>
            <w:shd w:val="clear" w:color="auto" w:fill="auto"/>
            <w:vAlign w:val="center"/>
          </w:tcPr>
          <w:p w:rsidR="00230743" w:rsidRPr="00802177" w:rsidRDefault="0062660D" w:rsidP="001E3005">
            <w:pPr>
              <w:jc w:val="left"/>
              <w:rPr>
                <w:szCs w:val="22"/>
              </w:rPr>
            </w:pPr>
            <w:r w:rsidRPr="00802177">
              <w:rPr>
                <w:szCs w:val="22"/>
              </w:rPr>
              <w:t>1.4% plus £10,100</w:t>
            </w:r>
          </w:p>
        </w:tc>
        <w:tc>
          <w:tcPr>
            <w:tcW w:w="1843" w:type="dxa"/>
            <w:shd w:val="clear" w:color="auto" w:fill="auto"/>
            <w:vAlign w:val="center"/>
          </w:tcPr>
          <w:p w:rsidR="00230743" w:rsidRPr="00802177" w:rsidRDefault="0062660D" w:rsidP="001E3005">
            <w:pPr>
              <w:jc w:val="left"/>
              <w:rPr>
                <w:szCs w:val="22"/>
              </w:rPr>
            </w:pPr>
            <w:r w:rsidRPr="00802177">
              <w:rPr>
                <w:szCs w:val="22"/>
              </w:rPr>
              <w:t>14.5% plus £10,100</w:t>
            </w:r>
          </w:p>
        </w:tc>
        <w:tc>
          <w:tcPr>
            <w:tcW w:w="1843" w:type="dxa"/>
            <w:shd w:val="clear" w:color="auto" w:fill="auto"/>
            <w:vAlign w:val="center"/>
          </w:tcPr>
          <w:p w:rsidR="00230743" w:rsidRPr="00802177" w:rsidRDefault="0062660D" w:rsidP="001E3005">
            <w:pPr>
              <w:jc w:val="left"/>
              <w:rPr>
                <w:szCs w:val="22"/>
              </w:rPr>
            </w:pPr>
            <w:r w:rsidRPr="00802177">
              <w:rPr>
                <w:szCs w:val="22"/>
              </w:rPr>
              <w:t xml:space="preserve">1.4% plus </w:t>
            </w:r>
            <w:r w:rsidRPr="00802177">
              <w:rPr>
                <w:szCs w:val="22"/>
              </w:rPr>
              <w:t>£10,500</w:t>
            </w:r>
          </w:p>
        </w:tc>
        <w:tc>
          <w:tcPr>
            <w:tcW w:w="1984" w:type="dxa"/>
            <w:shd w:val="clear" w:color="auto" w:fill="auto"/>
            <w:vAlign w:val="center"/>
          </w:tcPr>
          <w:p w:rsidR="00230743" w:rsidRPr="00802177" w:rsidRDefault="0062660D" w:rsidP="001E3005">
            <w:pPr>
              <w:jc w:val="left"/>
              <w:rPr>
                <w:szCs w:val="22"/>
              </w:rPr>
            </w:pPr>
            <w:r w:rsidRPr="00802177">
              <w:rPr>
                <w:szCs w:val="22"/>
              </w:rPr>
              <w:t>14.5% plus £10,500</w:t>
            </w:r>
          </w:p>
        </w:tc>
        <w:tc>
          <w:tcPr>
            <w:tcW w:w="2127" w:type="dxa"/>
            <w:shd w:val="clear" w:color="auto" w:fill="auto"/>
            <w:vAlign w:val="center"/>
          </w:tcPr>
          <w:p w:rsidR="00230743" w:rsidRPr="00802177" w:rsidRDefault="0062660D" w:rsidP="001E3005">
            <w:pPr>
              <w:jc w:val="left"/>
              <w:rPr>
                <w:szCs w:val="22"/>
              </w:rPr>
            </w:pPr>
            <w:r w:rsidRPr="00802177">
              <w:rPr>
                <w:szCs w:val="22"/>
              </w:rPr>
              <w:t>1.4% plus £10,900</w:t>
            </w:r>
          </w:p>
        </w:tc>
        <w:tc>
          <w:tcPr>
            <w:tcW w:w="2409" w:type="dxa"/>
            <w:shd w:val="clear" w:color="auto" w:fill="auto"/>
            <w:vAlign w:val="center"/>
          </w:tcPr>
          <w:p w:rsidR="00230743" w:rsidRPr="00802177" w:rsidRDefault="0062660D" w:rsidP="001E3005">
            <w:pPr>
              <w:jc w:val="left"/>
              <w:rPr>
                <w:szCs w:val="22"/>
              </w:rPr>
            </w:pPr>
            <w:r w:rsidRPr="00802177">
              <w:rPr>
                <w:szCs w:val="22"/>
              </w:rPr>
              <w:t>14.5% plus £10,900</w:t>
            </w:r>
          </w:p>
        </w:tc>
      </w:tr>
      <w:tr w:rsidR="006A2C17" w:rsidTr="007D4064">
        <w:trPr>
          <w:cantSplit/>
        </w:trPr>
        <w:tc>
          <w:tcPr>
            <w:tcW w:w="3333" w:type="dxa"/>
            <w:tcBorders>
              <w:bottom w:val="single" w:sz="8" w:space="0" w:color="auto"/>
            </w:tcBorders>
            <w:shd w:val="clear" w:color="auto" w:fill="auto"/>
            <w:vAlign w:val="center"/>
          </w:tcPr>
          <w:p w:rsidR="00230743" w:rsidRPr="00FF2F9D" w:rsidRDefault="0062660D" w:rsidP="001E3005">
            <w:pPr>
              <w:jc w:val="left"/>
              <w:rPr>
                <w:szCs w:val="22"/>
              </w:rPr>
            </w:pPr>
            <w:r w:rsidRPr="00FF2F9D">
              <w:rPr>
                <w:szCs w:val="22"/>
              </w:rPr>
              <w:t>Rossendale Transport Ltd</w:t>
            </w:r>
          </w:p>
        </w:tc>
        <w:tc>
          <w:tcPr>
            <w:tcW w:w="1842" w:type="dxa"/>
            <w:tcBorders>
              <w:bottom w:val="single" w:sz="8" w:space="0" w:color="auto"/>
            </w:tcBorders>
            <w:shd w:val="clear" w:color="auto" w:fill="auto"/>
            <w:vAlign w:val="center"/>
          </w:tcPr>
          <w:p w:rsidR="00230743" w:rsidRPr="00802177" w:rsidRDefault="0062660D" w:rsidP="001E3005">
            <w:pPr>
              <w:jc w:val="left"/>
              <w:rPr>
                <w:szCs w:val="22"/>
              </w:rPr>
            </w:pPr>
            <w:r w:rsidRPr="00802177">
              <w:rPr>
                <w:szCs w:val="22"/>
              </w:rPr>
              <w:t>12.1% plus £74,600</w:t>
            </w:r>
          </w:p>
        </w:tc>
        <w:tc>
          <w:tcPr>
            <w:tcW w:w="1843" w:type="dxa"/>
            <w:tcBorders>
              <w:bottom w:val="single" w:sz="8" w:space="0" w:color="auto"/>
            </w:tcBorders>
            <w:shd w:val="clear" w:color="auto" w:fill="auto"/>
            <w:vAlign w:val="center"/>
          </w:tcPr>
          <w:p w:rsidR="00230743" w:rsidRPr="00802177" w:rsidRDefault="0062660D" w:rsidP="001E3005">
            <w:pPr>
              <w:jc w:val="left"/>
              <w:rPr>
                <w:szCs w:val="22"/>
              </w:rPr>
            </w:pPr>
            <w:r w:rsidRPr="00802177">
              <w:rPr>
                <w:szCs w:val="22"/>
              </w:rPr>
              <w:t>25.2% plus £74,600</w:t>
            </w:r>
          </w:p>
        </w:tc>
        <w:tc>
          <w:tcPr>
            <w:tcW w:w="1843" w:type="dxa"/>
            <w:tcBorders>
              <w:bottom w:val="single" w:sz="8" w:space="0" w:color="auto"/>
            </w:tcBorders>
            <w:shd w:val="clear" w:color="auto" w:fill="auto"/>
            <w:vAlign w:val="center"/>
          </w:tcPr>
          <w:p w:rsidR="00230743" w:rsidRPr="00802177" w:rsidRDefault="0062660D" w:rsidP="001E3005">
            <w:pPr>
              <w:jc w:val="left"/>
              <w:rPr>
                <w:szCs w:val="22"/>
              </w:rPr>
            </w:pPr>
            <w:r w:rsidRPr="00802177">
              <w:rPr>
                <w:szCs w:val="22"/>
              </w:rPr>
              <w:t>12.1% plus £110,100</w:t>
            </w:r>
          </w:p>
        </w:tc>
        <w:tc>
          <w:tcPr>
            <w:tcW w:w="1984" w:type="dxa"/>
            <w:tcBorders>
              <w:bottom w:val="single" w:sz="8" w:space="0" w:color="auto"/>
            </w:tcBorders>
            <w:shd w:val="clear" w:color="auto" w:fill="auto"/>
            <w:vAlign w:val="center"/>
          </w:tcPr>
          <w:p w:rsidR="00230743" w:rsidRPr="00802177" w:rsidRDefault="0062660D" w:rsidP="001E3005">
            <w:pPr>
              <w:jc w:val="left"/>
              <w:rPr>
                <w:szCs w:val="22"/>
              </w:rPr>
            </w:pPr>
            <w:r w:rsidRPr="00802177">
              <w:rPr>
                <w:szCs w:val="22"/>
              </w:rPr>
              <w:t>25.2% plus £110,100</w:t>
            </w:r>
          </w:p>
        </w:tc>
        <w:tc>
          <w:tcPr>
            <w:tcW w:w="2127" w:type="dxa"/>
            <w:tcBorders>
              <w:bottom w:val="single" w:sz="8" w:space="0" w:color="auto"/>
            </w:tcBorders>
            <w:shd w:val="clear" w:color="auto" w:fill="auto"/>
            <w:vAlign w:val="center"/>
          </w:tcPr>
          <w:p w:rsidR="00230743" w:rsidRPr="00802177" w:rsidRDefault="0062660D" w:rsidP="001E3005">
            <w:pPr>
              <w:jc w:val="left"/>
              <w:rPr>
                <w:szCs w:val="22"/>
              </w:rPr>
            </w:pPr>
            <w:r w:rsidRPr="00802177">
              <w:rPr>
                <w:szCs w:val="22"/>
              </w:rPr>
              <w:t>12.1% plus £145,700</w:t>
            </w:r>
          </w:p>
        </w:tc>
        <w:tc>
          <w:tcPr>
            <w:tcW w:w="2409" w:type="dxa"/>
            <w:tcBorders>
              <w:bottom w:val="single" w:sz="8" w:space="0" w:color="auto"/>
            </w:tcBorders>
            <w:shd w:val="clear" w:color="auto" w:fill="auto"/>
            <w:vAlign w:val="center"/>
          </w:tcPr>
          <w:p w:rsidR="00230743" w:rsidRPr="00802177" w:rsidRDefault="0062660D" w:rsidP="001E3005">
            <w:pPr>
              <w:jc w:val="left"/>
              <w:rPr>
                <w:szCs w:val="22"/>
              </w:rPr>
            </w:pPr>
            <w:r w:rsidRPr="00802177">
              <w:rPr>
                <w:szCs w:val="22"/>
              </w:rPr>
              <w:t>25.2% plus £145,700</w:t>
            </w:r>
          </w:p>
        </w:tc>
      </w:tr>
      <w:tr w:rsidR="006A2C17" w:rsidTr="007D4064">
        <w:trPr>
          <w:cantSplit/>
        </w:trPr>
        <w:tc>
          <w:tcPr>
            <w:tcW w:w="3333" w:type="dxa"/>
            <w:tcBorders>
              <w:left w:val="single" w:sz="8" w:space="0" w:color="auto"/>
              <w:bottom w:val="single" w:sz="8" w:space="0" w:color="auto"/>
              <w:right w:val="single" w:sz="8" w:space="0" w:color="auto"/>
            </w:tcBorders>
            <w:shd w:val="clear" w:color="auto" w:fill="auto"/>
            <w:vAlign w:val="center"/>
          </w:tcPr>
          <w:p w:rsidR="00230743" w:rsidRPr="00FF2F9D" w:rsidRDefault="0062660D" w:rsidP="001E3005">
            <w:pPr>
              <w:jc w:val="left"/>
              <w:rPr>
                <w:szCs w:val="22"/>
              </w:rPr>
            </w:pPr>
            <w:proofErr w:type="spellStart"/>
            <w:r w:rsidRPr="00FF2F9D">
              <w:rPr>
                <w:szCs w:val="22"/>
              </w:rPr>
              <w:t>Runshaw</w:t>
            </w:r>
            <w:proofErr w:type="spellEnd"/>
            <w:r w:rsidRPr="00FF2F9D">
              <w:rPr>
                <w:szCs w:val="22"/>
              </w:rPr>
              <w:t xml:space="preserve"> College</w:t>
            </w:r>
          </w:p>
        </w:tc>
        <w:tc>
          <w:tcPr>
            <w:tcW w:w="1842" w:type="dxa"/>
            <w:tcBorders>
              <w:left w:val="single" w:sz="8" w:space="0" w:color="auto"/>
              <w:bottom w:val="single" w:sz="8" w:space="0" w:color="auto"/>
              <w:right w:val="single" w:sz="8" w:space="0" w:color="auto"/>
            </w:tcBorders>
            <w:shd w:val="clear" w:color="auto" w:fill="auto"/>
            <w:vAlign w:val="center"/>
          </w:tcPr>
          <w:p w:rsidR="00230743" w:rsidRPr="00802177" w:rsidRDefault="0062660D" w:rsidP="001E3005">
            <w:pPr>
              <w:jc w:val="left"/>
              <w:rPr>
                <w:szCs w:val="22"/>
              </w:rPr>
            </w:pPr>
            <w:r w:rsidRPr="00802177">
              <w:rPr>
                <w:szCs w:val="22"/>
              </w:rPr>
              <w:t>-0.3% plus £140,200</w:t>
            </w:r>
          </w:p>
        </w:tc>
        <w:tc>
          <w:tcPr>
            <w:tcW w:w="1843" w:type="dxa"/>
            <w:tcBorders>
              <w:left w:val="single" w:sz="8" w:space="0" w:color="auto"/>
              <w:bottom w:val="single" w:sz="8" w:space="0" w:color="auto"/>
              <w:right w:val="single" w:sz="8" w:space="0" w:color="auto"/>
            </w:tcBorders>
            <w:shd w:val="clear" w:color="auto" w:fill="auto"/>
            <w:vAlign w:val="center"/>
          </w:tcPr>
          <w:p w:rsidR="00230743" w:rsidRPr="00802177" w:rsidRDefault="0062660D" w:rsidP="001E3005">
            <w:pPr>
              <w:jc w:val="left"/>
              <w:rPr>
                <w:szCs w:val="22"/>
              </w:rPr>
            </w:pPr>
            <w:r w:rsidRPr="00802177">
              <w:rPr>
                <w:szCs w:val="22"/>
              </w:rPr>
              <w:t xml:space="preserve">12.8% plus </w:t>
            </w:r>
            <w:r w:rsidRPr="00802177">
              <w:rPr>
                <w:szCs w:val="22"/>
              </w:rPr>
              <w:t>£140,200</w:t>
            </w:r>
          </w:p>
        </w:tc>
        <w:tc>
          <w:tcPr>
            <w:tcW w:w="1843" w:type="dxa"/>
            <w:tcBorders>
              <w:left w:val="single" w:sz="8" w:space="0" w:color="auto"/>
              <w:bottom w:val="single" w:sz="8" w:space="0" w:color="auto"/>
              <w:right w:val="single" w:sz="8" w:space="0" w:color="auto"/>
            </w:tcBorders>
            <w:shd w:val="clear" w:color="auto" w:fill="auto"/>
            <w:vAlign w:val="center"/>
          </w:tcPr>
          <w:p w:rsidR="00230743" w:rsidRPr="00802177" w:rsidRDefault="0062660D" w:rsidP="001E3005">
            <w:pPr>
              <w:jc w:val="left"/>
              <w:rPr>
                <w:szCs w:val="22"/>
              </w:rPr>
            </w:pPr>
            <w:r w:rsidRPr="00802177">
              <w:rPr>
                <w:szCs w:val="22"/>
              </w:rPr>
              <w:t>-0.3% plus £145,900</w:t>
            </w:r>
          </w:p>
        </w:tc>
        <w:tc>
          <w:tcPr>
            <w:tcW w:w="1984" w:type="dxa"/>
            <w:tcBorders>
              <w:left w:val="single" w:sz="8" w:space="0" w:color="auto"/>
              <w:bottom w:val="single" w:sz="8" w:space="0" w:color="auto"/>
              <w:right w:val="single" w:sz="8" w:space="0" w:color="auto"/>
            </w:tcBorders>
            <w:shd w:val="clear" w:color="auto" w:fill="auto"/>
            <w:vAlign w:val="center"/>
          </w:tcPr>
          <w:p w:rsidR="00230743" w:rsidRPr="00802177" w:rsidRDefault="0062660D" w:rsidP="001E3005">
            <w:pPr>
              <w:jc w:val="left"/>
              <w:rPr>
                <w:szCs w:val="22"/>
              </w:rPr>
            </w:pPr>
            <w:r w:rsidRPr="00802177">
              <w:rPr>
                <w:szCs w:val="22"/>
              </w:rPr>
              <w:t>12.8% plus £145,900</w:t>
            </w:r>
          </w:p>
        </w:tc>
        <w:tc>
          <w:tcPr>
            <w:tcW w:w="2127" w:type="dxa"/>
            <w:tcBorders>
              <w:left w:val="single" w:sz="8" w:space="0" w:color="auto"/>
              <w:bottom w:val="single" w:sz="8" w:space="0" w:color="auto"/>
              <w:right w:val="single" w:sz="8" w:space="0" w:color="auto"/>
            </w:tcBorders>
            <w:shd w:val="clear" w:color="auto" w:fill="auto"/>
            <w:vAlign w:val="center"/>
          </w:tcPr>
          <w:p w:rsidR="00230743" w:rsidRPr="00802177" w:rsidRDefault="0062660D" w:rsidP="001E3005">
            <w:pPr>
              <w:jc w:val="left"/>
              <w:rPr>
                <w:szCs w:val="22"/>
              </w:rPr>
            </w:pPr>
            <w:r w:rsidRPr="00802177">
              <w:rPr>
                <w:szCs w:val="22"/>
              </w:rPr>
              <w:t>-0.3% plus £151,900</w:t>
            </w:r>
          </w:p>
        </w:tc>
        <w:tc>
          <w:tcPr>
            <w:tcW w:w="2409" w:type="dxa"/>
            <w:tcBorders>
              <w:left w:val="single" w:sz="8" w:space="0" w:color="auto"/>
              <w:bottom w:val="single" w:sz="8" w:space="0" w:color="auto"/>
              <w:right w:val="single" w:sz="8" w:space="0" w:color="auto"/>
            </w:tcBorders>
            <w:shd w:val="clear" w:color="auto" w:fill="auto"/>
            <w:vAlign w:val="center"/>
          </w:tcPr>
          <w:p w:rsidR="00230743" w:rsidRPr="00802177" w:rsidRDefault="0062660D" w:rsidP="001E3005">
            <w:pPr>
              <w:jc w:val="left"/>
              <w:rPr>
                <w:szCs w:val="22"/>
              </w:rPr>
            </w:pPr>
            <w:r w:rsidRPr="00802177">
              <w:rPr>
                <w:szCs w:val="22"/>
              </w:rPr>
              <w:t>12.8% plus £151,900</w:t>
            </w:r>
          </w:p>
        </w:tc>
      </w:tr>
      <w:tr w:rsidR="006A2C17" w:rsidTr="007D4064">
        <w:trPr>
          <w:cantSplit/>
        </w:trPr>
        <w:tc>
          <w:tcPr>
            <w:tcW w:w="3333" w:type="dxa"/>
            <w:tcBorders>
              <w:top w:val="single" w:sz="8" w:space="0" w:color="auto"/>
              <w:left w:val="single" w:sz="8" w:space="0" w:color="auto"/>
              <w:bottom w:val="single" w:sz="8" w:space="0" w:color="auto"/>
              <w:right w:val="single" w:sz="8" w:space="0" w:color="auto"/>
            </w:tcBorders>
            <w:shd w:val="clear" w:color="auto" w:fill="auto"/>
            <w:vAlign w:val="center"/>
          </w:tcPr>
          <w:p w:rsidR="00230743" w:rsidRPr="00FF2F9D" w:rsidRDefault="0062660D" w:rsidP="001E3005">
            <w:pPr>
              <w:jc w:val="left"/>
              <w:rPr>
                <w:szCs w:val="22"/>
              </w:rPr>
            </w:pPr>
            <w:r w:rsidRPr="00FF2F9D">
              <w:rPr>
                <w:szCs w:val="22"/>
              </w:rPr>
              <w:t>School Lettings Solutions</w:t>
            </w:r>
          </w:p>
        </w:tc>
        <w:tc>
          <w:tcPr>
            <w:tcW w:w="1842" w:type="dxa"/>
            <w:tcBorders>
              <w:top w:val="single" w:sz="8" w:space="0" w:color="auto"/>
              <w:left w:val="single" w:sz="8" w:space="0" w:color="auto"/>
              <w:bottom w:val="single" w:sz="8" w:space="0" w:color="auto"/>
              <w:right w:val="single" w:sz="8" w:space="0" w:color="auto"/>
            </w:tcBorders>
            <w:shd w:val="clear" w:color="auto" w:fill="auto"/>
            <w:vAlign w:val="center"/>
          </w:tcPr>
          <w:p w:rsidR="00230743" w:rsidRPr="00802177" w:rsidRDefault="0062660D" w:rsidP="001E3005">
            <w:pPr>
              <w:jc w:val="left"/>
              <w:rPr>
                <w:szCs w:val="22"/>
              </w:rPr>
            </w:pPr>
            <w:r w:rsidRPr="00802177">
              <w:rPr>
                <w:szCs w:val="22"/>
              </w:rPr>
              <w:t>6.0%</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rsidR="00230743" w:rsidRPr="00802177" w:rsidRDefault="0062660D" w:rsidP="001E3005">
            <w:pPr>
              <w:jc w:val="left"/>
              <w:rPr>
                <w:szCs w:val="22"/>
              </w:rPr>
            </w:pPr>
            <w:r w:rsidRPr="00802177">
              <w:rPr>
                <w:szCs w:val="22"/>
              </w:rPr>
              <w:t>19.1%</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rsidR="00230743" w:rsidRPr="00802177" w:rsidRDefault="0062660D" w:rsidP="001E3005">
            <w:pPr>
              <w:jc w:val="left"/>
              <w:rPr>
                <w:szCs w:val="22"/>
              </w:rPr>
            </w:pPr>
            <w:r w:rsidRPr="00802177">
              <w:rPr>
                <w:szCs w:val="22"/>
              </w:rPr>
              <w:t>6.0%</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tcPr>
          <w:p w:rsidR="00230743" w:rsidRPr="00802177" w:rsidRDefault="0062660D" w:rsidP="001E3005">
            <w:pPr>
              <w:jc w:val="left"/>
              <w:rPr>
                <w:szCs w:val="22"/>
              </w:rPr>
            </w:pPr>
            <w:r w:rsidRPr="00802177">
              <w:rPr>
                <w:szCs w:val="22"/>
              </w:rPr>
              <w:t>19.1%</w:t>
            </w:r>
          </w:p>
        </w:tc>
        <w:tc>
          <w:tcPr>
            <w:tcW w:w="2127" w:type="dxa"/>
            <w:tcBorders>
              <w:top w:val="single" w:sz="8" w:space="0" w:color="auto"/>
              <w:left w:val="single" w:sz="8" w:space="0" w:color="auto"/>
              <w:bottom w:val="single" w:sz="8" w:space="0" w:color="auto"/>
              <w:right w:val="single" w:sz="8" w:space="0" w:color="auto"/>
            </w:tcBorders>
            <w:shd w:val="clear" w:color="auto" w:fill="auto"/>
            <w:vAlign w:val="center"/>
          </w:tcPr>
          <w:p w:rsidR="00230743" w:rsidRPr="00802177" w:rsidRDefault="0062660D" w:rsidP="001E3005">
            <w:pPr>
              <w:jc w:val="left"/>
              <w:rPr>
                <w:szCs w:val="22"/>
              </w:rPr>
            </w:pPr>
            <w:r w:rsidRPr="00802177">
              <w:rPr>
                <w:szCs w:val="22"/>
              </w:rPr>
              <w:t>6.0%</w:t>
            </w:r>
          </w:p>
        </w:tc>
        <w:tc>
          <w:tcPr>
            <w:tcW w:w="2409" w:type="dxa"/>
            <w:tcBorders>
              <w:top w:val="single" w:sz="8" w:space="0" w:color="auto"/>
              <w:left w:val="single" w:sz="8" w:space="0" w:color="auto"/>
              <w:bottom w:val="single" w:sz="8" w:space="0" w:color="auto"/>
              <w:right w:val="single" w:sz="8" w:space="0" w:color="auto"/>
            </w:tcBorders>
            <w:shd w:val="clear" w:color="auto" w:fill="auto"/>
            <w:vAlign w:val="center"/>
          </w:tcPr>
          <w:p w:rsidR="00230743" w:rsidRPr="00802177" w:rsidRDefault="0062660D" w:rsidP="001E3005">
            <w:pPr>
              <w:jc w:val="left"/>
              <w:rPr>
                <w:szCs w:val="22"/>
              </w:rPr>
            </w:pPr>
            <w:r w:rsidRPr="00802177">
              <w:rPr>
                <w:szCs w:val="22"/>
              </w:rPr>
              <w:t>19.1%</w:t>
            </w:r>
          </w:p>
        </w:tc>
      </w:tr>
      <w:tr w:rsidR="006A2C17" w:rsidTr="007D4064">
        <w:trPr>
          <w:cantSplit/>
        </w:trPr>
        <w:tc>
          <w:tcPr>
            <w:tcW w:w="3333" w:type="dxa"/>
            <w:tcBorders>
              <w:top w:val="single" w:sz="8" w:space="0" w:color="auto"/>
              <w:left w:val="single" w:sz="8" w:space="0" w:color="auto"/>
              <w:right w:val="single" w:sz="8" w:space="0" w:color="auto"/>
            </w:tcBorders>
            <w:shd w:val="clear" w:color="auto" w:fill="auto"/>
            <w:vAlign w:val="center"/>
          </w:tcPr>
          <w:p w:rsidR="00230743" w:rsidRPr="00FF2F9D" w:rsidRDefault="0062660D" w:rsidP="001E3005">
            <w:pPr>
              <w:jc w:val="left"/>
              <w:rPr>
                <w:szCs w:val="22"/>
              </w:rPr>
            </w:pPr>
            <w:r w:rsidRPr="00FF2F9D">
              <w:rPr>
                <w:szCs w:val="22"/>
              </w:rPr>
              <w:t>Service Alliance Ltd (Altham)</w:t>
            </w:r>
          </w:p>
        </w:tc>
        <w:tc>
          <w:tcPr>
            <w:tcW w:w="1842" w:type="dxa"/>
            <w:tcBorders>
              <w:top w:val="single" w:sz="8" w:space="0" w:color="auto"/>
              <w:left w:val="single" w:sz="8" w:space="0" w:color="auto"/>
              <w:right w:val="single" w:sz="8" w:space="0" w:color="auto"/>
            </w:tcBorders>
            <w:shd w:val="clear" w:color="auto" w:fill="auto"/>
            <w:vAlign w:val="center"/>
          </w:tcPr>
          <w:p w:rsidR="00230743" w:rsidRPr="00802177" w:rsidRDefault="0062660D" w:rsidP="001E3005">
            <w:pPr>
              <w:jc w:val="left"/>
              <w:rPr>
                <w:szCs w:val="22"/>
              </w:rPr>
            </w:pPr>
            <w:r w:rsidRPr="00802177">
              <w:rPr>
                <w:szCs w:val="22"/>
              </w:rPr>
              <w:t>6.0%</w:t>
            </w:r>
          </w:p>
        </w:tc>
        <w:tc>
          <w:tcPr>
            <w:tcW w:w="1843" w:type="dxa"/>
            <w:tcBorders>
              <w:top w:val="single" w:sz="8" w:space="0" w:color="auto"/>
              <w:left w:val="single" w:sz="8" w:space="0" w:color="auto"/>
              <w:right w:val="single" w:sz="8" w:space="0" w:color="auto"/>
            </w:tcBorders>
            <w:shd w:val="clear" w:color="auto" w:fill="auto"/>
            <w:vAlign w:val="center"/>
          </w:tcPr>
          <w:p w:rsidR="00230743" w:rsidRPr="00802177" w:rsidRDefault="0062660D" w:rsidP="001E3005">
            <w:pPr>
              <w:jc w:val="left"/>
              <w:rPr>
                <w:szCs w:val="22"/>
              </w:rPr>
            </w:pPr>
            <w:r w:rsidRPr="00802177">
              <w:rPr>
                <w:szCs w:val="22"/>
              </w:rPr>
              <w:t>19.1%</w:t>
            </w:r>
          </w:p>
        </w:tc>
        <w:tc>
          <w:tcPr>
            <w:tcW w:w="1843" w:type="dxa"/>
            <w:tcBorders>
              <w:top w:val="single" w:sz="8" w:space="0" w:color="auto"/>
              <w:left w:val="single" w:sz="8" w:space="0" w:color="auto"/>
              <w:right w:val="single" w:sz="8" w:space="0" w:color="auto"/>
            </w:tcBorders>
            <w:shd w:val="clear" w:color="auto" w:fill="auto"/>
            <w:vAlign w:val="center"/>
          </w:tcPr>
          <w:p w:rsidR="00230743" w:rsidRPr="00802177" w:rsidRDefault="0062660D" w:rsidP="001E3005">
            <w:pPr>
              <w:jc w:val="left"/>
              <w:rPr>
                <w:szCs w:val="22"/>
              </w:rPr>
            </w:pPr>
            <w:r w:rsidRPr="00802177">
              <w:rPr>
                <w:szCs w:val="22"/>
              </w:rPr>
              <w:t>6.0%</w:t>
            </w:r>
          </w:p>
        </w:tc>
        <w:tc>
          <w:tcPr>
            <w:tcW w:w="1984" w:type="dxa"/>
            <w:tcBorders>
              <w:top w:val="single" w:sz="8" w:space="0" w:color="auto"/>
              <w:left w:val="single" w:sz="8" w:space="0" w:color="auto"/>
              <w:right w:val="single" w:sz="8" w:space="0" w:color="auto"/>
            </w:tcBorders>
            <w:shd w:val="clear" w:color="auto" w:fill="auto"/>
            <w:vAlign w:val="center"/>
          </w:tcPr>
          <w:p w:rsidR="00230743" w:rsidRPr="00802177" w:rsidRDefault="0062660D" w:rsidP="001E3005">
            <w:pPr>
              <w:jc w:val="left"/>
              <w:rPr>
                <w:szCs w:val="22"/>
              </w:rPr>
            </w:pPr>
            <w:r w:rsidRPr="00802177">
              <w:rPr>
                <w:szCs w:val="22"/>
              </w:rPr>
              <w:t>19.1%</w:t>
            </w:r>
          </w:p>
        </w:tc>
        <w:tc>
          <w:tcPr>
            <w:tcW w:w="2127" w:type="dxa"/>
            <w:tcBorders>
              <w:top w:val="single" w:sz="8" w:space="0" w:color="auto"/>
              <w:left w:val="single" w:sz="8" w:space="0" w:color="auto"/>
              <w:right w:val="single" w:sz="8" w:space="0" w:color="auto"/>
            </w:tcBorders>
            <w:shd w:val="clear" w:color="auto" w:fill="auto"/>
            <w:vAlign w:val="center"/>
          </w:tcPr>
          <w:p w:rsidR="00230743" w:rsidRPr="00802177" w:rsidRDefault="0062660D" w:rsidP="001E3005">
            <w:pPr>
              <w:jc w:val="left"/>
              <w:rPr>
                <w:szCs w:val="22"/>
              </w:rPr>
            </w:pPr>
            <w:r w:rsidRPr="00802177">
              <w:rPr>
                <w:szCs w:val="22"/>
              </w:rPr>
              <w:t>6.0%</w:t>
            </w:r>
          </w:p>
        </w:tc>
        <w:tc>
          <w:tcPr>
            <w:tcW w:w="2409" w:type="dxa"/>
            <w:tcBorders>
              <w:top w:val="single" w:sz="8" w:space="0" w:color="auto"/>
              <w:left w:val="single" w:sz="8" w:space="0" w:color="auto"/>
              <w:right w:val="single" w:sz="8" w:space="0" w:color="auto"/>
            </w:tcBorders>
            <w:shd w:val="clear" w:color="auto" w:fill="auto"/>
            <w:vAlign w:val="center"/>
          </w:tcPr>
          <w:p w:rsidR="00230743" w:rsidRPr="00802177" w:rsidRDefault="0062660D" w:rsidP="001E3005">
            <w:pPr>
              <w:jc w:val="left"/>
              <w:rPr>
                <w:szCs w:val="22"/>
              </w:rPr>
            </w:pPr>
            <w:r w:rsidRPr="00802177">
              <w:rPr>
                <w:szCs w:val="22"/>
              </w:rPr>
              <w:t>19.1%</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Service Alliance Ltd (RCC)</w:t>
            </w:r>
          </w:p>
        </w:tc>
        <w:tc>
          <w:tcPr>
            <w:tcW w:w="1842" w:type="dxa"/>
            <w:shd w:val="clear" w:color="auto" w:fill="auto"/>
            <w:vAlign w:val="center"/>
          </w:tcPr>
          <w:p w:rsidR="00230743" w:rsidRPr="00802177" w:rsidRDefault="0062660D" w:rsidP="001E3005">
            <w:pPr>
              <w:jc w:val="left"/>
              <w:rPr>
                <w:szCs w:val="22"/>
              </w:rPr>
            </w:pPr>
            <w:r w:rsidRPr="00802177">
              <w:rPr>
                <w:szCs w:val="22"/>
              </w:rPr>
              <w:t>6.0%</w:t>
            </w:r>
          </w:p>
        </w:tc>
        <w:tc>
          <w:tcPr>
            <w:tcW w:w="1843" w:type="dxa"/>
            <w:shd w:val="clear" w:color="auto" w:fill="auto"/>
            <w:vAlign w:val="center"/>
          </w:tcPr>
          <w:p w:rsidR="00230743" w:rsidRPr="00802177" w:rsidRDefault="0062660D" w:rsidP="001E3005">
            <w:pPr>
              <w:jc w:val="left"/>
              <w:rPr>
                <w:szCs w:val="22"/>
              </w:rPr>
            </w:pPr>
            <w:r w:rsidRPr="00802177">
              <w:rPr>
                <w:szCs w:val="22"/>
              </w:rPr>
              <w:t>19.1%</w:t>
            </w:r>
          </w:p>
        </w:tc>
        <w:tc>
          <w:tcPr>
            <w:tcW w:w="1843" w:type="dxa"/>
            <w:shd w:val="clear" w:color="auto" w:fill="auto"/>
            <w:vAlign w:val="center"/>
          </w:tcPr>
          <w:p w:rsidR="00230743" w:rsidRPr="00802177" w:rsidRDefault="0062660D" w:rsidP="001E3005">
            <w:pPr>
              <w:jc w:val="left"/>
              <w:rPr>
                <w:szCs w:val="22"/>
              </w:rPr>
            </w:pPr>
            <w:r w:rsidRPr="00802177">
              <w:rPr>
                <w:szCs w:val="22"/>
              </w:rPr>
              <w:t>6.0%</w:t>
            </w:r>
          </w:p>
        </w:tc>
        <w:tc>
          <w:tcPr>
            <w:tcW w:w="1984" w:type="dxa"/>
            <w:shd w:val="clear" w:color="auto" w:fill="auto"/>
            <w:vAlign w:val="center"/>
          </w:tcPr>
          <w:p w:rsidR="00230743" w:rsidRPr="00802177" w:rsidRDefault="0062660D" w:rsidP="001E3005">
            <w:pPr>
              <w:jc w:val="left"/>
              <w:rPr>
                <w:szCs w:val="22"/>
              </w:rPr>
            </w:pPr>
            <w:r w:rsidRPr="00802177">
              <w:rPr>
                <w:szCs w:val="22"/>
              </w:rPr>
              <w:t>19.1%</w:t>
            </w:r>
          </w:p>
        </w:tc>
        <w:tc>
          <w:tcPr>
            <w:tcW w:w="2127" w:type="dxa"/>
            <w:shd w:val="clear" w:color="auto" w:fill="auto"/>
            <w:vAlign w:val="center"/>
          </w:tcPr>
          <w:p w:rsidR="00230743" w:rsidRPr="00802177" w:rsidRDefault="0062660D" w:rsidP="001E3005">
            <w:pPr>
              <w:jc w:val="left"/>
              <w:rPr>
                <w:szCs w:val="22"/>
              </w:rPr>
            </w:pPr>
            <w:r w:rsidRPr="00802177">
              <w:rPr>
                <w:szCs w:val="22"/>
              </w:rPr>
              <w:t>6.0%</w:t>
            </w:r>
          </w:p>
        </w:tc>
        <w:tc>
          <w:tcPr>
            <w:tcW w:w="2409" w:type="dxa"/>
            <w:shd w:val="clear" w:color="auto" w:fill="auto"/>
            <w:vAlign w:val="center"/>
          </w:tcPr>
          <w:p w:rsidR="00230743" w:rsidRPr="00802177" w:rsidRDefault="0062660D" w:rsidP="001E3005">
            <w:pPr>
              <w:jc w:val="left"/>
              <w:rPr>
                <w:szCs w:val="22"/>
              </w:rPr>
            </w:pPr>
            <w:r w:rsidRPr="00802177">
              <w:rPr>
                <w:szCs w:val="22"/>
              </w:rPr>
              <w:t>19.1%</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South Ribble Borough Council</w:t>
            </w:r>
          </w:p>
        </w:tc>
        <w:tc>
          <w:tcPr>
            <w:tcW w:w="1842" w:type="dxa"/>
            <w:shd w:val="clear" w:color="auto" w:fill="auto"/>
            <w:vAlign w:val="center"/>
          </w:tcPr>
          <w:p w:rsidR="00230743" w:rsidRPr="00802177" w:rsidRDefault="0062660D" w:rsidP="001E3005">
            <w:pPr>
              <w:jc w:val="left"/>
              <w:rPr>
                <w:szCs w:val="22"/>
              </w:rPr>
            </w:pPr>
            <w:r w:rsidRPr="00802177">
              <w:rPr>
                <w:szCs w:val="22"/>
              </w:rPr>
              <w:t>-0.4% plus £1,778,200*</w:t>
            </w:r>
          </w:p>
        </w:tc>
        <w:tc>
          <w:tcPr>
            <w:tcW w:w="1843" w:type="dxa"/>
            <w:shd w:val="clear" w:color="auto" w:fill="auto"/>
            <w:vAlign w:val="center"/>
          </w:tcPr>
          <w:p w:rsidR="00230743" w:rsidRPr="00802177" w:rsidRDefault="0062660D" w:rsidP="001E3005">
            <w:pPr>
              <w:jc w:val="left"/>
              <w:rPr>
                <w:szCs w:val="22"/>
              </w:rPr>
            </w:pPr>
            <w:r w:rsidRPr="00802177">
              <w:rPr>
                <w:szCs w:val="22"/>
              </w:rPr>
              <w:t>12.7% plus £1,778,200*</w:t>
            </w:r>
          </w:p>
        </w:tc>
        <w:tc>
          <w:tcPr>
            <w:tcW w:w="1843" w:type="dxa"/>
            <w:shd w:val="clear" w:color="auto" w:fill="auto"/>
            <w:vAlign w:val="center"/>
          </w:tcPr>
          <w:p w:rsidR="00230743" w:rsidRPr="00802177" w:rsidRDefault="0062660D" w:rsidP="001E3005">
            <w:pPr>
              <w:jc w:val="left"/>
              <w:rPr>
                <w:szCs w:val="22"/>
              </w:rPr>
            </w:pPr>
            <w:r w:rsidRPr="00802177">
              <w:rPr>
                <w:szCs w:val="22"/>
              </w:rPr>
              <w:t>-0.4%</w:t>
            </w:r>
          </w:p>
        </w:tc>
        <w:tc>
          <w:tcPr>
            <w:tcW w:w="1984" w:type="dxa"/>
            <w:shd w:val="clear" w:color="auto" w:fill="auto"/>
            <w:vAlign w:val="center"/>
          </w:tcPr>
          <w:p w:rsidR="00230743" w:rsidRPr="00802177" w:rsidRDefault="0062660D" w:rsidP="001E3005">
            <w:pPr>
              <w:jc w:val="left"/>
              <w:rPr>
                <w:szCs w:val="22"/>
              </w:rPr>
            </w:pPr>
            <w:r w:rsidRPr="00802177">
              <w:rPr>
                <w:szCs w:val="22"/>
              </w:rPr>
              <w:t>12.7%</w:t>
            </w:r>
          </w:p>
        </w:tc>
        <w:tc>
          <w:tcPr>
            <w:tcW w:w="2127" w:type="dxa"/>
            <w:shd w:val="clear" w:color="auto" w:fill="auto"/>
            <w:vAlign w:val="center"/>
          </w:tcPr>
          <w:p w:rsidR="00230743" w:rsidRPr="00802177" w:rsidRDefault="0062660D" w:rsidP="001E3005">
            <w:pPr>
              <w:jc w:val="left"/>
              <w:rPr>
                <w:szCs w:val="22"/>
              </w:rPr>
            </w:pPr>
            <w:r w:rsidRPr="00802177">
              <w:rPr>
                <w:szCs w:val="22"/>
              </w:rPr>
              <w:t>-0.4%</w:t>
            </w:r>
          </w:p>
        </w:tc>
        <w:tc>
          <w:tcPr>
            <w:tcW w:w="2409" w:type="dxa"/>
            <w:shd w:val="clear" w:color="auto" w:fill="auto"/>
            <w:vAlign w:val="center"/>
          </w:tcPr>
          <w:p w:rsidR="00230743" w:rsidRPr="00802177" w:rsidRDefault="0062660D" w:rsidP="001E3005">
            <w:pPr>
              <w:jc w:val="left"/>
              <w:rPr>
                <w:szCs w:val="22"/>
              </w:rPr>
            </w:pPr>
            <w:r w:rsidRPr="00802177">
              <w:rPr>
                <w:szCs w:val="22"/>
              </w:rPr>
              <w:t>12.7%</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South Ribble Community Leisure</w:t>
            </w:r>
          </w:p>
        </w:tc>
        <w:tc>
          <w:tcPr>
            <w:tcW w:w="1842" w:type="dxa"/>
            <w:shd w:val="clear" w:color="auto" w:fill="auto"/>
            <w:vAlign w:val="bottom"/>
          </w:tcPr>
          <w:p w:rsidR="00230743" w:rsidRPr="00802177" w:rsidRDefault="0062660D" w:rsidP="001E3005">
            <w:pPr>
              <w:jc w:val="left"/>
              <w:rPr>
                <w:szCs w:val="22"/>
              </w:rPr>
            </w:pPr>
            <w:r w:rsidRPr="00802177">
              <w:rPr>
                <w:szCs w:val="22"/>
              </w:rPr>
              <w:t>-1.2% plus £73,800</w:t>
            </w:r>
          </w:p>
        </w:tc>
        <w:tc>
          <w:tcPr>
            <w:tcW w:w="1843" w:type="dxa"/>
            <w:shd w:val="clear" w:color="auto" w:fill="auto"/>
            <w:vAlign w:val="bottom"/>
          </w:tcPr>
          <w:p w:rsidR="00230743" w:rsidRPr="00802177" w:rsidRDefault="0062660D" w:rsidP="001E3005">
            <w:pPr>
              <w:jc w:val="left"/>
              <w:rPr>
                <w:szCs w:val="22"/>
              </w:rPr>
            </w:pPr>
            <w:r w:rsidRPr="00802177">
              <w:rPr>
                <w:szCs w:val="22"/>
              </w:rPr>
              <w:t>11.9% plus £73,800</w:t>
            </w:r>
          </w:p>
        </w:tc>
        <w:tc>
          <w:tcPr>
            <w:tcW w:w="1843" w:type="dxa"/>
            <w:shd w:val="clear" w:color="auto" w:fill="auto"/>
            <w:vAlign w:val="bottom"/>
          </w:tcPr>
          <w:p w:rsidR="00230743" w:rsidRPr="00802177" w:rsidRDefault="0062660D" w:rsidP="001E3005">
            <w:pPr>
              <w:jc w:val="left"/>
              <w:rPr>
                <w:szCs w:val="22"/>
              </w:rPr>
            </w:pPr>
            <w:r w:rsidRPr="00802177">
              <w:rPr>
                <w:szCs w:val="22"/>
              </w:rPr>
              <w:t>-1.2% plus £78,300</w:t>
            </w:r>
          </w:p>
        </w:tc>
        <w:tc>
          <w:tcPr>
            <w:tcW w:w="1984" w:type="dxa"/>
            <w:shd w:val="clear" w:color="auto" w:fill="auto"/>
            <w:vAlign w:val="bottom"/>
          </w:tcPr>
          <w:p w:rsidR="00230743" w:rsidRPr="00802177" w:rsidRDefault="0062660D" w:rsidP="001E3005">
            <w:pPr>
              <w:jc w:val="left"/>
              <w:rPr>
                <w:szCs w:val="22"/>
              </w:rPr>
            </w:pPr>
            <w:r w:rsidRPr="00802177">
              <w:rPr>
                <w:szCs w:val="22"/>
              </w:rPr>
              <w:t>11.9% plus £78,300</w:t>
            </w:r>
          </w:p>
        </w:tc>
        <w:tc>
          <w:tcPr>
            <w:tcW w:w="2127" w:type="dxa"/>
            <w:shd w:val="clear" w:color="auto" w:fill="auto"/>
            <w:vAlign w:val="bottom"/>
          </w:tcPr>
          <w:p w:rsidR="00230743" w:rsidRPr="00802177" w:rsidRDefault="0062660D" w:rsidP="001E3005">
            <w:pPr>
              <w:jc w:val="left"/>
              <w:rPr>
                <w:szCs w:val="22"/>
              </w:rPr>
            </w:pPr>
            <w:r w:rsidRPr="00802177">
              <w:rPr>
                <w:szCs w:val="22"/>
              </w:rPr>
              <w:t>-1.2% plus £83,000</w:t>
            </w:r>
          </w:p>
        </w:tc>
        <w:tc>
          <w:tcPr>
            <w:tcW w:w="2409" w:type="dxa"/>
            <w:shd w:val="clear" w:color="auto" w:fill="auto"/>
            <w:vAlign w:val="bottom"/>
          </w:tcPr>
          <w:p w:rsidR="00230743" w:rsidRPr="00802177" w:rsidRDefault="0062660D" w:rsidP="001E3005">
            <w:pPr>
              <w:jc w:val="left"/>
              <w:rPr>
                <w:szCs w:val="22"/>
              </w:rPr>
            </w:pPr>
            <w:r w:rsidRPr="00802177">
              <w:rPr>
                <w:szCs w:val="22"/>
              </w:rPr>
              <w:t xml:space="preserve">11.9% plus </w:t>
            </w:r>
            <w:r w:rsidRPr="00802177">
              <w:rPr>
                <w:szCs w:val="22"/>
              </w:rPr>
              <w:t>£83,000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South Shore Academy</w:t>
            </w:r>
          </w:p>
        </w:tc>
        <w:tc>
          <w:tcPr>
            <w:tcW w:w="1842" w:type="dxa"/>
            <w:shd w:val="clear" w:color="auto" w:fill="auto"/>
            <w:vAlign w:val="bottom"/>
          </w:tcPr>
          <w:p w:rsidR="00230743" w:rsidRPr="00802177" w:rsidRDefault="0062660D" w:rsidP="001E3005">
            <w:pPr>
              <w:jc w:val="left"/>
              <w:rPr>
                <w:szCs w:val="22"/>
              </w:rPr>
            </w:pPr>
            <w:r w:rsidRPr="00802177">
              <w:rPr>
                <w:szCs w:val="22"/>
              </w:rPr>
              <w:t>-0.8% plus £48,800</w:t>
            </w:r>
          </w:p>
        </w:tc>
        <w:tc>
          <w:tcPr>
            <w:tcW w:w="1843" w:type="dxa"/>
            <w:shd w:val="clear" w:color="auto" w:fill="auto"/>
            <w:vAlign w:val="bottom"/>
          </w:tcPr>
          <w:p w:rsidR="00230743" w:rsidRPr="00802177" w:rsidRDefault="0062660D" w:rsidP="001E3005">
            <w:pPr>
              <w:jc w:val="left"/>
              <w:rPr>
                <w:szCs w:val="22"/>
              </w:rPr>
            </w:pPr>
            <w:r w:rsidRPr="00802177">
              <w:rPr>
                <w:szCs w:val="22"/>
              </w:rPr>
              <w:t>12.3% plus £48,800</w:t>
            </w:r>
          </w:p>
        </w:tc>
        <w:tc>
          <w:tcPr>
            <w:tcW w:w="1843" w:type="dxa"/>
            <w:shd w:val="clear" w:color="auto" w:fill="auto"/>
            <w:vAlign w:val="bottom"/>
          </w:tcPr>
          <w:p w:rsidR="00230743" w:rsidRPr="00802177" w:rsidRDefault="0062660D" w:rsidP="001E3005">
            <w:pPr>
              <w:jc w:val="left"/>
              <w:rPr>
                <w:szCs w:val="22"/>
              </w:rPr>
            </w:pPr>
            <w:r w:rsidRPr="00802177">
              <w:rPr>
                <w:szCs w:val="22"/>
              </w:rPr>
              <w:t>-0.8% plus £50,800</w:t>
            </w:r>
          </w:p>
        </w:tc>
        <w:tc>
          <w:tcPr>
            <w:tcW w:w="1984" w:type="dxa"/>
            <w:shd w:val="clear" w:color="auto" w:fill="auto"/>
            <w:vAlign w:val="bottom"/>
          </w:tcPr>
          <w:p w:rsidR="00230743" w:rsidRPr="00802177" w:rsidRDefault="0062660D" w:rsidP="001E3005">
            <w:pPr>
              <w:jc w:val="left"/>
              <w:rPr>
                <w:szCs w:val="22"/>
              </w:rPr>
            </w:pPr>
            <w:r w:rsidRPr="00802177">
              <w:rPr>
                <w:szCs w:val="22"/>
              </w:rPr>
              <w:t>12.3% plus £50,800</w:t>
            </w:r>
          </w:p>
        </w:tc>
        <w:tc>
          <w:tcPr>
            <w:tcW w:w="2127" w:type="dxa"/>
            <w:shd w:val="clear" w:color="auto" w:fill="auto"/>
            <w:vAlign w:val="bottom"/>
          </w:tcPr>
          <w:p w:rsidR="00230743" w:rsidRPr="00802177" w:rsidRDefault="0062660D" w:rsidP="001E3005">
            <w:pPr>
              <w:jc w:val="left"/>
              <w:rPr>
                <w:szCs w:val="22"/>
              </w:rPr>
            </w:pPr>
            <w:r w:rsidRPr="00802177">
              <w:rPr>
                <w:szCs w:val="22"/>
              </w:rPr>
              <w:t>-0.8% plus £52,900</w:t>
            </w:r>
          </w:p>
        </w:tc>
        <w:tc>
          <w:tcPr>
            <w:tcW w:w="2409" w:type="dxa"/>
            <w:shd w:val="clear" w:color="auto" w:fill="auto"/>
            <w:vAlign w:val="bottom"/>
          </w:tcPr>
          <w:p w:rsidR="00230743" w:rsidRPr="00802177" w:rsidRDefault="0062660D" w:rsidP="001E3005">
            <w:pPr>
              <w:jc w:val="left"/>
              <w:rPr>
                <w:szCs w:val="22"/>
              </w:rPr>
            </w:pPr>
            <w:r w:rsidRPr="00802177">
              <w:rPr>
                <w:szCs w:val="22"/>
              </w:rPr>
              <w:t>12.3% plus £52,900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St Annes on Sea Town Council</w:t>
            </w:r>
          </w:p>
        </w:tc>
        <w:tc>
          <w:tcPr>
            <w:tcW w:w="1842" w:type="dxa"/>
            <w:shd w:val="clear" w:color="auto" w:fill="auto"/>
            <w:vAlign w:val="center"/>
          </w:tcPr>
          <w:p w:rsidR="00230743" w:rsidRPr="00802177" w:rsidRDefault="0062660D" w:rsidP="001E3005">
            <w:pPr>
              <w:jc w:val="left"/>
              <w:rPr>
                <w:szCs w:val="22"/>
              </w:rPr>
            </w:pPr>
            <w:r w:rsidRPr="00802177">
              <w:rPr>
                <w:szCs w:val="22"/>
              </w:rPr>
              <w:t>0.0%</w:t>
            </w:r>
          </w:p>
        </w:tc>
        <w:tc>
          <w:tcPr>
            <w:tcW w:w="1843" w:type="dxa"/>
            <w:shd w:val="clear" w:color="auto" w:fill="auto"/>
            <w:vAlign w:val="center"/>
          </w:tcPr>
          <w:p w:rsidR="00230743" w:rsidRPr="00802177" w:rsidRDefault="0062660D" w:rsidP="001E3005">
            <w:pPr>
              <w:jc w:val="left"/>
              <w:rPr>
                <w:szCs w:val="22"/>
              </w:rPr>
            </w:pPr>
            <w:r w:rsidRPr="00802177">
              <w:rPr>
                <w:szCs w:val="22"/>
              </w:rPr>
              <w:t>13.1%</w:t>
            </w:r>
          </w:p>
        </w:tc>
        <w:tc>
          <w:tcPr>
            <w:tcW w:w="1843" w:type="dxa"/>
            <w:shd w:val="clear" w:color="auto" w:fill="auto"/>
            <w:vAlign w:val="center"/>
          </w:tcPr>
          <w:p w:rsidR="00230743" w:rsidRPr="00802177" w:rsidRDefault="0062660D" w:rsidP="001E3005">
            <w:pPr>
              <w:jc w:val="left"/>
              <w:rPr>
                <w:szCs w:val="22"/>
              </w:rPr>
            </w:pPr>
            <w:r w:rsidRPr="00802177">
              <w:rPr>
                <w:szCs w:val="22"/>
              </w:rPr>
              <w:t>0.0%</w:t>
            </w:r>
          </w:p>
        </w:tc>
        <w:tc>
          <w:tcPr>
            <w:tcW w:w="1984" w:type="dxa"/>
            <w:shd w:val="clear" w:color="auto" w:fill="auto"/>
            <w:vAlign w:val="center"/>
          </w:tcPr>
          <w:p w:rsidR="00230743" w:rsidRPr="00802177" w:rsidRDefault="0062660D" w:rsidP="001E3005">
            <w:pPr>
              <w:jc w:val="left"/>
              <w:rPr>
                <w:szCs w:val="22"/>
              </w:rPr>
            </w:pPr>
            <w:r w:rsidRPr="00802177">
              <w:rPr>
                <w:szCs w:val="22"/>
              </w:rPr>
              <w:t>13.1%</w:t>
            </w:r>
          </w:p>
        </w:tc>
        <w:tc>
          <w:tcPr>
            <w:tcW w:w="2127" w:type="dxa"/>
            <w:shd w:val="clear" w:color="auto" w:fill="auto"/>
            <w:vAlign w:val="center"/>
          </w:tcPr>
          <w:p w:rsidR="00230743" w:rsidRPr="00802177" w:rsidRDefault="0062660D" w:rsidP="001E3005">
            <w:pPr>
              <w:jc w:val="left"/>
              <w:rPr>
                <w:szCs w:val="22"/>
              </w:rPr>
            </w:pPr>
            <w:r w:rsidRPr="00802177">
              <w:rPr>
                <w:szCs w:val="22"/>
              </w:rPr>
              <w:t>0.0%</w:t>
            </w:r>
          </w:p>
        </w:tc>
        <w:tc>
          <w:tcPr>
            <w:tcW w:w="2409" w:type="dxa"/>
            <w:shd w:val="clear" w:color="auto" w:fill="auto"/>
            <w:vAlign w:val="center"/>
          </w:tcPr>
          <w:p w:rsidR="00230743" w:rsidRPr="00802177" w:rsidRDefault="0062660D" w:rsidP="001E3005">
            <w:pPr>
              <w:jc w:val="left"/>
              <w:rPr>
                <w:szCs w:val="22"/>
              </w:rPr>
            </w:pPr>
            <w:r w:rsidRPr="00802177">
              <w:rPr>
                <w:szCs w:val="22"/>
              </w:rPr>
              <w:t>13.1%</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St Christopher's C.E. (Academy)</w:t>
            </w:r>
          </w:p>
        </w:tc>
        <w:tc>
          <w:tcPr>
            <w:tcW w:w="1842" w:type="dxa"/>
            <w:shd w:val="clear" w:color="auto" w:fill="auto"/>
            <w:vAlign w:val="center"/>
          </w:tcPr>
          <w:p w:rsidR="00230743" w:rsidRPr="00802177" w:rsidRDefault="0062660D" w:rsidP="001E3005">
            <w:pPr>
              <w:jc w:val="left"/>
              <w:rPr>
                <w:szCs w:val="22"/>
              </w:rPr>
            </w:pPr>
            <w:r w:rsidRPr="00802177">
              <w:rPr>
                <w:szCs w:val="22"/>
              </w:rPr>
              <w:t>0.6% plus £60,700</w:t>
            </w:r>
          </w:p>
        </w:tc>
        <w:tc>
          <w:tcPr>
            <w:tcW w:w="1843" w:type="dxa"/>
            <w:shd w:val="clear" w:color="auto" w:fill="auto"/>
            <w:vAlign w:val="center"/>
          </w:tcPr>
          <w:p w:rsidR="00230743" w:rsidRPr="00802177" w:rsidRDefault="0062660D" w:rsidP="001E3005">
            <w:pPr>
              <w:jc w:val="left"/>
              <w:rPr>
                <w:szCs w:val="22"/>
              </w:rPr>
            </w:pPr>
            <w:r w:rsidRPr="00802177">
              <w:rPr>
                <w:szCs w:val="22"/>
              </w:rPr>
              <w:t>13.7% plus £60,700</w:t>
            </w:r>
          </w:p>
        </w:tc>
        <w:tc>
          <w:tcPr>
            <w:tcW w:w="1843" w:type="dxa"/>
            <w:shd w:val="clear" w:color="auto" w:fill="auto"/>
            <w:vAlign w:val="center"/>
          </w:tcPr>
          <w:p w:rsidR="00230743" w:rsidRPr="00802177" w:rsidRDefault="0062660D" w:rsidP="001E3005">
            <w:pPr>
              <w:jc w:val="left"/>
              <w:rPr>
                <w:szCs w:val="22"/>
              </w:rPr>
            </w:pPr>
            <w:r w:rsidRPr="00802177">
              <w:rPr>
                <w:szCs w:val="22"/>
              </w:rPr>
              <w:t>0.6% plus £67,600</w:t>
            </w:r>
          </w:p>
        </w:tc>
        <w:tc>
          <w:tcPr>
            <w:tcW w:w="1984" w:type="dxa"/>
            <w:shd w:val="clear" w:color="auto" w:fill="auto"/>
            <w:vAlign w:val="center"/>
          </w:tcPr>
          <w:p w:rsidR="00230743" w:rsidRPr="00802177" w:rsidRDefault="0062660D" w:rsidP="001E3005">
            <w:pPr>
              <w:jc w:val="left"/>
              <w:rPr>
                <w:szCs w:val="22"/>
              </w:rPr>
            </w:pPr>
            <w:r w:rsidRPr="00802177">
              <w:rPr>
                <w:szCs w:val="22"/>
              </w:rPr>
              <w:t>13.7% plus £67,600</w:t>
            </w:r>
          </w:p>
        </w:tc>
        <w:tc>
          <w:tcPr>
            <w:tcW w:w="2127" w:type="dxa"/>
            <w:shd w:val="clear" w:color="auto" w:fill="auto"/>
            <w:vAlign w:val="center"/>
          </w:tcPr>
          <w:p w:rsidR="00230743" w:rsidRPr="00802177" w:rsidRDefault="0062660D" w:rsidP="001E3005">
            <w:pPr>
              <w:jc w:val="left"/>
              <w:rPr>
                <w:szCs w:val="22"/>
              </w:rPr>
            </w:pPr>
            <w:r w:rsidRPr="00802177">
              <w:rPr>
                <w:szCs w:val="22"/>
              </w:rPr>
              <w:t>0.6% plus £74,600</w:t>
            </w:r>
          </w:p>
        </w:tc>
        <w:tc>
          <w:tcPr>
            <w:tcW w:w="2409" w:type="dxa"/>
            <w:shd w:val="clear" w:color="auto" w:fill="auto"/>
            <w:vAlign w:val="center"/>
          </w:tcPr>
          <w:p w:rsidR="00230743" w:rsidRPr="00802177" w:rsidRDefault="0062660D" w:rsidP="001E3005">
            <w:pPr>
              <w:jc w:val="left"/>
              <w:rPr>
                <w:szCs w:val="22"/>
              </w:rPr>
            </w:pPr>
            <w:r w:rsidRPr="00802177">
              <w:rPr>
                <w:szCs w:val="22"/>
              </w:rPr>
              <w:t>13.7% plus £74,600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St Michael's C.E. High (Academy)</w:t>
            </w:r>
          </w:p>
        </w:tc>
        <w:tc>
          <w:tcPr>
            <w:tcW w:w="1842" w:type="dxa"/>
            <w:shd w:val="clear" w:color="auto" w:fill="auto"/>
            <w:vAlign w:val="center"/>
          </w:tcPr>
          <w:p w:rsidR="00230743" w:rsidRPr="00802177" w:rsidRDefault="0062660D" w:rsidP="001E3005">
            <w:pPr>
              <w:jc w:val="left"/>
              <w:rPr>
                <w:szCs w:val="22"/>
              </w:rPr>
            </w:pPr>
            <w:r w:rsidRPr="00802177">
              <w:rPr>
                <w:szCs w:val="22"/>
              </w:rPr>
              <w:t>5.7% plus £10,400</w:t>
            </w:r>
          </w:p>
        </w:tc>
        <w:tc>
          <w:tcPr>
            <w:tcW w:w="1843" w:type="dxa"/>
            <w:shd w:val="clear" w:color="auto" w:fill="auto"/>
            <w:vAlign w:val="center"/>
          </w:tcPr>
          <w:p w:rsidR="00230743" w:rsidRPr="00802177" w:rsidRDefault="0062660D" w:rsidP="001E3005">
            <w:pPr>
              <w:jc w:val="left"/>
              <w:rPr>
                <w:szCs w:val="22"/>
              </w:rPr>
            </w:pPr>
            <w:r w:rsidRPr="00802177">
              <w:rPr>
                <w:szCs w:val="22"/>
              </w:rPr>
              <w:t>18.8% plus £10,400</w:t>
            </w:r>
          </w:p>
        </w:tc>
        <w:tc>
          <w:tcPr>
            <w:tcW w:w="1843" w:type="dxa"/>
            <w:shd w:val="clear" w:color="auto" w:fill="auto"/>
            <w:vAlign w:val="center"/>
          </w:tcPr>
          <w:p w:rsidR="00230743" w:rsidRPr="00802177" w:rsidRDefault="0062660D" w:rsidP="001E3005">
            <w:pPr>
              <w:jc w:val="left"/>
              <w:rPr>
                <w:szCs w:val="22"/>
              </w:rPr>
            </w:pPr>
            <w:r w:rsidRPr="00802177">
              <w:rPr>
                <w:szCs w:val="22"/>
              </w:rPr>
              <w:t>5.7% plus £20,700</w:t>
            </w:r>
          </w:p>
        </w:tc>
        <w:tc>
          <w:tcPr>
            <w:tcW w:w="1984" w:type="dxa"/>
            <w:shd w:val="clear" w:color="auto" w:fill="auto"/>
            <w:vAlign w:val="center"/>
          </w:tcPr>
          <w:p w:rsidR="00230743" w:rsidRPr="00802177" w:rsidRDefault="0062660D" w:rsidP="001E3005">
            <w:pPr>
              <w:jc w:val="left"/>
              <w:rPr>
                <w:szCs w:val="22"/>
              </w:rPr>
            </w:pPr>
            <w:r w:rsidRPr="00802177">
              <w:rPr>
                <w:szCs w:val="22"/>
              </w:rPr>
              <w:t>18.8% plus £20,700</w:t>
            </w:r>
          </w:p>
        </w:tc>
        <w:tc>
          <w:tcPr>
            <w:tcW w:w="2127" w:type="dxa"/>
            <w:shd w:val="clear" w:color="auto" w:fill="auto"/>
            <w:vAlign w:val="center"/>
          </w:tcPr>
          <w:p w:rsidR="00230743" w:rsidRPr="00802177" w:rsidRDefault="0062660D" w:rsidP="001E3005">
            <w:pPr>
              <w:jc w:val="left"/>
              <w:rPr>
                <w:szCs w:val="22"/>
              </w:rPr>
            </w:pPr>
            <w:r w:rsidRPr="00802177">
              <w:rPr>
                <w:szCs w:val="22"/>
              </w:rPr>
              <w:t>5.7% plus £31,100</w:t>
            </w:r>
          </w:p>
        </w:tc>
        <w:tc>
          <w:tcPr>
            <w:tcW w:w="2409" w:type="dxa"/>
            <w:shd w:val="clear" w:color="auto" w:fill="auto"/>
            <w:vAlign w:val="center"/>
          </w:tcPr>
          <w:p w:rsidR="00230743" w:rsidRPr="00802177" w:rsidRDefault="0062660D" w:rsidP="001E3005">
            <w:pPr>
              <w:jc w:val="left"/>
              <w:rPr>
                <w:szCs w:val="22"/>
              </w:rPr>
            </w:pPr>
            <w:r w:rsidRPr="00802177">
              <w:rPr>
                <w:szCs w:val="22"/>
              </w:rPr>
              <w:t>18.8% plus £31,100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 xml:space="preserve">St Wilfrid's </w:t>
            </w:r>
            <w:r w:rsidRPr="00FF2F9D">
              <w:rPr>
                <w:szCs w:val="22"/>
              </w:rPr>
              <w:t>C.E. Academy</w:t>
            </w:r>
          </w:p>
        </w:tc>
        <w:tc>
          <w:tcPr>
            <w:tcW w:w="1842" w:type="dxa"/>
            <w:shd w:val="clear" w:color="auto" w:fill="auto"/>
            <w:vAlign w:val="center"/>
          </w:tcPr>
          <w:p w:rsidR="00230743" w:rsidRPr="00802177" w:rsidRDefault="0062660D" w:rsidP="001E3005">
            <w:pPr>
              <w:jc w:val="left"/>
              <w:rPr>
                <w:szCs w:val="22"/>
              </w:rPr>
            </w:pPr>
            <w:r w:rsidRPr="00802177">
              <w:rPr>
                <w:szCs w:val="22"/>
              </w:rPr>
              <w:t>0.7% plus £82,200</w:t>
            </w:r>
          </w:p>
        </w:tc>
        <w:tc>
          <w:tcPr>
            <w:tcW w:w="1843" w:type="dxa"/>
            <w:shd w:val="clear" w:color="auto" w:fill="auto"/>
            <w:vAlign w:val="center"/>
          </w:tcPr>
          <w:p w:rsidR="00230743" w:rsidRPr="00802177" w:rsidRDefault="0062660D" w:rsidP="001E3005">
            <w:pPr>
              <w:jc w:val="left"/>
              <w:rPr>
                <w:szCs w:val="22"/>
              </w:rPr>
            </w:pPr>
            <w:r w:rsidRPr="00802177">
              <w:rPr>
                <w:szCs w:val="22"/>
              </w:rPr>
              <w:t>13.8% plus £82,200</w:t>
            </w:r>
          </w:p>
        </w:tc>
        <w:tc>
          <w:tcPr>
            <w:tcW w:w="1843" w:type="dxa"/>
            <w:shd w:val="clear" w:color="auto" w:fill="auto"/>
            <w:vAlign w:val="center"/>
          </w:tcPr>
          <w:p w:rsidR="00230743" w:rsidRPr="00802177" w:rsidRDefault="0062660D" w:rsidP="001E3005">
            <w:pPr>
              <w:jc w:val="left"/>
              <w:rPr>
                <w:szCs w:val="22"/>
              </w:rPr>
            </w:pPr>
            <w:r w:rsidRPr="00802177">
              <w:rPr>
                <w:szCs w:val="22"/>
              </w:rPr>
              <w:t>0.7% plus £85,600</w:t>
            </w:r>
          </w:p>
        </w:tc>
        <w:tc>
          <w:tcPr>
            <w:tcW w:w="1984" w:type="dxa"/>
            <w:shd w:val="clear" w:color="auto" w:fill="auto"/>
            <w:vAlign w:val="center"/>
          </w:tcPr>
          <w:p w:rsidR="00230743" w:rsidRPr="00802177" w:rsidRDefault="0062660D" w:rsidP="001E3005">
            <w:pPr>
              <w:jc w:val="left"/>
              <w:rPr>
                <w:szCs w:val="22"/>
              </w:rPr>
            </w:pPr>
            <w:r w:rsidRPr="00802177">
              <w:rPr>
                <w:szCs w:val="22"/>
              </w:rPr>
              <w:t>13.8% plus £85,600</w:t>
            </w:r>
          </w:p>
        </w:tc>
        <w:tc>
          <w:tcPr>
            <w:tcW w:w="2127" w:type="dxa"/>
            <w:shd w:val="clear" w:color="auto" w:fill="auto"/>
            <w:vAlign w:val="center"/>
          </w:tcPr>
          <w:p w:rsidR="00230743" w:rsidRPr="00802177" w:rsidRDefault="0062660D" w:rsidP="001E3005">
            <w:pPr>
              <w:jc w:val="left"/>
              <w:rPr>
                <w:szCs w:val="22"/>
              </w:rPr>
            </w:pPr>
            <w:r w:rsidRPr="00802177">
              <w:rPr>
                <w:szCs w:val="22"/>
              </w:rPr>
              <w:t>0.7% plus £89,100</w:t>
            </w:r>
          </w:p>
        </w:tc>
        <w:tc>
          <w:tcPr>
            <w:tcW w:w="2409" w:type="dxa"/>
            <w:shd w:val="clear" w:color="auto" w:fill="auto"/>
            <w:vAlign w:val="center"/>
          </w:tcPr>
          <w:p w:rsidR="00230743" w:rsidRPr="00802177" w:rsidRDefault="0062660D" w:rsidP="001E3005">
            <w:pPr>
              <w:jc w:val="left"/>
              <w:rPr>
                <w:szCs w:val="22"/>
              </w:rPr>
            </w:pPr>
            <w:r w:rsidRPr="00802177">
              <w:rPr>
                <w:szCs w:val="22"/>
              </w:rPr>
              <w:t>13.8% plus £89,100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proofErr w:type="spellStart"/>
            <w:r w:rsidRPr="00FF2F9D">
              <w:rPr>
                <w:szCs w:val="22"/>
              </w:rPr>
              <w:t>Superclean</w:t>
            </w:r>
            <w:proofErr w:type="spellEnd"/>
          </w:p>
        </w:tc>
        <w:tc>
          <w:tcPr>
            <w:tcW w:w="1842" w:type="dxa"/>
            <w:shd w:val="clear" w:color="auto" w:fill="auto"/>
            <w:vAlign w:val="bottom"/>
          </w:tcPr>
          <w:p w:rsidR="00230743" w:rsidRPr="00802177" w:rsidRDefault="0062660D" w:rsidP="001E3005">
            <w:pPr>
              <w:jc w:val="left"/>
              <w:rPr>
                <w:szCs w:val="22"/>
              </w:rPr>
            </w:pPr>
            <w:r w:rsidRPr="00802177">
              <w:rPr>
                <w:szCs w:val="22"/>
              </w:rPr>
              <w:t>4.1%</w:t>
            </w:r>
          </w:p>
        </w:tc>
        <w:tc>
          <w:tcPr>
            <w:tcW w:w="1843" w:type="dxa"/>
            <w:shd w:val="clear" w:color="auto" w:fill="auto"/>
            <w:vAlign w:val="bottom"/>
          </w:tcPr>
          <w:p w:rsidR="00230743" w:rsidRPr="00802177" w:rsidRDefault="0062660D" w:rsidP="001E3005">
            <w:pPr>
              <w:jc w:val="left"/>
              <w:rPr>
                <w:szCs w:val="22"/>
              </w:rPr>
            </w:pPr>
            <w:r w:rsidRPr="00802177">
              <w:rPr>
                <w:szCs w:val="22"/>
              </w:rPr>
              <w:t>17.2%</w:t>
            </w:r>
          </w:p>
        </w:tc>
        <w:tc>
          <w:tcPr>
            <w:tcW w:w="1843" w:type="dxa"/>
            <w:shd w:val="clear" w:color="auto" w:fill="auto"/>
            <w:vAlign w:val="bottom"/>
          </w:tcPr>
          <w:p w:rsidR="00230743" w:rsidRPr="00802177" w:rsidRDefault="0062660D" w:rsidP="001E3005">
            <w:pPr>
              <w:jc w:val="left"/>
              <w:rPr>
                <w:szCs w:val="22"/>
              </w:rPr>
            </w:pPr>
            <w:r w:rsidRPr="00802177">
              <w:rPr>
                <w:szCs w:val="22"/>
              </w:rPr>
              <w:t>4.1%</w:t>
            </w:r>
          </w:p>
        </w:tc>
        <w:tc>
          <w:tcPr>
            <w:tcW w:w="1984" w:type="dxa"/>
            <w:shd w:val="clear" w:color="auto" w:fill="auto"/>
            <w:vAlign w:val="bottom"/>
          </w:tcPr>
          <w:p w:rsidR="00230743" w:rsidRPr="00802177" w:rsidRDefault="0062660D" w:rsidP="001E3005">
            <w:pPr>
              <w:jc w:val="left"/>
              <w:rPr>
                <w:szCs w:val="22"/>
              </w:rPr>
            </w:pPr>
            <w:r w:rsidRPr="00802177">
              <w:rPr>
                <w:szCs w:val="22"/>
              </w:rPr>
              <w:t>17.2%</w:t>
            </w:r>
          </w:p>
        </w:tc>
        <w:tc>
          <w:tcPr>
            <w:tcW w:w="2127" w:type="dxa"/>
            <w:shd w:val="clear" w:color="auto" w:fill="auto"/>
            <w:vAlign w:val="bottom"/>
          </w:tcPr>
          <w:p w:rsidR="00230743" w:rsidRPr="00802177" w:rsidRDefault="0062660D" w:rsidP="001E3005">
            <w:pPr>
              <w:jc w:val="left"/>
              <w:rPr>
                <w:szCs w:val="22"/>
              </w:rPr>
            </w:pPr>
            <w:r w:rsidRPr="00802177">
              <w:rPr>
                <w:szCs w:val="22"/>
              </w:rPr>
              <w:t>4.1%</w:t>
            </w:r>
          </w:p>
        </w:tc>
        <w:tc>
          <w:tcPr>
            <w:tcW w:w="2409" w:type="dxa"/>
            <w:shd w:val="clear" w:color="auto" w:fill="auto"/>
            <w:vAlign w:val="bottom"/>
          </w:tcPr>
          <w:p w:rsidR="00230743" w:rsidRPr="00802177" w:rsidRDefault="0062660D" w:rsidP="001E3005">
            <w:pPr>
              <w:jc w:val="left"/>
              <w:rPr>
                <w:szCs w:val="22"/>
              </w:rPr>
            </w:pPr>
            <w:r w:rsidRPr="00802177">
              <w:rPr>
                <w:szCs w:val="22"/>
              </w:rPr>
              <w:t>17.2%</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Sure Start Hyndburn</w:t>
            </w:r>
          </w:p>
        </w:tc>
        <w:tc>
          <w:tcPr>
            <w:tcW w:w="1842" w:type="dxa"/>
            <w:shd w:val="clear" w:color="auto" w:fill="auto"/>
            <w:vAlign w:val="center"/>
          </w:tcPr>
          <w:p w:rsidR="00230743" w:rsidRPr="00802177" w:rsidRDefault="0062660D" w:rsidP="001E3005">
            <w:pPr>
              <w:jc w:val="left"/>
              <w:rPr>
                <w:szCs w:val="22"/>
              </w:rPr>
            </w:pPr>
            <w:r w:rsidRPr="00802177">
              <w:rPr>
                <w:szCs w:val="22"/>
              </w:rPr>
              <w:t>-0.7% plus £6,200</w:t>
            </w:r>
          </w:p>
        </w:tc>
        <w:tc>
          <w:tcPr>
            <w:tcW w:w="1843" w:type="dxa"/>
            <w:shd w:val="clear" w:color="auto" w:fill="auto"/>
            <w:vAlign w:val="center"/>
          </w:tcPr>
          <w:p w:rsidR="00230743" w:rsidRPr="00802177" w:rsidRDefault="0062660D" w:rsidP="001E3005">
            <w:pPr>
              <w:jc w:val="left"/>
              <w:rPr>
                <w:szCs w:val="22"/>
              </w:rPr>
            </w:pPr>
            <w:r w:rsidRPr="00802177">
              <w:rPr>
                <w:szCs w:val="22"/>
              </w:rPr>
              <w:t>12.4% plus £6,200</w:t>
            </w:r>
          </w:p>
        </w:tc>
        <w:tc>
          <w:tcPr>
            <w:tcW w:w="1843" w:type="dxa"/>
            <w:shd w:val="clear" w:color="auto" w:fill="auto"/>
            <w:vAlign w:val="center"/>
          </w:tcPr>
          <w:p w:rsidR="00230743" w:rsidRPr="00802177" w:rsidRDefault="0062660D" w:rsidP="001E3005">
            <w:pPr>
              <w:jc w:val="left"/>
              <w:rPr>
                <w:szCs w:val="22"/>
              </w:rPr>
            </w:pPr>
            <w:r w:rsidRPr="00802177">
              <w:rPr>
                <w:szCs w:val="22"/>
              </w:rPr>
              <w:t>-0.7% plus £13,400</w:t>
            </w:r>
          </w:p>
        </w:tc>
        <w:tc>
          <w:tcPr>
            <w:tcW w:w="1984" w:type="dxa"/>
            <w:shd w:val="clear" w:color="auto" w:fill="auto"/>
            <w:vAlign w:val="center"/>
          </w:tcPr>
          <w:p w:rsidR="00230743" w:rsidRPr="00802177" w:rsidRDefault="0062660D" w:rsidP="001E3005">
            <w:pPr>
              <w:jc w:val="left"/>
              <w:rPr>
                <w:szCs w:val="22"/>
              </w:rPr>
            </w:pPr>
            <w:r w:rsidRPr="00802177">
              <w:rPr>
                <w:szCs w:val="22"/>
              </w:rPr>
              <w:t xml:space="preserve">12.4% plus </w:t>
            </w:r>
            <w:r w:rsidRPr="00802177">
              <w:rPr>
                <w:szCs w:val="22"/>
              </w:rPr>
              <w:t>£13,400</w:t>
            </w:r>
          </w:p>
        </w:tc>
        <w:tc>
          <w:tcPr>
            <w:tcW w:w="2127" w:type="dxa"/>
            <w:shd w:val="clear" w:color="auto" w:fill="auto"/>
            <w:vAlign w:val="center"/>
          </w:tcPr>
          <w:p w:rsidR="00230743" w:rsidRPr="00802177" w:rsidRDefault="0062660D" w:rsidP="001E3005">
            <w:pPr>
              <w:jc w:val="left"/>
              <w:rPr>
                <w:szCs w:val="22"/>
              </w:rPr>
            </w:pPr>
            <w:r w:rsidRPr="00802177">
              <w:rPr>
                <w:szCs w:val="22"/>
              </w:rPr>
              <w:t>-0.7% plus £20,700</w:t>
            </w:r>
          </w:p>
        </w:tc>
        <w:tc>
          <w:tcPr>
            <w:tcW w:w="2409" w:type="dxa"/>
            <w:shd w:val="clear" w:color="auto" w:fill="auto"/>
            <w:vAlign w:val="center"/>
          </w:tcPr>
          <w:p w:rsidR="00230743" w:rsidRPr="00802177" w:rsidRDefault="0062660D" w:rsidP="001E3005">
            <w:pPr>
              <w:jc w:val="left"/>
              <w:rPr>
                <w:szCs w:val="22"/>
              </w:rPr>
            </w:pPr>
            <w:r w:rsidRPr="00802177">
              <w:rPr>
                <w:szCs w:val="22"/>
              </w:rPr>
              <w:t>12.4% plus £20,700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Tarleton Academy</w:t>
            </w:r>
          </w:p>
        </w:tc>
        <w:tc>
          <w:tcPr>
            <w:tcW w:w="1842" w:type="dxa"/>
            <w:shd w:val="clear" w:color="auto" w:fill="auto"/>
            <w:vAlign w:val="center"/>
          </w:tcPr>
          <w:p w:rsidR="00230743" w:rsidRPr="00802177" w:rsidRDefault="0062660D" w:rsidP="001E3005">
            <w:pPr>
              <w:jc w:val="left"/>
              <w:rPr>
                <w:szCs w:val="22"/>
              </w:rPr>
            </w:pPr>
            <w:r w:rsidRPr="00802177">
              <w:rPr>
                <w:szCs w:val="22"/>
              </w:rPr>
              <w:t>1.2% plus £22,800</w:t>
            </w:r>
          </w:p>
        </w:tc>
        <w:tc>
          <w:tcPr>
            <w:tcW w:w="1843" w:type="dxa"/>
            <w:shd w:val="clear" w:color="auto" w:fill="auto"/>
            <w:vAlign w:val="center"/>
          </w:tcPr>
          <w:p w:rsidR="00230743" w:rsidRPr="00802177" w:rsidRDefault="0062660D" w:rsidP="001E3005">
            <w:pPr>
              <w:jc w:val="left"/>
              <w:rPr>
                <w:szCs w:val="22"/>
              </w:rPr>
            </w:pPr>
            <w:r w:rsidRPr="00802177">
              <w:rPr>
                <w:szCs w:val="22"/>
              </w:rPr>
              <w:t>14.3% plus £22,800</w:t>
            </w:r>
          </w:p>
        </w:tc>
        <w:tc>
          <w:tcPr>
            <w:tcW w:w="1843" w:type="dxa"/>
            <w:shd w:val="clear" w:color="auto" w:fill="auto"/>
            <w:vAlign w:val="center"/>
          </w:tcPr>
          <w:p w:rsidR="00230743" w:rsidRPr="00802177" w:rsidRDefault="0062660D" w:rsidP="001E3005">
            <w:pPr>
              <w:jc w:val="left"/>
              <w:rPr>
                <w:szCs w:val="22"/>
              </w:rPr>
            </w:pPr>
            <w:r w:rsidRPr="00802177">
              <w:rPr>
                <w:szCs w:val="22"/>
              </w:rPr>
              <w:t>1.2% plus £26,700</w:t>
            </w:r>
          </w:p>
        </w:tc>
        <w:tc>
          <w:tcPr>
            <w:tcW w:w="1984" w:type="dxa"/>
            <w:shd w:val="clear" w:color="auto" w:fill="auto"/>
            <w:vAlign w:val="center"/>
          </w:tcPr>
          <w:p w:rsidR="00230743" w:rsidRPr="00802177" w:rsidRDefault="0062660D" w:rsidP="001E3005">
            <w:pPr>
              <w:jc w:val="left"/>
              <w:rPr>
                <w:szCs w:val="22"/>
              </w:rPr>
            </w:pPr>
            <w:r w:rsidRPr="00802177">
              <w:rPr>
                <w:szCs w:val="22"/>
              </w:rPr>
              <w:t>14.3% plus £26,700</w:t>
            </w:r>
          </w:p>
        </w:tc>
        <w:tc>
          <w:tcPr>
            <w:tcW w:w="2127" w:type="dxa"/>
            <w:shd w:val="clear" w:color="auto" w:fill="auto"/>
            <w:vAlign w:val="center"/>
          </w:tcPr>
          <w:p w:rsidR="00230743" w:rsidRPr="00802177" w:rsidRDefault="0062660D" w:rsidP="001E3005">
            <w:pPr>
              <w:jc w:val="left"/>
              <w:rPr>
                <w:szCs w:val="22"/>
              </w:rPr>
            </w:pPr>
            <w:r w:rsidRPr="00802177">
              <w:rPr>
                <w:szCs w:val="22"/>
              </w:rPr>
              <w:t>1.2% plus £30,700</w:t>
            </w:r>
          </w:p>
        </w:tc>
        <w:tc>
          <w:tcPr>
            <w:tcW w:w="2409" w:type="dxa"/>
            <w:shd w:val="clear" w:color="auto" w:fill="auto"/>
            <w:vAlign w:val="center"/>
          </w:tcPr>
          <w:p w:rsidR="00230743" w:rsidRPr="00802177" w:rsidRDefault="0062660D" w:rsidP="001E3005">
            <w:pPr>
              <w:jc w:val="left"/>
              <w:rPr>
                <w:szCs w:val="22"/>
              </w:rPr>
            </w:pPr>
            <w:r w:rsidRPr="00802177">
              <w:rPr>
                <w:szCs w:val="22"/>
              </w:rPr>
              <w:t>14.3% plus £30,700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proofErr w:type="spellStart"/>
            <w:r w:rsidRPr="00FF2F9D">
              <w:rPr>
                <w:szCs w:val="22"/>
              </w:rPr>
              <w:t>Tauheedul</w:t>
            </w:r>
            <w:proofErr w:type="spellEnd"/>
            <w:r w:rsidRPr="00FF2F9D">
              <w:rPr>
                <w:szCs w:val="22"/>
              </w:rPr>
              <w:t xml:space="preserve"> Free Schools Trust</w:t>
            </w:r>
          </w:p>
        </w:tc>
        <w:tc>
          <w:tcPr>
            <w:tcW w:w="1842" w:type="dxa"/>
            <w:shd w:val="clear" w:color="auto" w:fill="auto"/>
            <w:vAlign w:val="center"/>
          </w:tcPr>
          <w:p w:rsidR="00230743" w:rsidRPr="00802177" w:rsidRDefault="0062660D" w:rsidP="001E3005">
            <w:pPr>
              <w:jc w:val="left"/>
              <w:rPr>
                <w:szCs w:val="22"/>
              </w:rPr>
            </w:pPr>
            <w:r w:rsidRPr="00802177">
              <w:rPr>
                <w:szCs w:val="22"/>
              </w:rPr>
              <w:t>-5.1%</w:t>
            </w:r>
          </w:p>
        </w:tc>
        <w:tc>
          <w:tcPr>
            <w:tcW w:w="1843" w:type="dxa"/>
            <w:shd w:val="clear" w:color="auto" w:fill="auto"/>
            <w:vAlign w:val="center"/>
          </w:tcPr>
          <w:p w:rsidR="00230743" w:rsidRPr="00802177" w:rsidRDefault="0062660D" w:rsidP="001E3005">
            <w:pPr>
              <w:jc w:val="left"/>
              <w:rPr>
                <w:szCs w:val="22"/>
              </w:rPr>
            </w:pPr>
            <w:r w:rsidRPr="00802177">
              <w:rPr>
                <w:szCs w:val="22"/>
              </w:rPr>
              <w:t>8.0%</w:t>
            </w:r>
          </w:p>
        </w:tc>
        <w:tc>
          <w:tcPr>
            <w:tcW w:w="1843" w:type="dxa"/>
            <w:shd w:val="clear" w:color="auto" w:fill="auto"/>
            <w:vAlign w:val="center"/>
          </w:tcPr>
          <w:p w:rsidR="00230743" w:rsidRPr="00802177" w:rsidRDefault="0062660D" w:rsidP="001E3005">
            <w:pPr>
              <w:jc w:val="left"/>
              <w:rPr>
                <w:szCs w:val="22"/>
              </w:rPr>
            </w:pPr>
            <w:r w:rsidRPr="00802177">
              <w:rPr>
                <w:szCs w:val="22"/>
              </w:rPr>
              <w:t>-5.1%</w:t>
            </w:r>
          </w:p>
        </w:tc>
        <w:tc>
          <w:tcPr>
            <w:tcW w:w="1984" w:type="dxa"/>
            <w:shd w:val="clear" w:color="auto" w:fill="auto"/>
            <w:vAlign w:val="center"/>
          </w:tcPr>
          <w:p w:rsidR="00230743" w:rsidRPr="00802177" w:rsidRDefault="0062660D" w:rsidP="001E3005">
            <w:pPr>
              <w:jc w:val="left"/>
              <w:rPr>
                <w:szCs w:val="22"/>
              </w:rPr>
            </w:pPr>
            <w:r w:rsidRPr="00802177">
              <w:rPr>
                <w:szCs w:val="22"/>
              </w:rPr>
              <w:t>8.0%</w:t>
            </w:r>
          </w:p>
        </w:tc>
        <w:tc>
          <w:tcPr>
            <w:tcW w:w="2127" w:type="dxa"/>
            <w:shd w:val="clear" w:color="auto" w:fill="auto"/>
            <w:vAlign w:val="center"/>
          </w:tcPr>
          <w:p w:rsidR="00230743" w:rsidRPr="00802177" w:rsidRDefault="0062660D" w:rsidP="001E3005">
            <w:pPr>
              <w:jc w:val="left"/>
              <w:rPr>
                <w:szCs w:val="22"/>
              </w:rPr>
            </w:pPr>
            <w:r w:rsidRPr="00802177">
              <w:rPr>
                <w:szCs w:val="22"/>
              </w:rPr>
              <w:t>-5.1%</w:t>
            </w:r>
          </w:p>
        </w:tc>
        <w:tc>
          <w:tcPr>
            <w:tcW w:w="2409" w:type="dxa"/>
            <w:shd w:val="clear" w:color="auto" w:fill="auto"/>
            <w:vAlign w:val="center"/>
          </w:tcPr>
          <w:p w:rsidR="00230743" w:rsidRPr="00802177" w:rsidRDefault="0062660D" w:rsidP="001E3005">
            <w:pPr>
              <w:jc w:val="left"/>
              <w:rPr>
                <w:szCs w:val="22"/>
              </w:rPr>
            </w:pPr>
            <w:r w:rsidRPr="00802177">
              <w:rPr>
                <w:szCs w:val="22"/>
              </w:rPr>
              <w:t>8.0%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proofErr w:type="spellStart"/>
            <w:r w:rsidRPr="00FF2F9D">
              <w:rPr>
                <w:szCs w:val="22"/>
              </w:rPr>
              <w:t>Tauheedul</w:t>
            </w:r>
            <w:proofErr w:type="spellEnd"/>
            <w:r w:rsidRPr="00FF2F9D">
              <w:rPr>
                <w:szCs w:val="22"/>
              </w:rPr>
              <w:t xml:space="preserve"> FST </w:t>
            </w:r>
            <w:r w:rsidRPr="00FF2F9D">
              <w:rPr>
                <w:szCs w:val="22"/>
              </w:rPr>
              <w:t>(Olive School Blackburn)</w:t>
            </w:r>
          </w:p>
        </w:tc>
        <w:tc>
          <w:tcPr>
            <w:tcW w:w="1842" w:type="dxa"/>
            <w:shd w:val="clear" w:color="auto" w:fill="auto"/>
            <w:vAlign w:val="center"/>
          </w:tcPr>
          <w:p w:rsidR="00230743" w:rsidRPr="00802177" w:rsidRDefault="0062660D" w:rsidP="001E3005">
            <w:pPr>
              <w:jc w:val="left"/>
              <w:rPr>
                <w:szCs w:val="22"/>
              </w:rPr>
            </w:pPr>
            <w:r w:rsidRPr="00802177">
              <w:rPr>
                <w:szCs w:val="22"/>
              </w:rPr>
              <w:t>-0.7%</w:t>
            </w:r>
          </w:p>
        </w:tc>
        <w:tc>
          <w:tcPr>
            <w:tcW w:w="1843" w:type="dxa"/>
            <w:shd w:val="clear" w:color="auto" w:fill="auto"/>
            <w:vAlign w:val="center"/>
          </w:tcPr>
          <w:p w:rsidR="00230743" w:rsidRPr="00802177" w:rsidRDefault="0062660D" w:rsidP="001E3005">
            <w:pPr>
              <w:jc w:val="left"/>
              <w:rPr>
                <w:szCs w:val="22"/>
              </w:rPr>
            </w:pPr>
            <w:r w:rsidRPr="00802177">
              <w:rPr>
                <w:szCs w:val="22"/>
              </w:rPr>
              <w:t>12.4%</w:t>
            </w:r>
          </w:p>
        </w:tc>
        <w:tc>
          <w:tcPr>
            <w:tcW w:w="1843" w:type="dxa"/>
            <w:shd w:val="clear" w:color="auto" w:fill="auto"/>
            <w:vAlign w:val="center"/>
          </w:tcPr>
          <w:p w:rsidR="00230743" w:rsidRPr="00802177" w:rsidRDefault="0062660D" w:rsidP="001E3005">
            <w:pPr>
              <w:jc w:val="left"/>
              <w:rPr>
                <w:szCs w:val="22"/>
              </w:rPr>
            </w:pPr>
            <w:r w:rsidRPr="00802177">
              <w:rPr>
                <w:szCs w:val="22"/>
              </w:rPr>
              <w:t>-0.7%</w:t>
            </w:r>
          </w:p>
        </w:tc>
        <w:tc>
          <w:tcPr>
            <w:tcW w:w="1984" w:type="dxa"/>
            <w:shd w:val="clear" w:color="auto" w:fill="auto"/>
            <w:vAlign w:val="center"/>
          </w:tcPr>
          <w:p w:rsidR="00230743" w:rsidRPr="00802177" w:rsidRDefault="0062660D" w:rsidP="001E3005">
            <w:pPr>
              <w:jc w:val="left"/>
              <w:rPr>
                <w:szCs w:val="22"/>
              </w:rPr>
            </w:pPr>
            <w:r w:rsidRPr="00802177">
              <w:rPr>
                <w:szCs w:val="22"/>
              </w:rPr>
              <w:t>12.4%</w:t>
            </w:r>
          </w:p>
        </w:tc>
        <w:tc>
          <w:tcPr>
            <w:tcW w:w="2127" w:type="dxa"/>
            <w:shd w:val="clear" w:color="auto" w:fill="auto"/>
            <w:vAlign w:val="center"/>
          </w:tcPr>
          <w:p w:rsidR="00230743" w:rsidRPr="00802177" w:rsidRDefault="0062660D" w:rsidP="001E3005">
            <w:pPr>
              <w:jc w:val="left"/>
              <w:rPr>
                <w:szCs w:val="22"/>
              </w:rPr>
            </w:pPr>
            <w:r w:rsidRPr="00802177">
              <w:rPr>
                <w:szCs w:val="22"/>
              </w:rPr>
              <w:t>-0.7%</w:t>
            </w:r>
          </w:p>
        </w:tc>
        <w:tc>
          <w:tcPr>
            <w:tcW w:w="2409" w:type="dxa"/>
            <w:shd w:val="clear" w:color="auto" w:fill="auto"/>
            <w:vAlign w:val="center"/>
          </w:tcPr>
          <w:p w:rsidR="00230743" w:rsidRPr="00802177" w:rsidRDefault="0062660D" w:rsidP="001E3005">
            <w:pPr>
              <w:jc w:val="left"/>
              <w:rPr>
                <w:szCs w:val="22"/>
              </w:rPr>
            </w:pPr>
            <w:r w:rsidRPr="00802177">
              <w:rPr>
                <w:szCs w:val="22"/>
              </w:rPr>
              <w:t>12.4%</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proofErr w:type="spellStart"/>
            <w:r w:rsidRPr="00FF2F9D">
              <w:rPr>
                <w:szCs w:val="22"/>
              </w:rPr>
              <w:t>Tauheedul</w:t>
            </w:r>
            <w:proofErr w:type="spellEnd"/>
            <w:r w:rsidRPr="00FF2F9D">
              <w:rPr>
                <w:szCs w:val="22"/>
              </w:rPr>
              <w:t xml:space="preserve"> FST (Olive School London)</w:t>
            </w:r>
          </w:p>
        </w:tc>
        <w:tc>
          <w:tcPr>
            <w:tcW w:w="1842" w:type="dxa"/>
            <w:shd w:val="clear" w:color="auto" w:fill="auto"/>
            <w:vAlign w:val="center"/>
          </w:tcPr>
          <w:p w:rsidR="00230743" w:rsidRPr="00802177" w:rsidRDefault="0062660D" w:rsidP="001E3005">
            <w:pPr>
              <w:jc w:val="left"/>
              <w:rPr>
                <w:szCs w:val="22"/>
              </w:rPr>
            </w:pPr>
            <w:r w:rsidRPr="00802177">
              <w:rPr>
                <w:szCs w:val="22"/>
              </w:rPr>
              <w:t>-0.7%</w:t>
            </w:r>
          </w:p>
        </w:tc>
        <w:tc>
          <w:tcPr>
            <w:tcW w:w="1843" w:type="dxa"/>
            <w:shd w:val="clear" w:color="auto" w:fill="auto"/>
            <w:vAlign w:val="center"/>
          </w:tcPr>
          <w:p w:rsidR="00230743" w:rsidRPr="00802177" w:rsidRDefault="0062660D" w:rsidP="001E3005">
            <w:pPr>
              <w:jc w:val="left"/>
              <w:rPr>
                <w:szCs w:val="22"/>
              </w:rPr>
            </w:pPr>
            <w:r w:rsidRPr="00802177">
              <w:rPr>
                <w:szCs w:val="22"/>
              </w:rPr>
              <w:t>12.4%</w:t>
            </w:r>
          </w:p>
        </w:tc>
        <w:tc>
          <w:tcPr>
            <w:tcW w:w="1843" w:type="dxa"/>
            <w:shd w:val="clear" w:color="auto" w:fill="auto"/>
            <w:vAlign w:val="center"/>
          </w:tcPr>
          <w:p w:rsidR="00230743" w:rsidRPr="00802177" w:rsidRDefault="0062660D" w:rsidP="001E3005">
            <w:pPr>
              <w:jc w:val="left"/>
              <w:rPr>
                <w:szCs w:val="22"/>
              </w:rPr>
            </w:pPr>
            <w:r w:rsidRPr="00802177">
              <w:rPr>
                <w:szCs w:val="22"/>
              </w:rPr>
              <w:t>-0.7%</w:t>
            </w:r>
          </w:p>
        </w:tc>
        <w:tc>
          <w:tcPr>
            <w:tcW w:w="1984" w:type="dxa"/>
            <w:shd w:val="clear" w:color="auto" w:fill="auto"/>
            <w:vAlign w:val="center"/>
          </w:tcPr>
          <w:p w:rsidR="00230743" w:rsidRPr="00802177" w:rsidRDefault="0062660D" w:rsidP="001E3005">
            <w:pPr>
              <w:jc w:val="left"/>
              <w:rPr>
                <w:szCs w:val="22"/>
              </w:rPr>
            </w:pPr>
            <w:r w:rsidRPr="00802177">
              <w:rPr>
                <w:szCs w:val="22"/>
              </w:rPr>
              <w:t>12.4%</w:t>
            </w:r>
          </w:p>
        </w:tc>
        <w:tc>
          <w:tcPr>
            <w:tcW w:w="2127" w:type="dxa"/>
            <w:shd w:val="clear" w:color="auto" w:fill="auto"/>
            <w:vAlign w:val="center"/>
          </w:tcPr>
          <w:p w:rsidR="00230743" w:rsidRPr="00802177" w:rsidRDefault="0062660D" w:rsidP="001E3005">
            <w:pPr>
              <w:jc w:val="left"/>
              <w:rPr>
                <w:szCs w:val="22"/>
              </w:rPr>
            </w:pPr>
            <w:r w:rsidRPr="00802177">
              <w:rPr>
                <w:szCs w:val="22"/>
              </w:rPr>
              <w:t>-0.7%</w:t>
            </w:r>
          </w:p>
        </w:tc>
        <w:tc>
          <w:tcPr>
            <w:tcW w:w="2409" w:type="dxa"/>
            <w:shd w:val="clear" w:color="auto" w:fill="auto"/>
            <w:vAlign w:val="center"/>
          </w:tcPr>
          <w:p w:rsidR="00230743" w:rsidRPr="00802177" w:rsidRDefault="0062660D" w:rsidP="001E3005">
            <w:pPr>
              <w:jc w:val="left"/>
              <w:rPr>
                <w:szCs w:val="22"/>
              </w:rPr>
            </w:pPr>
            <w:r w:rsidRPr="00802177">
              <w:rPr>
                <w:szCs w:val="22"/>
              </w:rPr>
              <w:t>12.4%</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proofErr w:type="spellStart"/>
            <w:r w:rsidRPr="00FF2F9D">
              <w:rPr>
                <w:szCs w:val="22"/>
              </w:rPr>
              <w:t>Tauheedul</w:t>
            </w:r>
            <w:proofErr w:type="spellEnd"/>
            <w:r w:rsidRPr="00FF2F9D">
              <w:rPr>
                <w:szCs w:val="22"/>
              </w:rPr>
              <w:t xml:space="preserve"> Islam Boys Free School</w:t>
            </w:r>
          </w:p>
        </w:tc>
        <w:tc>
          <w:tcPr>
            <w:tcW w:w="1842" w:type="dxa"/>
            <w:shd w:val="clear" w:color="auto" w:fill="auto"/>
            <w:vAlign w:val="center"/>
          </w:tcPr>
          <w:p w:rsidR="00230743" w:rsidRPr="00802177" w:rsidRDefault="0062660D" w:rsidP="001E3005">
            <w:pPr>
              <w:jc w:val="left"/>
              <w:rPr>
                <w:szCs w:val="22"/>
              </w:rPr>
            </w:pPr>
            <w:r w:rsidRPr="00802177">
              <w:rPr>
                <w:szCs w:val="22"/>
              </w:rPr>
              <w:t>-6.5%</w:t>
            </w:r>
          </w:p>
        </w:tc>
        <w:tc>
          <w:tcPr>
            <w:tcW w:w="1843" w:type="dxa"/>
            <w:shd w:val="clear" w:color="auto" w:fill="auto"/>
            <w:vAlign w:val="center"/>
          </w:tcPr>
          <w:p w:rsidR="00230743" w:rsidRPr="00802177" w:rsidRDefault="0062660D" w:rsidP="001E3005">
            <w:pPr>
              <w:jc w:val="left"/>
              <w:rPr>
                <w:szCs w:val="22"/>
              </w:rPr>
            </w:pPr>
            <w:r w:rsidRPr="00802177">
              <w:rPr>
                <w:szCs w:val="22"/>
              </w:rPr>
              <w:t>6.6%</w:t>
            </w:r>
          </w:p>
        </w:tc>
        <w:tc>
          <w:tcPr>
            <w:tcW w:w="1843" w:type="dxa"/>
            <w:shd w:val="clear" w:color="auto" w:fill="auto"/>
            <w:vAlign w:val="center"/>
          </w:tcPr>
          <w:p w:rsidR="00230743" w:rsidRPr="00802177" w:rsidRDefault="0062660D" w:rsidP="001E3005">
            <w:pPr>
              <w:jc w:val="left"/>
              <w:rPr>
                <w:szCs w:val="22"/>
              </w:rPr>
            </w:pPr>
            <w:r w:rsidRPr="00802177">
              <w:rPr>
                <w:szCs w:val="22"/>
              </w:rPr>
              <w:t>-6.5%</w:t>
            </w:r>
          </w:p>
        </w:tc>
        <w:tc>
          <w:tcPr>
            <w:tcW w:w="1984" w:type="dxa"/>
            <w:shd w:val="clear" w:color="auto" w:fill="auto"/>
            <w:vAlign w:val="center"/>
          </w:tcPr>
          <w:p w:rsidR="00230743" w:rsidRPr="00802177" w:rsidRDefault="0062660D" w:rsidP="001E3005">
            <w:pPr>
              <w:jc w:val="left"/>
              <w:rPr>
                <w:szCs w:val="22"/>
              </w:rPr>
            </w:pPr>
            <w:r w:rsidRPr="00802177">
              <w:rPr>
                <w:szCs w:val="22"/>
              </w:rPr>
              <w:t>6.6%</w:t>
            </w:r>
          </w:p>
        </w:tc>
        <w:tc>
          <w:tcPr>
            <w:tcW w:w="2127" w:type="dxa"/>
            <w:shd w:val="clear" w:color="auto" w:fill="auto"/>
            <w:vAlign w:val="center"/>
          </w:tcPr>
          <w:p w:rsidR="00230743" w:rsidRPr="00802177" w:rsidRDefault="0062660D" w:rsidP="001E3005">
            <w:pPr>
              <w:jc w:val="left"/>
              <w:rPr>
                <w:szCs w:val="22"/>
              </w:rPr>
            </w:pPr>
            <w:r w:rsidRPr="00802177">
              <w:rPr>
                <w:szCs w:val="22"/>
              </w:rPr>
              <w:t>-6.5%</w:t>
            </w:r>
          </w:p>
        </w:tc>
        <w:tc>
          <w:tcPr>
            <w:tcW w:w="2409" w:type="dxa"/>
            <w:shd w:val="clear" w:color="auto" w:fill="auto"/>
            <w:vAlign w:val="center"/>
          </w:tcPr>
          <w:p w:rsidR="00230743" w:rsidRPr="00802177" w:rsidRDefault="0062660D" w:rsidP="001E3005">
            <w:pPr>
              <w:jc w:val="left"/>
              <w:rPr>
                <w:szCs w:val="22"/>
              </w:rPr>
            </w:pPr>
            <w:r w:rsidRPr="00802177">
              <w:rPr>
                <w:szCs w:val="22"/>
              </w:rPr>
              <w:t>6.6%</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Thames Primary Academy</w:t>
            </w:r>
          </w:p>
        </w:tc>
        <w:tc>
          <w:tcPr>
            <w:tcW w:w="1842" w:type="dxa"/>
            <w:shd w:val="clear" w:color="auto" w:fill="auto"/>
            <w:vAlign w:val="center"/>
          </w:tcPr>
          <w:p w:rsidR="00230743" w:rsidRPr="00802177" w:rsidRDefault="0062660D" w:rsidP="001E3005">
            <w:pPr>
              <w:jc w:val="left"/>
              <w:rPr>
                <w:szCs w:val="22"/>
              </w:rPr>
            </w:pPr>
            <w:r w:rsidRPr="00802177">
              <w:rPr>
                <w:szCs w:val="22"/>
              </w:rPr>
              <w:t>-1.6% plus £25,000</w:t>
            </w:r>
          </w:p>
        </w:tc>
        <w:tc>
          <w:tcPr>
            <w:tcW w:w="1843" w:type="dxa"/>
            <w:shd w:val="clear" w:color="auto" w:fill="auto"/>
            <w:vAlign w:val="center"/>
          </w:tcPr>
          <w:p w:rsidR="00230743" w:rsidRPr="00802177" w:rsidRDefault="0062660D" w:rsidP="001E3005">
            <w:pPr>
              <w:jc w:val="left"/>
              <w:rPr>
                <w:szCs w:val="22"/>
              </w:rPr>
            </w:pPr>
            <w:r w:rsidRPr="00802177">
              <w:rPr>
                <w:szCs w:val="22"/>
              </w:rPr>
              <w:t xml:space="preserve">11.5% plus </w:t>
            </w:r>
            <w:r w:rsidRPr="00802177">
              <w:rPr>
                <w:szCs w:val="22"/>
              </w:rPr>
              <w:t>£25,000</w:t>
            </w:r>
          </w:p>
        </w:tc>
        <w:tc>
          <w:tcPr>
            <w:tcW w:w="1843" w:type="dxa"/>
            <w:shd w:val="clear" w:color="auto" w:fill="auto"/>
            <w:vAlign w:val="center"/>
          </w:tcPr>
          <w:p w:rsidR="00230743" w:rsidRPr="00802177" w:rsidRDefault="0062660D" w:rsidP="001E3005">
            <w:pPr>
              <w:jc w:val="left"/>
              <w:rPr>
                <w:szCs w:val="22"/>
              </w:rPr>
            </w:pPr>
            <w:r w:rsidRPr="00802177">
              <w:rPr>
                <w:szCs w:val="22"/>
              </w:rPr>
              <w:t>-1.6% plus £26,000</w:t>
            </w:r>
          </w:p>
        </w:tc>
        <w:tc>
          <w:tcPr>
            <w:tcW w:w="1984" w:type="dxa"/>
            <w:shd w:val="clear" w:color="auto" w:fill="auto"/>
            <w:vAlign w:val="center"/>
          </w:tcPr>
          <w:p w:rsidR="00230743" w:rsidRPr="00802177" w:rsidRDefault="0062660D" w:rsidP="001E3005">
            <w:pPr>
              <w:jc w:val="left"/>
              <w:rPr>
                <w:szCs w:val="22"/>
              </w:rPr>
            </w:pPr>
            <w:r w:rsidRPr="00802177">
              <w:rPr>
                <w:szCs w:val="22"/>
              </w:rPr>
              <w:t>11.5% plus £26,000</w:t>
            </w:r>
          </w:p>
        </w:tc>
        <w:tc>
          <w:tcPr>
            <w:tcW w:w="2127" w:type="dxa"/>
            <w:shd w:val="clear" w:color="auto" w:fill="auto"/>
            <w:vAlign w:val="center"/>
          </w:tcPr>
          <w:p w:rsidR="00230743" w:rsidRPr="00802177" w:rsidRDefault="0062660D" w:rsidP="001E3005">
            <w:pPr>
              <w:jc w:val="left"/>
              <w:rPr>
                <w:szCs w:val="22"/>
              </w:rPr>
            </w:pPr>
            <w:r w:rsidRPr="00802177">
              <w:rPr>
                <w:szCs w:val="22"/>
              </w:rPr>
              <w:t>-1.6% plus £27,100</w:t>
            </w:r>
          </w:p>
        </w:tc>
        <w:tc>
          <w:tcPr>
            <w:tcW w:w="2409" w:type="dxa"/>
            <w:shd w:val="clear" w:color="auto" w:fill="auto"/>
            <w:vAlign w:val="center"/>
          </w:tcPr>
          <w:p w:rsidR="00230743" w:rsidRPr="00802177" w:rsidRDefault="0062660D" w:rsidP="001E3005">
            <w:pPr>
              <w:jc w:val="left"/>
              <w:rPr>
                <w:szCs w:val="22"/>
              </w:rPr>
            </w:pPr>
            <w:r w:rsidRPr="00802177">
              <w:rPr>
                <w:szCs w:val="22"/>
              </w:rPr>
              <w:t>11.5% plus £27,100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The Heights Free School</w:t>
            </w:r>
          </w:p>
        </w:tc>
        <w:tc>
          <w:tcPr>
            <w:tcW w:w="1842" w:type="dxa"/>
            <w:shd w:val="clear" w:color="auto" w:fill="auto"/>
            <w:vAlign w:val="bottom"/>
          </w:tcPr>
          <w:p w:rsidR="00230743" w:rsidRPr="00802177" w:rsidRDefault="0062660D" w:rsidP="001E3005">
            <w:pPr>
              <w:jc w:val="left"/>
              <w:rPr>
                <w:szCs w:val="22"/>
              </w:rPr>
            </w:pPr>
            <w:r w:rsidRPr="00802177">
              <w:rPr>
                <w:szCs w:val="22"/>
              </w:rPr>
              <w:t>-0.7% plus £24,800</w:t>
            </w:r>
          </w:p>
        </w:tc>
        <w:tc>
          <w:tcPr>
            <w:tcW w:w="1843" w:type="dxa"/>
            <w:shd w:val="clear" w:color="auto" w:fill="auto"/>
            <w:vAlign w:val="bottom"/>
          </w:tcPr>
          <w:p w:rsidR="00230743" w:rsidRPr="00802177" w:rsidRDefault="0062660D" w:rsidP="001E3005">
            <w:pPr>
              <w:jc w:val="left"/>
              <w:rPr>
                <w:szCs w:val="22"/>
              </w:rPr>
            </w:pPr>
            <w:r w:rsidRPr="00802177">
              <w:rPr>
                <w:szCs w:val="22"/>
              </w:rPr>
              <w:t>12.4% plus £24,800</w:t>
            </w:r>
          </w:p>
        </w:tc>
        <w:tc>
          <w:tcPr>
            <w:tcW w:w="1843" w:type="dxa"/>
            <w:shd w:val="clear" w:color="auto" w:fill="auto"/>
            <w:vAlign w:val="bottom"/>
          </w:tcPr>
          <w:p w:rsidR="00230743" w:rsidRPr="00802177" w:rsidRDefault="0062660D" w:rsidP="001E3005">
            <w:pPr>
              <w:jc w:val="left"/>
              <w:rPr>
                <w:szCs w:val="22"/>
              </w:rPr>
            </w:pPr>
            <w:r w:rsidRPr="00802177">
              <w:rPr>
                <w:szCs w:val="22"/>
              </w:rPr>
              <w:t>-0.7% plus £25,800</w:t>
            </w:r>
          </w:p>
        </w:tc>
        <w:tc>
          <w:tcPr>
            <w:tcW w:w="1984" w:type="dxa"/>
            <w:shd w:val="clear" w:color="auto" w:fill="auto"/>
            <w:vAlign w:val="bottom"/>
          </w:tcPr>
          <w:p w:rsidR="00230743" w:rsidRPr="00802177" w:rsidRDefault="0062660D" w:rsidP="001E3005">
            <w:pPr>
              <w:jc w:val="left"/>
              <w:rPr>
                <w:szCs w:val="22"/>
              </w:rPr>
            </w:pPr>
            <w:r w:rsidRPr="00802177">
              <w:rPr>
                <w:szCs w:val="22"/>
              </w:rPr>
              <w:t>12.4% plus £25,800</w:t>
            </w:r>
          </w:p>
        </w:tc>
        <w:tc>
          <w:tcPr>
            <w:tcW w:w="2127" w:type="dxa"/>
            <w:shd w:val="clear" w:color="auto" w:fill="auto"/>
            <w:vAlign w:val="bottom"/>
          </w:tcPr>
          <w:p w:rsidR="00230743" w:rsidRPr="00802177" w:rsidRDefault="0062660D" w:rsidP="001E3005">
            <w:pPr>
              <w:jc w:val="left"/>
              <w:rPr>
                <w:szCs w:val="22"/>
              </w:rPr>
            </w:pPr>
            <w:r w:rsidRPr="00802177">
              <w:rPr>
                <w:szCs w:val="22"/>
              </w:rPr>
              <w:t>-0.7% plus £26,900</w:t>
            </w:r>
          </w:p>
        </w:tc>
        <w:tc>
          <w:tcPr>
            <w:tcW w:w="2409" w:type="dxa"/>
            <w:shd w:val="clear" w:color="auto" w:fill="auto"/>
            <w:vAlign w:val="bottom"/>
          </w:tcPr>
          <w:p w:rsidR="00230743" w:rsidRPr="00802177" w:rsidRDefault="0062660D" w:rsidP="001E3005">
            <w:pPr>
              <w:jc w:val="left"/>
              <w:rPr>
                <w:szCs w:val="22"/>
              </w:rPr>
            </w:pPr>
            <w:r w:rsidRPr="00802177">
              <w:rPr>
                <w:szCs w:val="22"/>
              </w:rPr>
              <w:t>12.4% plus £26,900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The Lancashire Colleges Ltd</w:t>
            </w:r>
          </w:p>
        </w:tc>
        <w:tc>
          <w:tcPr>
            <w:tcW w:w="1842" w:type="dxa"/>
            <w:shd w:val="clear" w:color="auto" w:fill="auto"/>
            <w:vAlign w:val="center"/>
          </w:tcPr>
          <w:p w:rsidR="00230743" w:rsidRPr="00802177" w:rsidRDefault="0062660D" w:rsidP="001E3005">
            <w:pPr>
              <w:jc w:val="left"/>
              <w:rPr>
                <w:szCs w:val="22"/>
              </w:rPr>
            </w:pPr>
            <w:r w:rsidRPr="00802177">
              <w:rPr>
                <w:szCs w:val="22"/>
              </w:rPr>
              <w:t>4.7%</w:t>
            </w:r>
          </w:p>
        </w:tc>
        <w:tc>
          <w:tcPr>
            <w:tcW w:w="1843" w:type="dxa"/>
            <w:shd w:val="clear" w:color="auto" w:fill="auto"/>
            <w:vAlign w:val="center"/>
          </w:tcPr>
          <w:p w:rsidR="00230743" w:rsidRPr="00802177" w:rsidRDefault="0062660D" w:rsidP="001E3005">
            <w:pPr>
              <w:jc w:val="left"/>
              <w:rPr>
                <w:szCs w:val="22"/>
              </w:rPr>
            </w:pPr>
            <w:r w:rsidRPr="00802177">
              <w:rPr>
                <w:szCs w:val="22"/>
              </w:rPr>
              <w:t>17.8%</w:t>
            </w:r>
          </w:p>
        </w:tc>
        <w:tc>
          <w:tcPr>
            <w:tcW w:w="1843" w:type="dxa"/>
            <w:shd w:val="clear" w:color="auto" w:fill="auto"/>
            <w:vAlign w:val="center"/>
          </w:tcPr>
          <w:p w:rsidR="00230743" w:rsidRPr="00802177" w:rsidRDefault="0062660D" w:rsidP="001E3005">
            <w:pPr>
              <w:jc w:val="left"/>
              <w:rPr>
                <w:szCs w:val="22"/>
              </w:rPr>
            </w:pPr>
            <w:r w:rsidRPr="00802177">
              <w:rPr>
                <w:szCs w:val="22"/>
              </w:rPr>
              <w:t>4.7%</w:t>
            </w:r>
          </w:p>
        </w:tc>
        <w:tc>
          <w:tcPr>
            <w:tcW w:w="1984" w:type="dxa"/>
            <w:shd w:val="clear" w:color="auto" w:fill="auto"/>
            <w:vAlign w:val="center"/>
          </w:tcPr>
          <w:p w:rsidR="00230743" w:rsidRPr="00802177" w:rsidRDefault="0062660D" w:rsidP="001E3005">
            <w:pPr>
              <w:jc w:val="left"/>
              <w:rPr>
                <w:szCs w:val="22"/>
              </w:rPr>
            </w:pPr>
            <w:r w:rsidRPr="00802177">
              <w:rPr>
                <w:szCs w:val="22"/>
              </w:rPr>
              <w:t>17.8%</w:t>
            </w:r>
          </w:p>
        </w:tc>
        <w:tc>
          <w:tcPr>
            <w:tcW w:w="2127" w:type="dxa"/>
            <w:shd w:val="clear" w:color="auto" w:fill="auto"/>
            <w:vAlign w:val="center"/>
          </w:tcPr>
          <w:p w:rsidR="00230743" w:rsidRPr="00802177" w:rsidRDefault="0062660D" w:rsidP="001E3005">
            <w:pPr>
              <w:jc w:val="left"/>
              <w:rPr>
                <w:szCs w:val="22"/>
              </w:rPr>
            </w:pPr>
            <w:r w:rsidRPr="00802177">
              <w:rPr>
                <w:szCs w:val="22"/>
              </w:rPr>
              <w:t>4.7%</w:t>
            </w:r>
          </w:p>
        </w:tc>
        <w:tc>
          <w:tcPr>
            <w:tcW w:w="2409" w:type="dxa"/>
            <w:shd w:val="clear" w:color="auto" w:fill="auto"/>
            <w:vAlign w:val="center"/>
          </w:tcPr>
          <w:p w:rsidR="00230743" w:rsidRPr="00802177" w:rsidRDefault="0062660D" w:rsidP="001E3005">
            <w:pPr>
              <w:jc w:val="left"/>
              <w:rPr>
                <w:szCs w:val="22"/>
              </w:rPr>
            </w:pPr>
            <w:r w:rsidRPr="00802177">
              <w:rPr>
                <w:szCs w:val="22"/>
              </w:rPr>
              <w:t>17.8%</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The Ormerod Home Trust Ltd</w:t>
            </w:r>
          </w:p>
        </w:tc>
        <w:tc>
          <w:tcPr>
            <w:tcW w:w="1842" w:type="dxa"/>
            <w:shd w:val="clear" w:color="auto" w:fill="auto"/>
            <w:vAlign w:val="center"/>
          </w:tcPr>
          <w:p w:rsidR="00230743" w:rsidRPr="00802177" w:rsidRDefault="0062660D" w:rsidP="001E3005">
            <w:pPr>
              <w:jc w:val="left"/>
              <w:rPr>
                <w:szCs w:val="22"/>
              </w:rPr>
            </w:pPr>
            <w:r w:rsidRPr="00802177">
              <w:rPr>
                <w:szCs w:val="22"/>
              </w:rPr>
              <w:t>6.9% plus £19,100</w:t>
            </w:r>
          </w:p>
        </w:tc>
        <w:tc>
          <w:tcPr>
            <w:tcW w:w="1843" w:type="dxa"/>
            <w:shd w:val="clear" w:color="auto" w:fill="auto"/>
            <w:vAlign w:val="center"/>
          </w:tcPr>
          <w:p w:rsidR="00230743" w:rsidRPr="00802177" w:rsidRDefault="0062660D" w:rsidP="001E3005">
            <w:pPr>
              <w:jc w:val="left"/>
              <w:rPr>
                <w:szCs w:val="22"/>
              </w:rPr>
            </w:pPr>
            <w:r w:rsidRPr="00802177">
              <w:rPr>
                <w:szCs w:val="22"/>
              </w:rPr>
              <w:t>20.0% plus £19,100</w:t>
            </w:r>
          </w:p>
        </w:tc>
        <w:tc>
          <w:tcPr>
            <w:tcW w:w="1843" w:type="dxa"/>
            <w:shd w:val="clear" w:color="auto" w:fill="auto"/>
            <w:vAlign w:val="center"/>
          </w:tcPr>
          <w:p w:rsidR="00230743" w:rsidRPr="00802177" w:rsidRDefault="0062660D" w:rsidP="001E3005">
            <w:pPr>
              <w:jc w:val="left"/>
              <w:rPr>
                <w:szCs w:val="22"/>
              </w:rPr>
            </w:pPr>
            <w:r w:rsidRPr="00802177">
              <w:rPr>
                <w:szCs w:val="22"/>
              </w:rPr>
              <w:t>6.9% plus £26,400</w:t>
            </w:r>
          </w:p>
        </w:tc>
        <w:tc>
          <w:tcPr>
            <w:tcW w:w="1984" w:type="dxa"/>
            <w:shd w:val="clear" w:color="auto" w:fill="auto"/>
            <w:vAlign w:val="center"/>
          </w:tcPr>
          <w:p w:rsidR="00230743" w:rsidRPr="00802177" w:rsidRDefault="0062660D" w:rsidP="001E3005">
            <w:pPr>
              <w:jc w:val="left"/>
              <w:rPr>
                <w:szCs w:val="22"/>
              </w:rPr>
            </w:pPr>
            <w:r w:rsidRPr="00802177">
              <w:rPr>
                <w:szCs w:val="22"/>
              </w:rPr>
              <w:t>20.0% plus £26,400</w:t>
            </w:r>
          </w:p>
        </w:tc>
        <w:tc>
          <w:tcPr>
            <w:tcW w:w="2127" w:type="dxa"/>
            <w:shd w:val="clear" w:color="auto" w:fill="auto"/>
            <w:vAlign w:val="center"/>
          </w:tcPr>
          <w:p w:rsidR="00230743" w:rsidRPr="00802177" w:rsidRDefault="0062660D" w:rsidP="001E3005">
            <w:pPr>
              <w:jc w:val="left"/>
              <w:rPr>
                <w:szCs w:val="22"/>
              </w:rPr>
            </w:pPr>
            <w:r w:rsidRPr="00802177">
              <w:rPr>
                <w:szCs w:val="22"/>
              </w:rPr>
              <w:t>6.9% plus £33,800</w:t>
            </w:r>
          </w:p>
        </w:tc>
        <w:tc>
          <w:tcPr>
            <w:tcW w:w="2409" w:type="dxa"/>
            <w:shd w:val="clear" w:color="auto" w:fill="auto"/>
            <w:vAlign w:val="center"/>
          </w:tcPr>
          <w:p w:rsidR="00230743" w:rsidRPr="00802177" w:rsidRDefault="0062660D" w:rsidP="001E3005">
            <w:pPr>
              <w:jc w:val="left"/>
              <w:rPr>
                <w:szCs w:val="22"/>
              </w:rPr>
            </w:pPr>
            <w:r w:rsidRPr="00802177">
              <w:rPr>
                <w:szCs w:val="22"/>
              </w:rPr>
              <w:t>20.0% plus £33,800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Twin Valley Homes Ltd</w:t>
            </w:r>
          </w:p>
        </w:tc>
        <w:tc>
          <w:tcPr>
            <w:tcW w:w="1842" w:type="dxa"/>
            <w:shd w:val="clear" w:color="auto" w:fill="auto"/>
            <w:vAlign w:val="center"/>
          </w:tcPr>
          <w:p w:rsidR="00230743" w:rsidRPr="00802177" w:rsidRDefault="0062660D" w:rsidP="001E3005">
            <w:pPr>
              <w:jc w:val="left"/>
              <w:rPr>
                <w:szCs w:val="22"/>
              </w:rPr>
            </w:pPr>
            <w:r w:rsidRPr="00802177">
              <w:rPr>
                <w:szCs w:val="22"/>
              </w:rPr>
              <w:t>0.3% plus £157,600</w:t>
            </w:r>
          </w:p>
        </w:tc>
        <w:tc>
          <w:tcPr>
            <w:tcW w:w="1843" w:type="dxa"/>
            <w:shd w:val="clear" w:color="auto" w:fill="auto"/>
            <w:vAlign w:val="center"/>
          </w:tcPr>
          <w:p w:rsidR="00230743" w:rsidRPr="00802177" w:rsidRDefault="0062660D" w:rsidP="001E3005">
            <w:pPr>
              <w:jc w:val="left"/>
              <w:rPr>
                <w:szCs w:val="22"/>
              </w:rPr>
            </w:pPr>
            <w:r w:rsidRPr="00802177">
              <w:rPr>
                <w:szCs w:val="22"/>
              </w:rPr>
              <w:t>13.4% plus £157,600</w:t>
            </w:r>
          </w:p>
        </w:tc>
        <w:tc>
          <w:tcPr>
            <w:tcW w:w="1843" w:type="dxa"/>
            <w:shd w:val="clear" w:color="auto" w:fill="auto"/>
            <w:vAlign w:val="center"/>
          </w:tcPr>
          <w:p w:rsidR="00230743" w:rsidRPr="00802177" w:rsidRDefault="0062660D" w:rsidP="001E3005">
            <w:pPr>
              <w:jc w:val="left"/>
              <w:rPr>
                <w:szCs w:val="22"/>
              </w:rPr>
            </w:pPr>
            <w:r w:rsidRPr="00802177">
              <w:rPr>
                <w:szCs w:val="22"/>
              </w:rPr>
              <w:t>0.3% plus £164,100</w:t>
            </w:r>
          </w:p>
        </w:tc>
        <w:tc>
          <w:tcPr>
            <w:tcW w:w="1984" w:type="dxa"/>
            <w:shd w:val="clear" w:color="auto" w:fill="auto"/>
            <w:vAlign w:val="center"/>
          </w:tcPr>
          <w:p w:rsidR="00230743" w:rsidRPr="00802177" w:rsidRDefault="0062660D" w:rsidP="001E3005">
            <w:pPr>
              <w:jc w:val="left"/>
              <w:rPr>
                <w:szCs w:val="22"/>
              </w:rPr>
            </w:pPr>
            <w:r w:rsidRPr="00802177">
              <w:rPr>
                <w:szCs w:val="22"/>
              </w:rPr>
              <w:t xml:space="preserve">13.4% </w:t>
            </w:r>
            <w:r w:rsidRPr="00802177">
              <w:rPr>
                <w:szCs w:val="22"/>
              </w:rPr>
              <w:t>plus £164,100</w:t>
            </w:r>
          </w:p>
        </w:tc>
        <w:tc>
          <w:tcPr>
            <w:tcW w:w="2127" w:type="dxa"/>
            <w:shd w:val="clear" w:color="auto" w:fill="auto"/>
            <w:vAlign w:val="center"/>
          </w:tcPr>
          <w:p w:rsidR="00230743" w:rsidRPr="00802177" w:rsidRDefault="0062660D" w:rsidP="001E3005">
            <w:pPr>
              <w:jc w:val="left"/>
              <w:rPr>
                <w:szCs w:val="22"/>
              </w:rPr>
            </w:pPr>
            <w:r w:rsidRPr="00802177">
              <w:rPr>
                <w:szCs w:val="22"/>
              </w:rPr>
              <w:t>0.3% plus £170,800</w:t>
            </w:r>
          </w:p>
        </w:tc>
        <w:tc>
          <w:tcPr>
            <w:tcW w:w="2409" w:type="dxa"/>
            <w:shd w:val="clear" w:color="auto" w:fill="auto"/>
            <w:vAlign w:val="center"/>
          </w:tcPr>
          <w:p w:rsidR="00230743" w:rsidRPr="00802177" w:rsidRDefault="0062660D" w:rsidP="001E3005">
            <w:pPr>
              <w:jc w:val="left"/>
              <w:rPr>
                <w:szCs w:val="22"/>
              </w:rPr>
            </w:pPr>
            <w:r w:rsidRPr="00802177">
              <w:rPr>
                <w:szCs w:val="22"/>
              </w:rPr>
              <w:t>13.4% plus £170,800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University of Central Lancashire</w:t>
            </w:r>
          </w:p>
        </w:tc>
        <w:tc>
          <w:tcPr>
            <w:tcW w:w="1842" w:type="dxa"/>
            <w:shd w:val="clear" w:color="auto" w:fill="auto"/>
            <w:vAlign w:val="center"/>
          </w:tcPr>
          <w:p w:rsidR="00230743" w:rsidRPr="00802177" w:rsidRDefault="0062660D" w:rsidP="001E3005">
            <w:pPr>
              <w:jc w:val="left"/>
              <w:rPr>
                <w:szCs w:val="22"/>
              </w:rPr>
            </w:pPr>
            <w:r w:rsidRPr="00802177">
              <w:rPr>
                <w:szCs w:val="22"/>
              </w:rPr>
              <w:t>-1.0% plus £1,444,400</w:t>
            </w:r>
          </w:p>
        </w:tc>
        <w:tc>
          <w:tcPr>
            <w:tcW w:w="1843" w:type="dxa"/>
            <w:shd w:val="clear" w:color="auto" w:fill="auto"/>
            <w:vAlign w:val="center"/>
          </w:tcPr>
          <w:p w:rsidR="00230743" w:rsidRPr="00802177" w:rsidRDefault="0062660D" w:rsidP="001E3005">
            <w:pPr>
              <w:jc w:val="left"/>
              <w:rPr>
                <w:szCs w:val="22"/>
              </w:rPr>
            </w:pPr>
            <w:r w:rsidRPr="00802177">
              <w:rPr>
                <w:szCs w:val="22"/>
              </w:rPr>
              <w:t>12.1% plus £1,444,400</w:t>
            </w:r>
          </w:p>
        </w:tc>
        <w:tc>
          <w:tcPr>
            <w:tcW w:w="1843" w:type="dxa"/>
            <w:shd w:val="clear" w:color="auto" w:fill="auto"/>
            <w:vAlign w:val="center"/>
          </w:tcPr>
          <w:p w:rsidR="00230743" w:rsidRPr="00802177" w:rsidRDefault="0062660D" w:rsidP="001E3005">
            <w:pPr>
              <w:jc w:val="left"/>
              <w:rPr>
                <w:szCs w:val="22"/>
              </w:rPr>
            </w:pPr>
            <w:r w:rsidRPr="00802177">
              <w:rPr>
                <w:szCs w:val="22"/>
              </w:rPr>
              <w:t>-1.0% plus £1,503,600</w:t>
            </w:r>
          </w:p>
        </w:tc>
        <w:tc>
          <w:tcPr>
            <w:tcW w:w="1984" w:type="dxa"/>
            <w:shd w:val="clear" w:color="auto" w:fill="auto"/>
            <w:vAlign w:val="center"/>
          </w:tcPr>
          <w:p w:rsidR="00230743" w:rsidRPr="00802177" w:rsidRDefault="0062660D" w:rsidP="001E3005">
            <w:pPr>
              <w:jc w:val="left"/>
              <w:rPr>
                <w:szCs w:val="22"/>
              </w:rPr>
            </w:pPr>
            <w:r w:rsidRPr="00802177">
              <w:rPr>
                <w:szCs w:val="22"/>
              </w:rPr>
              <w:t>12.1% plus £1,503,600</w:t>
            </w:r>
          </w:p>
        </w:tc>
        <w:tc>
          <w:tcPr>
            <w:tcW w:w="2127" w:type="dxa"/>
            <w:shd w:val="clear" w:color="auto" w:fill="auto"/>
            <w:vAlign w:val="center"/>
          </w:tcPr>
          <w:p w:rsidR="00230743" w:rsidRPr="00802177" w:rsidRDefault="0062660D" w:rsidP="001E3005">
            <w:pPr>
              <w:jc w:val="left"/>
              <w:rPr>
                <w:szCs w:val="22"/>
              </w:rPr>
            </w:pPr>
            <w:r w:rsidRPr="00802177">
              <w:rPr>
                <w:szCs w:val="22"/>
              </w:rPr>
              <w:t>-1.0% plus £1,565,200</w:t>
            </w:r>
          </w:p>
        </w:tc>
        <w:tc>
          <w:tcPr>
            <w:tcW w:w="2409" w:type="dxa"/>
            <w:shd w:val="clear" w:color="auto" w:fill="auto"/>
            <w:vAlign w:val="center"/>
          </w:tcPr>
          <w:p w:rsidR="00230743" w:rsidRPr="00802177" w:rsidRDefault="0062660D" w:rsidP="001E3005">
            <w:pPr>
              <w:jc w:val="left"/>
              <w:rPr>
                <w:szCs w:val="22"/>
              </w:rPr>
            </w:pPr>
            <w:r w:rsidRPr="00802177">
              <w:rPr>
                <w:szCs w:val="22"/>
              </w:rPr>
              <w:t>12.1% plus £1,565,200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University of Cumbria</w:t>
            </w:r>
          </w:p>
        </w:tc>
        <w:tc>
          <w:tcPr>
            <w:tcW w:w="1842" w:type="dxa"/>
            <w:shd w:val="clear" w:color="auto" w:fill="auto"/>
            <w:vAlign w:val="center"/>
          </w:tcPr>
          <w:p w:rsidR="00230743" w:rsidRPr="00802177" w:rsidRDefault="0062660D" w:rsidP="001E3005">
            <w:pPr>
              <w:jc w:val="left"/>
              <w:rPr>
                <w:szCs w:val="22"/>
              </w:rPr>
            </w:pPr>
            <w:r w:rsidRPr="00802177">
              <w:rPr>
                <w:szCs w:val="22"/>
              </w:rPr>
              <w:t xml:space="preserve">-1.8% plus </w:t>
            </w:r>
            <w:r w:rsidRPr="00802177">
              <w:rPr>
                <w:szCs w:val="22"/>
              </w:rPr>
              <w:t>£884,000</w:t>
            </w:r>
          </w:p>
        </w:tc>
        <w:tc>
          <w:tcPr>
            <w:tcW w:w="1843" w:type="dxa"/>
            <w:shd w:val="clear" w:color="auto" w:fill="auto"/>
            <w:vAlign w:val="center"/>
          </w:tcPr>
          <w:p w:rsidR="00230743" w:rsidRPr="00802177" w:rsidRDefault="0062660D" w:rsidP="001E3005">
            <w:pPr>
              <w:jc w:val="left"/>
              <w:rPr>
                <w:szCs w:val="22"/>
              </w:rPr>
            </w:pPr>
            <w:r w:rsidRPr="00802177">
              <w:rPr>
                <w:szCs w:val="22"/>
              </w:rPr>
              <w:t>11.3% plus £884,000</w:t>
            </w:r>
          </w:p>
        </w:tc>
        <w:tc>
          <w:tcPr>
            <w:tcW w:w="1843" w:type="dxa"/>
            <w:shd w:val="clear" w:color="auto" w:fill="auto"/>
            <w:vAlign w:val="center"/>
          </w:tcPr>
          <w:p w:rsidR="00230743" w:rsidRPr="00802177" w:rsidRDefault="0062660D" w:rsidP="001E3005">
            <w:pPr>
              <w:jc w:val="left"/>
              <w:rPr>
                <w:szCs w:val="22"/>
              </w:rPr>
            </w:pPr>
            <w:r w:rsidRPr="00802177">
              <w:rPr>
                <w:szCs w:val="22"/>
              </w:rPr>
              <w:t>-1.8% plus £914,100</w:t>
            </w:r>
          </w:p>
        </w:tc>
        <w:tc>
          <w:tcPr>
            <w:tcW w:w="1984" w:type="dxa"/>
            <w:shd w:val="clear" w:color="auto" w:fill="auto"/>
            <w:vAlign w:val="center"/>
          </w:tcPr>
          <w:p w:rsidR="00230743" w:rsidRPr="00802177" w:rsidRDefault="0062660D" w:rsidP="001E3005">
            <w:pPr>
              <w:jc w:val="left"/>
              <w:rPr>
                <w:szCs w:val="22"/>
              </w:rPr>
            </w:pPr>
            <w:r w:rsidRPr="00802177">
              <w:rPr>
                <w:szCs w:val="22"/>
              </w:rPr>
              <w:t>11.3% plus £914,100</w:t>
            </w:r>
          </w:p>
        </w:tc>
        <w:tc>
          <w:tcPr>
            <w:tcW w:w="2127" w:type="dxa"/>
            <w:shd w:val="clear" w:color="auto" w:fill="auto"/>
            <w:vAlign w:val="center"/>
          </w:tcPr>
          <w:p w:rsidR="00230743" w:rsidRPr="00802177" w:rsidRDefault="0062660D" w:rsidP="001E3005">
            <w:pPr>
              <w:jc w:val="left"/>
              <w:rPr>
                <w:szCs w:val="22"/>
              </w:rPr>
            </w:pPr>
            <w:r w:rsidRPr="00802177">
              <w:rPr>
                <w:szCs w:val="22"/>
              </w:rPr>
              <w:t>-1.8% plus £945,400</w:t>
            </w:r>
          </w:p>
        </w:tc>
        <w:tc>
          <w:tcPr>
            <w:tcW w:w="2409" w:type="dxa"/>
            <w:shd w:val="clear" w:color="auto" w:fill="auto"/>
            <w:vAlign w:val="center"/>
          </w:tcPr>
          <w:p w:rsidR="00230743" w:rsidRPr="00802177" w:rsidRDefault="0062660D" w:rsidP="001E3005">
            <w:pPr>
              <w:jc w:val="left"/>
              <w:rPr>
                <w:szCs w:val="22"/>
              </w:rPr>
            </w:pPr>
            <w:r w:rsidRPr="00802177">
              <w:rPr>
                <w:szCs w:val="22"/>
              </w:rPr>
              <w:t>11.3% plus £945,400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Vita Lend Lease (BSF ICT)</w:t>
            </w:r>
          </w:p>
        </w:tc>
        <w:tc>
          <w:tcPr>
            <w:tcW w:w="1842" w:type="dxa"/>
            <w:shd w:val="clear" w:color="auto" w:fill="auto"/>
            <w:vAlign w:val="center"/>
          </w:tcPr>
          <w:p w:rsidR="00230743" w:rsidRPr="00802177" w:rsidRDefault="0062660D" w:rsidP="001E3005">
            <w:pPr>
              <w:jc w:val="left"/>
              <w:rPr>
                <w:szCs w:val="22"/>
              </w:rPr>
            </w:pPr>
            <w:r w:rsidRPr="00802177">
              <w:rPr>
                <w:szCs w:val="22"/>
              </w:rPr>
              <w:t>-0.6%</w:t>
            </w:r>
          </w:p>
        </w:tc>
        <w:tc>
          <w:tcPr>
            <w:tcW w:w="1843" w:type="dxa"/>
            <w:shd w:val="clear" w:color="auto" w:fill="auto"/>
            <w:vAlign w:val="center"/>
          </w:tcPr>
          <w:p w:rsidR="00230743" w:rsidRPr="00802177" w:rsidRDefault="0062660D" w:rsidP="001E3005">
            <w:pPr>
              <w:jc w:val="left"/>
              <w:rPr>
                <w:szCs w:val="22"/>
              </w:rPr>
            </w:pPr>
            <w:r w:rsidRPr="00802177">
              <w:rPr>
                <w:szCs w:val="22"/>
              </w:rPr>
              <w:t>12.5%</w:t>
            </w:r>
          </w:p>
        </w:tc>
        <w:tc>
          <w:tcPr>
            <w:tcW w:w="1843" w:type="dxa"/>
            <w:shd w:val="clear" w:color="auto" w:fill="auto"/>
            <w:vAlign w:val="center"/>
          </w:tcPr>
          <w:p w:rsidR="00230743" w:rsidRPr="00802177" w:rsidRDefault="0062660D" w:rsidP="001E3005">
            <w:pPr>
              <w:jc w:val="left"/>
              <w:rPr>
                <w:szCs w:val="22"/>
              </w:rPr>
            </w:pPr>
            <w:r w:rsidRPr="00802177">
              <w:rPr>
                <w:szCs w:val="22"/>
              </w:rPr>
              <w:t>-0.6%</w:t>
            </w:r>
          </w:p>
        </w:tc>
        <w:tc>
          <w:tcPr>
            <w:tcW w:w="1984" w:type="dxa"/>
            <w:shd w:val="clear" w:color="auto" w:fill="auto"/>
            <w:vAlign w:val="center"/>
          </w:tcPr>
          <w:p w:rsidR="00230743" w:rsidRPr="00802177" w:rsidRDefault="0062660D" w:rsidP="001E3005">
            <w:pPr>
              <w:jc w:val="left"/>
              <w:rPr>
                <w:szCs w:val="22"/>
              </w:rPr>
            </w:pPr>
            <w:r w:rsidRPr="00802177">
              <w:rPr>
                <w:szCs w:val="22"/>
              </w:rPr>
              <w:t>12.5%</w:t>
            </w:r>
          </w:p>
        </w:tc>
        <w:tc>
          <w:tcPr>
            <w:tcW w:w="2127" w:type="dxa"/>
            <w:shd w:val="clear" w:color="auto" w:fill="auto"/>
            <w:vAlign w:val="center"/>
          </w:tcPr>
          <w:p w:rsidR="00230743" w:rsidRPr="00802177" w:rsidRDefault="0062660D" w:rsidP="001E3005">
            <w:pPr>
              <w:jc w:val="left"/>
              <w:rPr>
                <w:szCs w:val="22"/>
              </w:rPr>
            </w:pPr>
            <w:r w:rsidRPr="00802177">
              <w:rPr>
                <w:szCs w:val="22"/>
              </w:rPr>
              <w:t>-0.6%</w:t>
            </w:r>
          </w:p>
        </w:tc>
        <w:tc>
          <w:tcPr>
            <w:tcW w:w="2409" w:type="dxa"/>
            <w:shd w:val="clear" w:color="auto" w:fill="auto"/>
            <w:vAlign w:val="center"/>
          </w:tcPr>
          <w:p w:rsidR="00230743" w:rsidRPr="00802177" w:rsidRDefault="0062660D" w:rsidP="001E3005">
            <w:pPr>
              <w:jc w:val="left"/>
              <w:rPr>
                <w:szCs w:val="22"/>
              </w:rPr>
            </w:pPr>
            <w:r w:rsidRPr="00802177">
              <w:rPr>
                <w:szCs w:val="22"/>
              </w:rPr>
              <w:t>12.5%</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Vita Lend Lease Ltd</w:t>
            </w:r>
          </w:p>
        </w:tc>
        <w:tc>
          <w:tcPr>
            <w:tcW w:w="1842" w:type="dxa"/>
            <w:shd w:val="clear" w:color="auto" w:fill="auto"/>
            <w:vAlign w:val="center"/>
          </w:tcPr>
          <w:p w:rsidR="00230743" w:rsidRPr="00802177" w:rsidRDefault="0062660D" w:rsidP="001E3005">
            <w:pPr>
              <w:jc w:val="left"/>
              <w:rPr>
                <w:szCs w:val="22"/>
              </w:rPr>
            </w:pPr>
            <w:r w:rsidRPr="00802177">
              <w:rPr>
                <w:szCs w:val="22"/>
              </w:rPr>
              <w:t>3.3%</w:t>
            </w:r>
          </w:p>
        </w:tc>
        <w:tc>
          <w:tcPr>
            <w:tcW w:w="1843" w:type="dxa"/>
            <w:shd w:val="clear" w:color="auto" w:fill="auto"/>
            <w:vAlign w:val="center"/>
          </w:tcPr>
          <w:p w:rsidR="00230743" w:rsidRPr="00802177" w:rsidRDefault="0062660D" w:rsidP="001E3005">
            <w:pPr>
              <w:jc w:val="left"/>
              <w:rPr>
                <w:szCs w:val="22"/>
              </w:rPr>
            </w:pPr>
            <w:r w:rsidRPr="00802177">
              <w:rPr>
                <w:szCs w:val="22"/>
              </w:rPr>
              <w:t>16.4%</w:t>
            </w:r>
          </w:p>
        </w:tc>
        <w:tc>
          <w:tcPr>
            <w:tcW w:w="1843" w:type="dxa"/>
            <w:shd w:val="clear" w:color="auto" w:fill="auto"/>
            <w:vAlign w:val="center"/>
          </w:tcPr>
          <w:p w:rsidR="00230743" w:rsidRPr="00802177" w:rsidRDefault="0062660D" w:rsidP="001E3005">
            <w:pPr>
              <w:jc w:val="left"/>
              <w:rPr>
                <w:szCs w:val="22"/>
              </w:rPr>
            </w:pPr>
            <w:r w:rsidRPr="00802177">
              <w:rPr>
                <w:szCs w:val="22"/>
              </w:rPr>
              <w:t>3.3%</w:t>
            </w:r>
          </w:p>
        </w:tc>
        <w:tc>
          <w:tcPr>
            <w:tcW w:w="1984" w:type="dxa"/>
            <w:shd w:val="clear" w:color="auto" w:fill="auto"/>
            <w:vAlign w:val="center"/>
          </w:tcPr>
          <w:p w:rsidR="00230743" w:rsidRPr="00802177" w:rsidRDefault="0062660D" w:rsidP="001E3005">
            <w:pPr>
              <w:jc w:val="left"/>
              <w:rPr>
                <w:szCs w:val="22"/>
              </w:rPr>
            </w:pPr>
            <w:r w:rsidRPr="00802177">
              <w:rPr>
                <w:szCs w:val="22"/>
              </w:rPr>
              <w:t>16.4%</w:t>
            </w:r>
          </w:p>
        </w:tc>
        <w:tc>
          <w:tcPr>
            <w:tcW w:w="2127" w:type="dxa"/>
            <w:shd w:val="clear" w:color="auto" w:fill="auto"/>
            <w:vAlign w:val="center"/>
          </w:tcPr>
          <w:p w:rsidR="00230743" w:rsidRPr="00802177" w:rsidRDefault="0062660D" w:rsidP="001E3005">
            <w:pPr>
              <w:jc w:val="left"/>
              <w:rPr>
                <w:szCs w:val="22"/>
              </w:rPr>
            </w:pPr>
            <w:r w:rsidRPr="00802177">
              <w:rPr>
                <w:szCs w:val="22"/>
              </w:rPr>
              <w:t>3.3%</w:t>
            </w:r>
          </w:p>
        </w:tc>
        <w:tc>
          <w:tcPr>
            <w:tcW w:w="2409" w:type="dxa"/>
            <w:shd w:val="clear" w:color="auto" w:fill="auto"/>
            <w:vAlign w:val="center"/>
          </w:tcPr>
          <w:p w:rsidR="00230743" w:rsidRPr="00802177" w:rsidRDefault="0062660D" w:rsidP="001E3005">
            <w:pPr>
              <w:jc w:val="left"/>
              <w:rPr>
                <w:szCs w:val="22"/>
              </w:rPr>
            </w:pPr>
            <w:r w:rsidRPr="00802177">
              <w:rPr>
                <w:szCs w:val="22"/>
              </w:rPr>
              <w:t>16.4%</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Waterloo Primary Academy</w:t>
            </w:r>
          </w:p>
        </w:tc>
        <w:tc>
          <w:tcPr>
            <w:tcW w:w="1842" w:type="dxa"/>
            <w:shd w:val="clear" w:color="auto" w:fill="auto"/>
            <w:vAlign w:val="center"/>
          </w:tcPr>
          <w:p w:rsidR="00230743" w:rsidRPr="00802177" w:rsidRDefault="0062660D" w:rsidP="001E3005">
            <w:pPr>
              <w:jc w:val="left"/>
              <w:rPr>
                <w:szCs w:val="22"/>
              </w:rPr>
            </w:pPr>
            <w:r w:rsidRPr="00802177">
              <w:rPr>
                <w:szCs w:val="22"/>
              </w:rPr>
              <w:t>0.5%</w:t>
            </w:r>
            <w:r w:rsidRPr="00802177">
              <w:rPr>
                <w:szCs w:val="22"/>
              </w:rPr>
              <w:t xml:space="preserve"> plus £25,300</w:t>
            </w:r>
          </w:p>
        </w:tc>
        <w:tc>
          <w:tcPr>
            <w:tcW w:w="1843" w:type="dxa"/>
            <w:shd w:val="clear" w:color="auto" w:fill="auto"/>
            <w:vAlign w:val="center"/>
          </w:tcPr>
          <w:p w:rsidR="00230743" w:rsidRPr="00802177" w:rsidRDefault="0062660D" w:rsidP="001E3005">
            <w:pPr>
              <w:jc w:val="left"/>
              <w:rPr>
                <w:szCs w:val="22"/>
              </w:rPr>
            </w:pPr>
            <w:r w:rsidRPr="00802177">
              <w:rPr>
                <w:szCs w:val="22"/>
              </w:rPr>
              <w:t>13.6% plus £25,300</w:t>
            </w:r>
          </w:p>
        </w:tc>
        <w:tc>
          <w:tcPr>
            <w:tcW w:w="1843" w:type="dxa"/>
            <w:shd w:val="clear" w:color="auto" w:fill="auto"/>
            <w:vAlign w:val="center"/>
          </w:tcPr>
          <w:p w:rsidR="00230743" w:rsidRPr="00802177" w:rsidRDefault="0062660D" w:rsidP="001E3005">
            <w:pPr>
              <w:jc w:val="left"/>
              <w:rPr>
                <w:szCs w:val="22"/>
              </w:rPr>
            </w:pPr>
            <w:r w:rsidRPr="00802177">
              <w:rPr>
                <w:szCs w:val="22"/>
              </w:rPr>
              <w:t>0.5% plus £26,300</w:t>
            </w:r>
          </w:p>
        </w:tc>
        <w:tc>
          <w:tcPr>
            <w:tcW w:w="1984" w:type="dxa"/>
            <w:shd w:val="clear" w:color="auto" w:fill="auto"/>
            <w:vAlign w:val="center"/>
          </w:tcPr>
          <w:p w:rsidR="00230743" w:rsidRPr="00802177" w:rsidRDefault="0062660D" w:rsidP="001E3005">
            <w:pPr>
              <w:jc w:val="left"/>
              <w:rPr>
                <w:szCs w:val="22"/>
              </w:rPr>
            </w:pPr>
            <w:r w:rsidRPr="00802177">
              <w:rPr>
                <w:szCs w:val="22"/>
              </w:rPr>
              <w:t>13.6% plus £26,300</w:t>
            </w:r>
          </w:p>
        </w:tc>
        <w:tc>
          <w:tcPr>
            <w:tcW w:w="2127" w:type="dxa"/>
            <w:shd w:val="clear" w:color="auto" w:fill="auto"/>
            <w:vAlign w:val="center"/>
          </w:tcPr>
          <w:p w:rsidR="00230743" w:rsidRPr="00802177" w:rsidRDefault="0062660D" w:rsidP="001E3005">
            <w:pPr>
              <w:jc w:val="left"/>
              <w:rPr>
                <w:szCs w:val="22"/>
              </w:rPr>
            </w:pPr>
            <w:r w:rsidRPr="00802177">
              <w:rPr>
                <w:szCs w:val="22"/>
              </w:rPr>
              <w:t>0.5% plus £27,400</w:t>
            </w:r>
          </w:p>
        </w:tc>
        <w:tc>
          <w:tcPr>
            <w:tcW w:w="2409" w:type="dxa"/>
            <w:shd w:val="clear" w:color="auto" w:fill="auto"/>
            <w:vAlign w:val="center"/>
          </w:tcPr>
          <w:p w:rsidR="00230743" w:rsidRPr="00802177" w:rsidRDefault="0062660D" w:rsidP="001E3005">
            <w:pPr>
              <w:jc w:val="left"/>
              <w:rPr>
                <w:szCs w:val="22"/>
              </w:rPr>
            </w:pPr>
            <w:r w:rsidRPr="00802177">
              <w:rPr>
                <w:szCs w:val="22"/>
              </w:rPr>
              <w:t>13.6% plus £27,400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proofErr w:type="spellStart"/>
            <w:r w:rsidRPr="00FF2F9D">
              <w:rPr>
                <w:szCs w:val="22"/>
              </w:rPr>
              <w:t>Wensley</w:t>
            </w:r>
            <w:proofErr w:type="spellEnd"/>
            <w:r w:rsidRPr="00FF2F9D">
              <w:rPr>
                <w:szCs w:val="22"/>
              </w:rPr>
              <w:t xml:space="preserve"> Fold CE Primary Academy</w:t>
            </w:r>
          </w:p>
        </w:tc>
        <w:tc>
          <w:tcPr>
            <w:tcW w:w="1842" w:type="dxa"/>
            <w:shd w:val="clear" w:color="auto" w:fill="auto"/>
            <w:vAlign w:val="bottom"/>
          </w:tcPr>
          <w:p w:rsidR="00230743" w:rsidRPr="00802177" w:rsidRDefault="0062660D" w:rsidP="001E3005">
            <w:pPr>
              <w:jc w:val="left"/>
              <w:rPr>
                <w:szCs w:val="22"/>
              </w:rPr>
            </w:pPr>
            <w:r w:rsidRPr="00802177">
              <w:rPr>
                <w:szCs w:val="22"/>
              </w:rPr>
              <w:t>-0.7% plus £13,500</w:t>
            </w:r>
          </w:p>
        </w:tc>
        <w:tc>
          <w:tcPr>
            <w:tcW w:w="1843" w:type="dxa"/>
            <w:shd w:val="clear" w:color="auto" w:fill="auto"/>
            <w:vAlign w:val="bottom"/>
          </w:tcPr>
          <w:p w:rsidR="00230743" w:rsidRPr="00802177" w:rsidRDefault="0062660D" w:rsidP="001E3005">
            <w:pPr>
              <w:jc w:val="left"/>
              <w:rPr>
                <w:szCs w:val="22"/>
              </w:rPr>
            </w:pPr>
            <w:r w:rsidRPr="00802177">
              <w:rPr>
                <w:szCs w:val="22"/>
              </w:rPr>
              <w:t>12.4% plus £13,500</w:t>
            </w:r>
          </w:p>
        </w:tc>
        <w:tc>
          <w:tcPr>
            <w:tcW w:w="1843" w:type="dxa"/>
            <w:shd w:val="clear" w:color="auto" w:fill="auto"/>
            <w:vAlign w:val="bottom"/>
          </w:tcPr>
          <w:p w:rsidR="00230743" w:rsidRPr="00802177" w:rsidRDefault="0062660D" w:rsidP="001E3005">
            <w:pPr>
              <w:jc w:val="left"/>
              <w:rPr>
                <w:szCs w:val="22"/>
              </w:rPr>
            </w:pPr>
            <w:r w:rsidRPr="00802177">
              <w:rPr>
                <w:szCs w:val="22"/>
              </w:rPr>
              <w:t>-0.7% plus £14,100</w:t>
            </w:r>
          </w:p>
        </w:tc>
        <w:tc>
          <w:tcPr>
            <w:tcW w:w="1984" w:type="dxa"/>
            <w:shd w:val="clear" w:color="auto" w:fill="auto"/>
            <w:vAlign w:val="bottom"/>
          </w:tcPr>
          <w:p w:rsidR="00230743" w:rsidRPr="00802177" w:rsidRDefault="0062660D" w:rsidP="001E3005">
            <w:pPr>
              <w:jc w:val="left"/>
              <w:rPr>
                <w:szCs w:val="22"/>
              </w:rPr>
            </w:pPr>
            <w:r w:rsidRPr="00802177">
              <w:rPr>
                <w:szCs w:val="22"/>
              </w:rPr>
              <w:t>12.4% plus £14,100</w:t>
            </w:r>
          </w:p>
        </w:tc>
        <w:tc>
          <w:tcPr>
            <w:tcW w:w="2127" w:type="dxa"/>
            <w:shd w:val="clear" w:color="auto" w:fill="auto"/>
            <w:vAlign w:val="bottom"/>
          </w:tcPr>
          <w:p w:rsidR="00230743" w:rsidRPr="00802177" w:rsidRDefault="0062660D" w:rsidP="001E3005">
            <w:pPr>
              <w:jc w:val="left"/>
              <w:rPr>
                <w:szCs w:val="22"/>
              </w:rPr>
            </w:pPr>
            <w:r w:rsidRPr="00802177">
              <w:rPr>
                <w:szCs w:val="22"/>
              </w:rPr>
              <w:t>-0.7% plus £14,700</w:t>
            </w:r>
          </w:p>
        </w:tc>
        <w:tc>
          <w:tcPr>
            <w:tcW w:w="2409" w:type="dxa"/>
            <w:shd w:val="clear" w:color="auto" w:fill="auto"/>
            <w:vAlign w:val="bottom"/>
          </w:tcPr>
          <w:p w:rsidR="00230743" w:rsidRPr="00802177" w:rsidRDefault="0062660D" w:rsidP="001E3005">
            <w:pPr>
              <w:jc w:val="left"/>
              <w:rPr>
                <w:szCs w:val="22"/>
              </w:rPr>
            </w:pPr>
            <w:r w:rsidRPr="00802177">
              <w:rPr>
                <w:szCs w:val="22"/>
              </w:rPr>
              <w:t>12.4% plus £14,700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West Lancashire Borough Council</w:t>
            </w:r>
          </w:p>
        </w:tc>
        <w:tc>
          <w:tcPr>
            <w:tcW w:w="1842" w:type="dxa"/>
            <w:shd w:val="clear" w:color="auto" w:fill="auto"/>
            <w:vAlign w:val="center"/>
          </w:tcPr>
          <w:p w:rsidR="00230743" w:rsidRPr="00802177" w:rsidRDefault="0062660D" w:rsidP="001E3005">
            <w:pPr>
              <w:jc w:val="left"/>
              <w:rPr>
                <w:szCs w:val="22"/>
              </w:rPr>
            </w:pPr>
            <w:r w:rsidRPr="00802177">
              <w:rPr>
                <w:szCs w:val="22"/>
              </w:rPr>
              <w:t>0.6% plus £841,100</w:t>
            </w:r>
          </w:p>
        </w:tc>
        <w:tc>
          <w:tcPr>
            <w:tcW w:w="1843" w:type="dxa"/>
            <w:shd w:val="clear" w:color="auto" w:fill="auto"/>
            <w:vAlign w:val="center"/>
          </w:tcPr>
          <w:p w:rsidR="00230743" w:rsidRPr="00802177" w:rsidRDefault="0062660D" w:rsidP="001E3005">
            <w:pPr>
              <w:jc w:val="left"/>
              <w:rPr>
                <w:szCs w:val="22"/>
              </w:rPr>
            </w:pPr>
            <w:r w:rsidRPr="00802177">
              <w:rPr>
                <w:szCs w:val="22"/>
              </w:rPr>
              <w:t>13.7% plus £841,100</w:t>
            </w:r>
          </w:p>
        </w:tc>
        <w:tc>
          <w:tcPr>
            <w:tcW w:w="1843" w:type="dxa"/>
            <w:shd w:val="clear" w:color="auto" w:fill="auto"/>
            <w:vAlign w:val="center"/>
          </w:tcPr>
          <w:p w:rsidR="00230743" w:rsidRPr="00802177" w:rsidRDefault="0062660D" w:rsidP="001E3005">
            <w:pPr>
              <w:jc w:val="left"/>
              <w:rPr>
                <w:szCs w:val="22"/>
              </w:rPr>
            </w:pPr>
            <w:r w:rsidRPr="00802177">
              <w:rPr>
                <w:szCs w:val="22"/>
              </w:rPr>
              <w:t>0.6% plus £980,500</w:t>
            </w:r>
          </w:p>
        </w:tc>
        <w:tc>
          <w:tcPr>
            <w:tcW w:w="1984" w:type="dxa"/>
            <w:shd w:val="clear" w:color="auto" w:fill="auto"/>
            <w:vAlign w:val="center"/>
          </w:tcPr>
          <w:p w:rsidR="00230743" w:rsidRPr="00802177" w:rsidRDefault="0062660D" w:rsidP="001E3005">
            <w:pPr>
              <w:jc w:val="left"/>
              <w:rPr>
                <w:szCs w:val="22"/>
              </w:rPr>
            </w:pPr>
            <w:r w:rsidRPr="00802177">
              <w:rPr>
                <w:szCs w:val="22"/>
              </w:rPr>
              <w:t>13.7% plus £980,500</w:t>
            </w:r>
          </w:p>
        </w:tc>
        <w:tc>
          <w:tcPr>
            <w:tcW w:w="2127" w:type="dxa"/>
            <w:shd w:val="clear" w:color="auto" w:fill="auto"/>
            <w:vAlign w:val="center"/>
          </w:tcPr>
          <w:p w:rsidR="00230743" w:rsidRPr="00802177" w:rsidRDefault="0062660D" w:rsidP="001E3005">
            <w:pPr>
              <w:jc w:val="left"/>
              <w:rPr>
                <w:szCs w:val="22"/>
              </w:rPr>
            </w:pPr>
            <w:r w:rsidRPr="00802177">
              <w:rPr>
                <w:szCs w:val="22"/>
              </w:rPr>
              <w:t>0.6% plus £1,121,700</w:t>
            </w:r>
          </w:p>
        </w:tc>
        <w:tc>
          <w:tcPr>
            <w:tcW w:w="2409" w:type="dxa"/>
            <w:shd w:val="clear" w:color="auto" w:fill="auto"/>
            <w:vAlign w:val="center"/>
          </w:tcPr>
          <w:p w:rsidR="00230743" w:rsidRPr="00802177" w:rsidRDefault="0062660D" w:rsidP="001E3005">
            <w:pPr>
              <w:jc w:val="left"/>
              <w:rPr>
                <w:szCs w:val="22"/>
              </w:rPr>
            </w:pPr>
            <w:r w:rsidRPr="00802177">
              <w:rPr>
                <w:szCs w:val="22"/>
              </w:rPr>
              <w:t>13.7% plus £1,121,700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West Lancs Community Leisure</w:t>
            </w:r>
          </w:p>
        </w:tc>
        <w:tc>
          <w:tcPr>
            <w:tcW w:w="1842" w:type="dxa"/>
            <w:shd w:val="clear" w:color="auto" w:fill="auto"/>
            <w:vAlign w:val="center"/>
          </w:tcPr>
          <w:p w:rsidR="00230743" w:rsidRPr="00802177" w:rsidRDefault="0062660D" w:rsidP="001E3005">
            <w:pPr>
              <w:jc w:val="left"/>
              <w:rPr>
                <w:szCs w:val="22"/>
              </w:rPr>
            </w:pPr>
            <w:r w:rsidRPr="00802177">
              <w:rPr>
                <w:szCs w:val="22"/>
              </w:rPr>
              <w:t>-0.7%</w:t>
            </w:r>
          </w:p>
        </w:tc>
        <w:tc>
          <w:tcPr>
            <w:tcW w:w="1843" w:type="dxa"/>
            <w:shd w:val="clear" w:color="auto" w:fill="auto"/>
            <w:vAlign w:val="center"/>
          </w:tcPr>
          <w:p w:rsidR="00230743" w:rsidRPr="00802177" w:rsidRDefault="0062660D" w:rsidP="001E3005">
            <w:pPr>
              <w:jc w:val="left"/>
              <w:rPr>
                <w:szCs w:val="22"/>
              </w:rPr>
            </w:pPr>
            <w:r w:rsidRPr="00802177">
              <w:rPr>
                <w:szCs w:val="22"/>
              </w:rPr>
              <w:t>12.4%</w:t>
            </w:r>
          </w:p>
        </w:tc>
        <w:tc>
          <w:tcPr>
            <w:tcW w:w="1843" w:type="dxa"/>
            <w:shd w:val="clear" w:color="auto" w:fill="auto"/>
            <w:vAlign w:val="center"/>
          </w:tcPr>
          <w:p w:rsidR="00230743" w:rsidRPr="00802177" w:rsidRDefault="0062660D" w:rsidP="001E3005">
            <w:pPr>
              <w:jc w:val="left"/>
              <w:rPr>
                <w:szCs w:val="22"/>
              </w:rPr>
            </w:pPr>
            <w:r w:rsidRPr="00802177">
              <w:rPr>
                <w:szCs w:val="22"/>
              </w:rPr>
              <w:t>-0.4%</w:t>
            </w:r>
          </w:p>
        </w:tc>
        <w:tc>
          <w:tcPr>
            <w:tcW w:w="1984" w:type="dxa"/>
            <w:shd w:val="clear" w:color="auto" w:fill="auto"/>
            <w:vAlign w:val="center"/>
          </w:tcPr>
          <w:p w:rsidR="00230743" w:rsidRPr="00802177" w:rsidRDefault="0062660D" w:rsidP="001E3005">
            <w:pPr>
              <w:jc w:val="left"/>
              <w:rPr>
                <w:szCs w:val="22"/>
              </w:rPr>
            </w:pPr>
            <w:r w:rsidRPr="00802177">
              <w:rPr>
                <w:szCs w:val="22"/>
              </w:rPr>
              <w:t>12.7%</w:t>
            </w:r>
          </w:p>
        </w:tc>
        <w:tc>
          <w:tcPr>
            <w:tcW w:w="2127" w:type="dxa"/>
            <w:shd w:val="clear" w:color="auto" w:fill="auto"/>
            <w:vAlign w:val="center"/>
          </w:tcPr>
          <w:p w:rsidR="00230743" w:rsidRPr="00802177" w:rsidRDefault="0062660D" w:rsidP="001E3005">
            <w:pPr>
              <w:jc w:val="left"/>
              <w:rPr>
                <w:szCs w:val="22"/>
              </w:rPr>
            </w:pPr>
            <w:r w:rsidRPr="00802177">
              <w:rPr>
                <w:szCs w:val="22"/>
              </w:rPr>
              <w:t>-0.1%</w:t>
            </w:r>
          </w:p>
        </w:tc>
        <w:tc>
          <w:tcPr>
            <w:tcW w:w="2409" w:type="dxa"/>
            <w:shd w:val="clear" w:color="auto" w:fill="auto"/>
            <w:vAlign w:val="center"/>
          </w:tcPr>
          <w:p w:rsidR="00230743" w:rsidRPr="00802177" w:rsidRDefault="0062660D" w:rsidP="001E3005">
            <w:pPr>
              <w:jc w:val="left"/>
              <w:rPr>
                <w:szCs w:val="22"/>
              </w:rPr>
            </w:pPr>
            <w:r w:rsidRPr="00802177">
              <w:rPr>
                <w:szCs w:val="22"/>
              </w:rPr>
              <w:t>13.0%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Westcliff Primary School (Academy)</w:t>
            </w:r>
          </w:p>
        </w:tc>
        <w:tc>
          <w:tcPr>
            <w:tcW w:w="1842" w:type="dxa"/>
            <w:shd w:val="clear" w:color="auto" w:fill="auto"/>
            <w:vAlign w:val="center"/>
          </w:tcPr>
          <w:p w:rsidR="00230743" w:rsidRPr="00FF2F9D" w:rsidRDefault="0062660D" w:rsidP="001E3005">
            <w:pPr>
              <w:jc w:val="left"/>
              <w:rPr>
                <w:szCs w:val="22"/>
              </w:rPr>
            </w:pPr>
            <w:r w:rsidRPr="00FF2F9D">
              <w:rPr>
                <w:szCs w:val="22"/>
              </w:rPr>
              <w:t>1.2% plus £8,500</w:t>
            </w:r>
          </w:p>
        </w:tc>
        <w:tc>
          <w:tcPr>
            <w:tcW w:w="1843" w:type="dxa"/>
            <w:shd w:val="clear" w:color="auto" w:fill="auto"/>
            <w:vAlign w:val="center"/>
          </w:tcPr>
          <w:p w:rsidR="00230743" w:rsidRPr="00FF2F9D" w:rsidRDefault="0062660D" w:rsidP="001E3005">
            <w:pPr>
              <w:jc w:val="left"/>
              <w:rPr>
                <w:szCs w:val="22"/>
              </w:rPr>
            </w:pPr>
            <w:r w:rsidRPr="00FF2F9D">
              <w:rPr>
                <w:szCs w:val="22"/>
              </w:rPr>
              <w:t>14.3% plus £8,500</w:t>
            </w:r>
          </w:p>
        </w:tc>
        <w:tc>
          <w:tcPr>
            <w:tcW w:w="1843" w:type="dxa"/>
            <w:shd w:val="clear" w:color="auto" w:fill="auto"/>
            <w:vAlign w:val="center"/>
          </w:tcPr>
          <w:p w:rsidR="00230743" w:rsidRPr="00FF2F9D" w:rsidRDefault="0062660D" w:rsidP="001E3005">
            <w:pPr>
              <w:jc w:val="left"/>
              <w:rPr>
                <w:szCs w:val="22"/>
              </w:rPr>
            </w:pPr>
            <w:r w:rsidRPr="00FF2F9D">
              <w:rPr>
                <w:szCs w:val="22"/>
              </w:rPr>
              <w:t>1.2% plus £10,000</w:t>
            </w:r>
          </w:p>
        </w:tc>
        <w:tc>
          <w:tcPr>
            <w:tcW w:w="1984" w:type="dxa"/>
            <w:shd w:val="clear" w:color="auto" w:fill="auto"/>
            <w:vAlign w:val="center"/>
          </w:tcPr>
          <w:p w:rsidR="00230743" w:rsidRPr="00FF2F9D" w:rsidRDefault="0062660D" w:rsidP="001E3005">
            <w:pPr>
              <w:jc w:val="left"/>
              <w:rPr>
                <w:szCs w:val="22"/>
              </w:rPr>
            </w:pPr>
            <w:r w:rsidRPr="00FF2F9D">
              <w:rPr>
                <w:szCs w:val="22"/>
              </w:rPr>
              <w:t>14.3% plus £10,000</w:t>
            </w:r>
          </w:p>
        </w:tc>
        <w:tc>
          <w:tcPr>
            <w:tcW w:w="2127" w:type="dxa"/>
            <w:shd w:val="clear" w:color="auto" w:fill="auto"/>
            <w:vAlign w:val="center"/>
          </w:tcPr>
          <w:p w:rsidR="00230743" w:rsidRPr="00FF2F9D" w:rsidRDefault="0062660D" w:rsidP="001E3005">
            <w:pPr>
              <w:jc w:val="left"/>
              <w:rPr>
                <w:szCs w:val="22"/>
              </w:rPr>
            </w:pPr>
            <w:r w:rsidRPr="00FF2F9D">
              <w:rPr>
                <w:szCs w:val="22"/>
              </w:rPr>
              <w:t>1.2% plus £11,500</w:t>
            </w:r>
          </w:p>
        </w:tc>
        <w:tc>
          <w:tcPr>
            <w:tcW w:w="2409" w:type="dxa"/>
            <w:shd w:val="clear" w:color="auto" w:fill="auto"/>
            <w:vAlign w:val="center"/>
          </w:tcPr>
          <w:p w:rsidR="00230743" w:rsidRPr="00FF2F9D" w:rsidRDefault="0062660D" w:rsidP="001E3005">
            <w:pPr>
              <w:jc w:val="left"/>
              <w:rPr>
                <w:szCs w:val="22"/>
              </w:rPr>
            </w:pPr>
            <w:r w:rsidRPr="00FF2F9D">
              <w:rPr>
                <w:szCs w:val="22"/>
              </w:rPr>
              <w:t>14.3% plus £11,500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Whitworth Town Council</w:t>
            </w:r>
          </w:p>
        </w:tc>
        <w:tc>
          <w:tcPr>
            <w:tcW w:w="1842" w:type="dxa"/>
            <w:shd w:val="clear" w:color="auto" w:fill="auto"/>
            <w:vAlign w:val="center"/>
          </w:tcPr>
          <w:p w:rsidR="00230743" w:rsidRPr="00FF2F9D" w:rsidRDefault="0062660D" w:rsidP="001E3005">
            <w:pPr>
              <w:jc w:val="left"/>
              <w:rPr>
                <w:szCs w:val="22"/>
              </w:rPr>
            </w:pPr>
            <w:r w:rsidRPr="00FF2F9D">
              <w:rPr>
                <w:szCs w:val="22"/>
              </w:rPr>
              <w:t>-1.3% plus £1,700</w:t>
            </w:r>
          </w:p>
        </w:tc>
        <w:tc>
          <w:tcPr>
            <w:tcW w:w="1843" w:type="dxa"/>
            <w:shd w:val="clear" w:color="auto" w:fill="auto"/>
            <w:vAlign w:val="center"/>
          </w:tcPr>
          <w:p w:rsidR="00230743" w:rsidRPr="00FF2F9D" w:rsidRDefault="0062660D" w:rsidP="001E3005">
            <w:pPr>
              <w:jc w:val="left"/>
              <w:rPr>
                <w:szCs w:val="22"/>
              </w:rPr>
            </w:pPr>
            <w:r w:rsidRPr="00FF2F9D">
              <w:rPr>
                <w:szCs w:val="22"/>
              </w:rPr>
              <w:t>11.8% plus £1,700</w:t>
            </w:r>
          </w:p>
        </w:tc>
        <w:tc>
          <w:tcPr>
            <w:tcW w:w="1843" w:type="dxa"/>
            <w:shd w:val="clear" w:color="auto" w:fill="auto"/>
            <w:vAlign w:val="center"/>
          </w:tcPr>
          <w:p w:rsidR="00230743" w:rsidRPr="00FF2F9D" w:rsidRDefault="0062660D" w:rsidP="001E3005">
            <w:pPr>
              <w:jc w:val="left"/>
              <w:rPr>
                <w:szCs w:val="22"/>
              </w:rPr>
            </w:pPr>
            <w:r w:rsidRPr="00FF2F9D">
              <w:rPr>
                <w:szCs w:val="22"/>
              </w:rPr>
              <w:t>-1.3% plus £2,000</w:t>
            </w:r>
          </w:p>
        </w:tc>
        <w:tc>
          <w:tcPr>
            <w:tcW w:w="1984" w:type="dxa"/>
            <w:shd w:val="clear" w:color="auto" w:fill="auto"/>
            <w:vAlign w:val="center"/>
          </w:tcPr>
          <w:p w:rsidR="00230743" w:rsidRPr="00FF2F9D" w:rsidRDefault="0062660D" w:rsidP="001E3005">
            <w:pPr>
              <w:jc w:val="left"/>
              <w:rPr>
                <w:szCs w:val="22"/>
              </w:rPr>
            </w:pPr>
            <w:r w:rsidRPr="00FF2F9D">
              <w:rPr>
                <w:szCs w:val="22"/>
              </w:rPr>
              <w:t>11.8% plus £2,000</w:t>
            </w:r>
          </w:p>
        </w:tc>
        <w:tc>
          <w:tcPr>
            <w:tcW w:w="2127" w:type="dxa"/>
            <w:shd w:val="clear" w:color="auto" w:fill="auto"/>
            <w:vAlign w:val="center"/>
          </w:tcPr>
          <w:p w:rsidR="00230743" w:rsidRPr="00FF2F9D" w:rsidRDefault="0062660D" w:rsidP="001E3005">
            <w:pPr>
              <w:jc w:val="left"/>
              <w:rPr>
                <w:szCs w:val="22"/>
              </w:rPr>
            </w:pPr>
            <w:r w:rsidRPr="00FF2F9D">
              <w:rPr>
                <w:szCs w:val="22"/>
              </w:rPr>
              <w:t>-1.3% plus £2,400</w:t>
            </w:r>
          </w:p>
        </w:tc>
        <w:tc>
          <w:tcPr>
            <w:tcW w:w="2409" w:type="dxa"/>
            <w:shd w:val="clear" w:color="auto" w:fill="auto"/>
            <w:vAlign w:val="center"/>
          </w:tcPr>
          <w:p w:rsidR="00230743" w:rsidRPr="00FF2F9D" w:rsidRDefault="0062660D" w:rsidP="001E3005">
            <w:pPr>
              <w:jc w:val="left"/>
              <w:rPr>
                <w:szCs w:val="22"/>
              </w:rPr>
            </w:pPr>
            <w:r w:rsidRPr="00FF2F9D">
              <w:rPr>
                <w:szCs w:val="22"/>
              </w:rPr>
              <w:t>11.8% plus £2,400</w:t>
            </w:r>
          </w:p>
        </w:tc>
      </w:tr>
      <w:tr w:rsidR="006A2C17" w:rsidTr="007D4064">
        <w:trPr>
          <w:cantSplit/>
        </w:trPr>
        <w:tc>
          <w:tcPr>
            <w:tcW w:w="3333" w:type="dxa"/>
            <w:shd w:val="clear" w:color="auto" w:fill="auto"/>
            <w:vAlign w:val="center"/>
          </w:tcPr>
          <w:p w:rsidR="00230743" w:rsidRPr="00FF2F9D" w:rsidRDefault="0062660D" w:rsidP="001E3005">
            <w:pPr>
              <w:jc w:val="left"/>
              <w:rPr>
                <w:szCs w:val="22"/>
              </w:rPr>
            </w:pPr>
            <w:r w:rsidRPr="00FF2F9D">
              <w:rPr>
                <w:szCs w:val="22"/>
              </w:rPr>
              <w:t xml:space="preserve">Wyre Borough </w:t>
            </w:r>
            <w:r w:rsidRPr="00FF2F9D">
              <w:rPr>
                <w:szCs w:val="22"/>
              </w:rPr>
              <w:t>Council</w:t>
            </w:r>
          </w:p>
        </w:tc>
        <w:tc>
          <w:tcPr>
            <w:tcW w:w="1842" w:type="dxa"/>
            <w:shd w:val="clear" w:color="auto" w:fill="auto"/>
            <w:vAlign w:val="center"/>
          </w:tcPr>
          <w:p w:rsidR="00230743" w:rsidRPr="00FF2F9D" w:rsidRDefault="0062660D" w:rsidP="001E3005">
            <w:pPr>
              <w:jc w:val="left"/>
              <w:rPr>
                <w:szCs w:val="22"/>
              </w:rPr>
            </w:pPr>
            <w:r w:rsidRPr="00FF2F9D">
              <w:rPr>
                <w:szCs w:val="22"/>
              </w:rPr>
              <w:t>0.6% plus £764,900</w:t>
            </w:r>
          </w:p>
        </w:tc>
        <w:tc>
          <w:tcPr>
            <w:tcW w:w="1843" w:type="dxa"/>
            <w:shd w:val="clear" w:color="auto" w:fill="auto"/>
            <w:vAlign w:val="center"/>
          </w:tcPr>
          <w:p w:rsidR="00230743" w:rsidRPr="00FF2F9D" w:rsidRDefault="0062660D" w:rsidP="001E3005">
            <w:pPr>
              <w:jc w:val="left"/>
              <w:rPr>
                <w:szCs w:val="22"/>
              </w:rPr>
            </w:pPr>
            <w:r w:rsidRPr="00FF2F9D">
              <w:rPr>
                <w:szCs w:val="22"/>
              </w:rPr>
              <w:t>13.7% plus £764,900</w:t>
            </w:r>
          </w:p>
        </w:tc>
        <w:tc>
          <w:tcPr>
            <w:tcW w:w="1843" w:type="dxa"/>
            <w:shd w:val="clear" w:color="auto" w:fill="auto"/>
            <w:vAlign w:val="center"/>
          </w:tcPr>
          <w:p w:rsidR="00230743" w:rsidRPr="00FF2F9D" w:rsidRDefault="0062660D" w:rsidP="001E3005">
            <w:pPr>
              <w:jc w:val="left"/>
              <w:rPr>
                <w:szCs w:val="22"/>
              </w:rPr>
            </w:pPr>
            <w:r w:rsidRPr="00FF2F9D">
              <w:rPr>
                <w:szCs w:val="22"/>
              </w:rPr>
              <w:t>0.6% plus £796,300</w:t>
            </w:r>
          </w:p>
        </w:tc>
        <w:tc>
          <w:tcPr>
            <w:tcW w:w="1984" w:type="dxa"/>
            <w:shd w:val="clear" w:color="auto" w:fill="auto"/>
            <w:vAlign w:val="center"/>
          </w:tcPr>
          <w:p w:rsidR="00230743" w:rsidRPr="00FF2F9D" w:rsidRDefault="0062660D" w:rsidP="001E3005">
            <w:pPr>
              <w:jc w:val="left"/>
              <w:rPr>
                <w:szCs w:val="22"/>
              </w:rPr>
            </w:pPr>
            <w:r w:rsidRPr="00FF2F9D">
              <w:rPr>
                <w:szCs w:val="22"/>
              </w:rPr>
              <w:t>13.7% plus £796,300</w:t>
            </w:r>
          </w:p>
        </w:tc>
        <w:tc>
          <w:tcPr>
            <w:tcW w:w="2127" w:type="dxa"/>
            <w:shd w:val="clear" w:color="auto" w:fill="auto"/>
            <w:vAlign w:val="center"/>
          </w:tcPr>
          <w:p w:rsidR="00230743" w:rsidRPr="00FF2F9D" w:rsidRDefault="0062660D" w:rsidP="001E3005">
            <w:pPr>
              <w:jc w:val="left"/>
              <w:rPr>
                <w:szCs w:val="22"/>
              </w:rPr>
            </w:pPr>
            <w:r w:rsidRPr="00FF2F9D">
              <w:rPr>
                <w:szCs w:val="22"/>
              </w:rPr>
              <w:t>0.6% plus £828,900</w:t>
            </w:r>
          </w:p>
        </w:tc>
        <w:tc>
          <w:tcPr>
            <w:tcW w:w="2409" w:type="dxa"/>
            <w:shd w:val="clear" w:color="auto" w:fill="auto"/>
            <w:vAlign w:val="center"/>
          </w:tcPr>
          <w:p w:rsidR="00230743" w:rsidRPr="00FF2F9D" w:rsidRDefault="0062660D" w:rsidP="001E3005">
            <w:pPr>
              <w:jc w:val="left"/>
              <w:rPr>
                <w:szCs w:val="22"/>
              </w:rPr>
            </w:pPr>
            <w:r w:rsidRPr="00FF2F9D">
              <w:rPr>
                <w:szCs w:val="22"/>
              </w:rPr>
              <w:t>13.7% plus £828,900</w:t>
            </w:r>
          </w:p>
        </w:tc>
      </w:tr>
      <w:tr w:rsidR="006A2C17" w:rsidTr="007D4064">
        <w:trPr>
          <w:cantSplit/>
          <w:trHeight w:val="759"/>
        </w:trPr>
        <w:tc>
          <w:tcPr>
            <w:tcW w:w="3333" w:type="dxa"/>
            <w:shd w:val="clear" w:color="auto" w:fill="auto"/>
            <w:vAlign w:val="center"/>
          </w:tcPr>
          <w:p w:rsidR="00230743" w:rsidRPr="00FF2F9D" w:rsidRDefault="0062660D" w:rsidP="001E3005">
            <w:pPr>
              <w:jc w:val="left"/>
              <w:rPr>
                <w:szCs w:val="22"/>
              </w:rPr>
            </w:pPr>
            <w:r w:rsidRPr="00FF2F9D">
              <w:rPr>
                <w:szCs w:val="22"/>
              </w:rPr>
              <w:t>Wyre Housing Association</w:t>
            </w:r>
          </w:p>
        </w:tc>
        <w:tc>
          <w:tcPr>
            <w:tcW w:w="1842" w:type="dxa"/>
            <w:shd w:val="clear" w:color="auto" w:fill="auto"/>
            <w:vAlign w:val="center"/>
          </w:tcPr>
          <w:p w:rsidR="00230743" w:rsidRPr="00FF2F9D" w:rsidRDefault="0062660D" w:rsidP="001E3005">
            <w:pPr>
              <w:jc w:val="left"/>
              <w:rPr>
                <w:szCs w:val="22"/>
              </w:rPr>
            </w:pPr>
            <w:r w:rsidRPr="00FF2F9D">
              <w:rPr>
                <w:szCs w:val="22"/>
              </w:rPr>
              <w:t>5.2% plus £148,400</w:t>
            </w:r>
          </w:p>
        </w:tc>
        <w:tc>
          <w:tcPr>
            <w:tcW w:w="1843" w:type="dxa"/>
            <w:shd w:val="clear" w:color="auto" w:fill="auto"/>
            <w:vAlign w:val="center"/>
          </w:tcPr>
          <w:p w:rsidR="00230743" w:rsidRPr="00FF2F9D" w:rsidRDefault="0062660D" w:rsidP="001E3005">
            <w:pPr>
              <w:jc w:val="left"/>
              <w:rPr>
                <w:szCs w:val="22"/>
              </w:rPr>
            </w:pPr>
            <w:r w:rsidRPr="00FF2F9D">
              <w:rPr>
                <w:szCs w:val="22"/>
              </w:rPr>
              <w:t>18.3% plus £148,400</w:t>
            </w:r>
          </w:p>
        </w:tc>
        <w:tc>
          <w:tcPr>
            <w:tcW w:w="1843" w:type="dxa"/>
            <w:shd w:val="clear" w:color="auto" w:fill="auto"/>
            <w:vAlign w:val="center"/>
          </w:tcPr>
          <w:p w:rsidR="00230743" w:rsidRPr="00FF2F9D" w:rsidRDefault="0062660D" w:rsidP="001E3005">
            <w:pPr>
              <w:jc w:val="left"/>
              <w:rPr>
                <w:szCs w:val="22"/>
              </w:rPr>
            </w:pPr>
            <w:r w:rsidRPr="00FF2F9D">
              <w:rPr>
                <w:szCs w:val="22"/>
              </w:rPr>
              <w:t>5.2% plus £198,500</w:t>
            </w:r>
          </w:p>
        </w:tc>
        <w:tc>
          <w:tcPr>
            <w:tcW w:w="1984" w:type="dxa"/>
            <w:shd w:val="clear" w:color="auto" w:fill="auto"/>
            <w:vAlign w:val="center"/>
          </w:tcPr>
          <w:p w:rsidR="00230743" w:rsidRPr="00FF2F9D" w:rsidRDefault="0062660D" w:rsidP="001E3005">
            <w:pPr>
              <w:jc w:val="left"/>
              <w:rPr>
                <w:szCs w:val="22"/>
              </w:rPr>
            </w:pPr>
            <w:r w:rsidRPr="00FF2F9D">
              <w:rPr>
                <w:szCs w:val="22"/>
              </w:rPr>
              <w:t>18.3% plus £198,500</w:t>
            </w:r>
          </w:p>
        </w:tc>
        <w:tc>
          <w:tcPr>
            <w:tcW w:w="2127" w:type="dxa"/>
            <w:shd w:val="clear" w:color="auto" w:fill="auto"/>
            <w:vAlign w:val="center"/>
          </w:tcPr>
          <w:p w:rsidR="00230743" w:rsidRPr="00FF2F9D" w:rsidRDefault="0062660D" w:rsidP="001E3005">
            <w:pPr>
              <w:jc w:val="left"/>
              <w:rPr>
                <w:szCs w:val="22"/>
              </w:rPr>
            </w:pPr>
            <w:r w:rsidRPr="00FF2F9D">
              <w:rPr>
                <w:szCs w:val="22"/>
              </w:rPr>
              <w:t>5.2% plus £249,000</w:t>
            </w:r>
          </w:p>
        </w:tc>
        <w:tc>
          <w:tcPr>
            <w:tcW w:w="2409" w:type="dxa"/>
            <w:shd w:val="clear" w:color="auto" w:fill="auto"/>
            <w:vAlign w:val="center"/>
          </w:tcPr>
          <w:p w:rsidR="00230743" w:rsidRPr="00FF2F9D" w:rsidRDefault="0062660D" w:rsidP="001E3005">
            <w:pPr>
              <w:jc w:val="left"/>
              <w:rPr>
                <w:szCs w:val="22"/>
              </w:rPr>
            </w:pPr>
            <w:r w:rsidRPr="00FF2F9D">
              <w:rPr>
                <w:szCs w:val="22"/>
              </w:rPr>
              <w:t xml:space="preserve">18.3% </w:t>
            </w:r>
            <w:r w:rsidRPr="00FF2F9D">
              <w:rPr>
                <w:szCs w:val="22"/>
              </w:rPr>
              <w:t>plus £249,000</w:t>
            </w:r>
          </w:p>
        </w:tc>
      </w:tr>
    </w:tbl>
    <w:p w:rsidR="00230743" w:rsidRDefault="0062660D" w:rsidP="001E3005">
      <w:pPr>
        <w:jc w:val="left"/>
        <w:rPr>
          <w:b/>
          <w:sz w:val="20"/>
        </w:rPr>
      </w:pPr>
    </w:p>
    <w:p w:rsidR="001E3005" w:rsidRDefault="0062660D" w:rsidP="001E3005">
      <w:pPr>
        <w:jc w:val="left"/>
        <w:rPr>
          <w:b/>
          <w:sz w:val="20"/>
        </w:rPr>
      </w:pPr>
    </w:p>
    <w:tbl>
      <w:tblPr>
        <w:tblStyle w:val="TableGrid"/>
        <w:tblW w:w="0" w:type="auto"/>
        <w:tblLook w:val="01E0" w:firstRow="1" w:lastRow="1" w:firstColumn="1" w:lastColumn="1" w:noHBand="0" w:noVBand="0"/>
      </w:tblPr>
      <w:tblGrid>
        <w:gridCol w:w="4428"/>
        <w:gridCol w:w="2768"/>
      </w:tblGrid>
      <w:tr w:rsidR="006A2C17" w:rsidTr="00D35E52">
        <w:tc>
          <w:tcPr>
            <w:tcW w:w="4428" w:type="dxa"/>
          </w:tcPr>
          <w:p w:rsidR="00230743" w:rsidRPr="00D35E52" w:rsidRDefault="0062660D" w:rsidP="001E3005">
            <w:pPr>
              <w:jc w:val="left"/>
              <w:rPr>
                <w:b/>
              </w:rPr>
            </w:pPr>
            <w:r w:rsidRPr="00D35E52">
              <w:rPr>
                <w:b/>
              </w:rPr>
              <w:t>Former Employers</w:t>
            </w:r>
          </w:p>
        </w:tc>
        <w:tc>
          <w:tcPr>
            <w:tcW w:w="2768" w:type="dxa"/>
          </w:tcPr>
          <w:p w:rsidR="00230743" w:rsidRPr="00D35E52" w:rsidRDefault="0062660D" w:rsidP="001E3005">
            <w:pPr>
              <w:jc w:val="left"/>
              <w:rPr>
                <w:b/>
              </w:rPr>
            </w:pPr>
            <w:r w:rsidRPr="00D35E52">
              <w:rPr>
                <w:b/>
              </w:rPr>
              <w:t>Proportion of Pension Increases to be Recharged</w:t>
            </w:r>
          </w:p>
          <w:p w:rsidR="00230743" w:rsidRPr="00D35E52" w:rsidRDefault="0062660D" w:rsidP="001E3005">
            <w:pPr>
              <w:jc w:val="left"/>
              <w:rPr>
                <w:b/>
              </w:rPr>
            </w:pPr>
            <w:r w:rsidRPr="00D35E52">
              <w:rPr>
                <w:b/>
              </w:rPr>
              <w:t>%</w:t>
            </w:r>
          </w:p>
        </w:tc>
      </w:tr>
      <w:tr w:rsidR="006A2C17" w:rsidTr="00D35E52">
        <w:tc>
          <w:tcPr>
            <w:tcW w:w="4428" w:type="dxa"/>
            <w:vAlign w:val="bottom"/>
          </w:tcPr>
          <w:p w:rsidR="00230743" w:rsidRPr="00D35E52" w:rsidRDefault="0062660D" w:rsidP="001E3005">
            <w:pPr>
              <w:jc w:val="left"/>
            </w:pPr>
            <w:r w:rsidRPr="00D35E52">
              <w:t>Blackpool &amp; Fylde Society for the Deaf</w:t>
            </w:r>
          </w:p>
        </w:tc>
        <w:tc>
          <w:tcPr>
            <w:tcW w:w="2768" w:type="dxa"/>
            <w:vAlign w:val="bottom"/>
          </w:tcPr>
          <w:p w:rsidR="00230743" w:rsidRPr="00D35E52" w:rsidRDefault="0062660D" w:rsidP="001E3005">
            <w:pPr>
              <w:jc w:val="left"/>
            </w:pPr>
            <w:r w:rsidRPr="00D35E52">
              <w:t>100</w:t>
            </w:r>
          </w:p>
        </w:tc>
      </w:tr>
      <w:tr w:rsidR="006A2C17" w:rsidTr="00D35E52">
        <w:tc>
          <w:tcPr>
            <w:tcW w:w="4428" w:type="dxa"/>
            <w:vAlign w:val="bottom"/>
          </w:tcPr>
          <w:p w:rsidR="00230743" w:rsidRPr="00D35E52" w:rsidRDefault="0062660D" w:rsidP="001E3005">
            <w:pPr>
              <w:jc w:val="left"/>
            </w:pPr>
            <w:r w:rsidRPr="00D35E52">
              <w:t>Burnley &amp; Pendle Development Association</w:t>
            </w:r>
          </w:p>
        </w:tc>
        <w:tc>
          <w:tcPr>
            <w:tcW w:w="2768" w:type="dxa"/>
            <w:vAlign w:val="bottom"/>
          </w:tcPr>
          <w:p w:rsidR="00230743" w:rsidRPr="00D35E52" w:rsidRDefault="0062660D" w:rsidP="001E3005">
            <w:pPr>
              <w:jc w:val="left"/>
            </w:pPr>
            <w:r w:rsidRPr="00D35E52">
              <w:t>100</w:t>
            </w:r>
          </w:p>
        </w:tc>
      </w:tr>
      <w:tr w:rsidR="006A2C17" w:rsidTr="00D35E52">
        <w:tc>
          <w:tcPr>
            <w:tcW w:w="4428" w:type="dxa"/>
            <w:vAlign w:val="bottom"/>
          </w:tcPr>
          <w:p w:rsidR="00230743" w:rsidRPr="00D35E52" w:rsidRDefault="0062660D" w:rsidP="001E3005">
            <w:pPr>
              <w:jc w:val="left"/>
            </w:pPr>
            <w:r w:rsidRPr="00D35E52">
              <w:t>Burton Manor Residential College</w:t>
            </w:r>
          </w:p>
        </w:tc>
        <w:tc>
          <w:tcPr>
            <w:tcW w:w="2768" w:type="dxa"/>
            <w:vAlign w:val="bottom"/>
          </w:tcPr>
          <w:p w:rsidR="00230743" w:rsidRPr="00D35E52" w:rsidRDefault="0062660D" w:rsidP="001E3005">
            <w:pPr>
              <w:jc w:val="left"/>
            </w:pPr>
            <w:r w:rsidRPr="00D35E52">
              <w:t>100</w:t>
            </w:r>
          </w:p>
        </w:tc>
      </w:tr>
      <w:tr w:rsidR="006A2C17" w:rsidTr="00D35E52">
        <w:tc>
          <w:tcPr>
            <w:tcW w:w="4428" w:type="dxa"/>
            <w:vAlign w:val="bottom"/>
          </w:tcPr>
          <w:p w:rsidR="00230743" w:rsidRPr="00D35E52" w:rsidRDefault="0062660D" w:rsidP="001E3005">
            <w:pPr>
              <w:jc w:val="left"/>
            </w:pPr>
            <w:r w:rsidRPr="00D35E52">
              <w:t>Ex Department of Transport</w:t>
            </w:r>
          </w:p>
        </w:tc>
        <w:tc>
          <w:tcPr>
            <w:tcW w:w="2768" w:type="dxa"/>
            <w:vAlign w:val="bottom"/>
          </w:tcPr>
          <w:p w:rsidR="00230743" w:rsidRPr="00D35E52" w:rsidRDefault="0062660D" w:rsidP="001E3005">
            <w:pPr>
              <w:jc w:val="left"/>
            </w:pPr>
            <w:r w:rsidRPr="00D35E52">
              <w:t>100</w:t>
            </w:r>
          </w:p>
        </w:tc>
      </w:tr>
      <w:tr w:rsidR="006A2C17" w:rsidTr="00D35E52">
        <w:tc>
          <w:tcPr>
            <w:tcW w:w="4428" w:type="dxa"/>
            <w:vAlign w:val="bottom"/>
          </w:tcPr>
          <w:p w:rsidR="00230743" w:rsidRPr="00D35E52" w:rsidRDefault="0062660D" w:rsidP="001E3005">
            <w:pPr>
              <w:jc w:val="left"/>
            </w:pPr>
            <w:r w:rsidRPr="00D35E52">
              <w:t>Ex National</w:t>
            </w:r>
            <w:r w:rsidRPr="00D35E52">
              <w:t xml:space="preserve"> Health Service</w:t>
            </w:r>
          </w:p>
        </w:tc>
        <w:tc>
          <w:tcPr>
            <w:tcW w:w="2768" w:type="dxa"/>
            <w:vAlign w:val="bottom"/>
          </w:tcPr>
          <w:p w:rsidR="00230743" w:rsidRPr="00D35E52" w:rsidRDefault="0062660D" w:rsidP="001E3005">
            <w:pPr>
              <w:jc w:val="left"/>
            </w:pPr>
            <w:r w:rsidRPr="00D35E52">
              <w:t>100</w:t>
            </w:r>
          </w:p>
        </w:tc>
      </w:tr>
      <w:tr w:rsidR="006A2C17" w:rsidTr="00D35E52">
        <w:tc>
          <w:tcPr>
            <w:tcW w:w="4428" w:type="dxa"/>
            <w:vAlign w:val="bottom"/>
          </w:tcPr>
          <w:p w:rsidR="00230743" w:rsidRPr="00D35E52" w:rsidRDefault="0062660D" w:rsidP="001E3005">
            <w:pPr>
              <w:jc w:val="left"/>
            </w:pPr>
            <w:r w:rsidRPr="00D35E52">
              <w:t>Fylde Coast Development Association</w:t>
            </w:r>
          </w:p>
        </w:tc>
        <w:tc>
          <w:tcPr>
            <w:tcW w:w="2768" w:type="dxa"/>
            <w:vAlign w:val="bottom"/>
          </w:tcPr>
          <w:p w:rsidR="00230743" w:rsidRPr="00D35E52" w:rsidRDefault="0062660D" w:rsidP="001E3005">
            <w:pPr>
              <w:jc w:val="left"/>
            </w:pPr>
            <w:r w:rsidRPr="00D35E52">
              <w:t>100</w:t>
            </w:r>
          </w:p>
        </w:tc>
      </w:tr>
      <w:tr w:rsidR="006A2C17" w:rsidTr="00D35E52">
        <w:tc>
          <w:tcPr>
            <w:tcW w:w="4428" w:type="dxa"/>
            <w:vAlign w:val="bottom"/>
          </w:tcPr>
          <w:p w:rsidR="00230743" w:rsidRPr="00D35E52" w:rsidRDefault="0062660D" w:rsidP="001E3005">
            <w:pPr>
              <w:jc w:val="left"/>
            </w:pPr>
            <w:r w:rsidRPr="00D35E52">
              <w:t>Lancashire South East Probation Committee</w:t>
            </w:r>
          </w:p>
        </w:tc>
        <w:tc>
          <w:tcPr>
            <w:tcW w:w="2768" w:type="dxa"/>
            <w:vAlign w:val="bottom"/>
          </w:tcPr>
          <w:p w:rsidR="00230743" w:rsidRPr="00D35E52" w:rsidRDefault="0062660D" w:rsidP="001E3005">
            <w:pPr>
              <w:jc w:val="left"/>
            </w:pPr>
            <w:r w:rsidRPr="00D35E52">
              <w:t>100</w:t>
            </w:r>
          </w:p>
        </w:tc>
      </w:tr>
      <w:tr w:rsidR="006A2C17" w:rsidTr="00D35E52">
        <w:tc>
          <w:tcPr>
            <w:tcW w:w="4428" w:type="dxa"/>
            <w:vAlign w:val="bottom"/>
          </w:tcPr>
          <w:p w:rsidR="00230743" w:rsidRPr="00D35E52" w:rsidRDefault="0062660D" w:rsidP="001E3005">
            <w:pPr>
              <w:jc w:val="left"/>
            </w:pPr>
            <w:r w:rsidRPr="00D35E52">
              <w:t>Spastics Society</w:t>
            </w:r>
          </w:p>
        </w:tc>
        <w:tc>
          <w:tcPr>
            <w:tcW w:w="2768" w:type="dxa"/>
            <w:vAlign w:val="bottom"/>
          </w:tcPr>
          <w:p w:rsidR="00230743" w:rsidRPr="00D35E52" w:rsidRDefault="0062660D" w:rsidP="001E3005">
            <w:pPr>
              <w:jc w:val="left"/>
            </w:pPr>
            <w:r w:rsidRPr="00D35E52">
              <w:t>100</w:t>
            </w:r>
          </w:p>
        </w:tc>
      </w:tr>
    </w:tbl>
    <w:p w:rsidR="00230743" w:rsidRDefault="0062660D" w:rsidP="001E3005">
      <w:pPr>
        <w:jc w:val="left"/>
      </w:pPr>
    </w:p>
    <w:p w:rsidR="00230743" w:rsidRDefault="0062660D" w:rsidP="00230743">
      <w:r>
        <w:t>Notes:</w:t>
      </w:r>
    </w:p>
    <w:p w:rsidR="00230743" w:rsidRPr="00D35E52" w:rsidRDefault="0062660D" w:rsidP="00CD7572">
      <w:pPr>
        <w:pStyle w:val="ListNumber"/>
        <w:numPr>
          <w:ilvl w:val="0"/>
          <w:numId w:val="30"/>
        </w:numPr>
        <w:tabs>
          <w:tab w:val="left" w:pos="720"/>
        </w:tabs>
        <w:rPr>
          <w:rFonts w:ascii="Calibri" w:hAnsi="Calibri"/>
          <w:color w:val="000000"/>
          <w:sz w:val="24"/>
          <w:szCs w:val="24"/>
        </w:rPr>
      </w:pPr>
      <w:r w:rsidRPr="00D35E52">
        <w:rPr>
          <w:sz w:val="24"/>
          <w:szCs w:val="24"/>
        </w:rPr>
        <w:t xml:space="preserve">The £ lump sum payments for Blackpool Fylde Wyre Society for the Blind and South Ribble Borough Council are payable </w:t>
      </w:r>
      <w:r w:rsidRPr="00D35E52">
        <w:rPr>
          <w:sz w:val="24"/>
          <w:szCs w:val="24"/>
        </w:rPr>
        <w:t>in April 2014;</w:t>
      </w:r>
    </w:p>
    <w:p w:rsidR="00230743" w:rsidRPr="00D35E52" w:rsidRDefault="0062660D" w:rsidP="001E3005">
      <w:pPr>
        <w:pStyle w:val="ListNumber"/>
        <w:numPr>
          <w:ilvl w:val="0"/>
          <w:numId w:val="0"/>
        </w:numPr>
        <w:tabs>
          <w:tab w:val="left" w:pos="720"/>
        </w:tabs>
        <w:ind w:left="720"/>
        <w:rPr>
          <w:rFonts w:ascii="Calibri" w:hAnsi="Calibri"/>
          <w:color w:val="000000"/>
          <w:sz w:val="24"/>
          <w:szCs w:val="24"/>
        </w:rPr>
      </w:pPr>
    </w:p>
    <w:p w:rsidR="00230743" w:rsidRPr="00D35E52" w:rsidRDefault="0062660D" w:rsidP="00CD7572">
      <w:pPr>
        <w:pStyle w:val="ListNumber"/>
        <w:numPr>
          <w:ilvl w:val="0"/>
          <w:numId w:val="30"/>
        </w:numPr>
        <w:tabs>
          <w:tab w:val="left" w:pos="720"/>
        </w:tabs>
        <w:rPr>
          <w:sz w:val="24"/>
          <w:szCs w:val="24"/>
        </w:rPr>
      </w:pPr>
      <w:r w:rsidRPr="00D35E52">
        <w:rPr>
          <w:sz w:val="24"/>
          <w:szCs w:val="24"/>
        </w:rPr>
        <w:t>The percentages shown are percentages of pensionable pay and apply to all members, including those who are members under the 50:50 option under the LGPS from 1 April 2014;</w:t>
      </w:r>
    </w:p>
    <w:p w:rsidR="00230743" w:rsidRPr="00D35E52" w:rsidRDefault="0062660D" w:rsidP="001E3005">
      <w:pPr>
        <w:pStyle w:val="ListParagraph"/>
        <w:jc w:val="left"/>
      </w:pPr>
    </w:p>
    <w:p w:rsidR="00230743" w:rsidRPr="00D35E52" w:rsidRDefault="0062660D" w:rsidP="00CD7572">
      <w:pPr>
        <w:pStyle w:val="ListNumber"/>
        <w:numPr>
          <w:ilvl w:val="0"/>
          <w:numId w:val="30"/>
        </w:numPr>
        <w:tabs>
          <w:tab w:val="left" w:pos="720"/>
        </w:tabs>
        <w:rPr>
          <w:sz w:val="24"/>
          <w:szCs w:val="24"/>
        </w:rPr>
      </w:pPr>
      <w:r w:rsidRPr="00D35E52">
        <w:rPr>
          <w:sz w:val="24"/>
          <w:szCs w:val="24"/>
        </w:rPr>
        <w:t xml:space="preserve">The contributions for </w:t>
      </w:r>
      <w:proofErr w:type="spellStart"/>
      <w:r w:rsidRPr="00D35E52">
        <w:rPr>
          <w:sz w:val="24"/>
          <w:szCs w:val="24"/>
        </w:rPr>
        <w:t>Liberata</w:t>
      </w:r>
      <w:proofErr w:type="spellEnd"/>
      <w:r w:rsidRPr="00D35E52">
        <w:rPr>
          <w:sz w:val="24"/>
          <w:szCs w:val="24"/>
        </w:rPr>
        <w:t xml:space="preserve"> UK Ltd (Chorley) assume the contract will terminate in July 2014.  If the contract is extended for any reason then the contributions given above will require revision; </w:t>
      </w:r>
    </w:p>
    <w:p w:rsidR="00DB04AF" w:rsidRPr="00D35E52" w:rsidRDefault="0062660D" w:rsidP="001E3005">
      <w:pPr>
        <w:autoSpaceDE/>
        <w:autoSpaceDN/>
        <w:adjustRightInd/>
        <w:spacing w:after="0"/>
        <w:jc w:val="left"/>
      </w:pPr>
    </w:p>
    <w:p w:rsidR="00230743" w:rsidRPr="00D35E52" w:rsidRDefault="0062660D" w:rsidP="00CD7572">
      <w:pPr>
        <w:pStyle w:val="ListNumber"/>
        <w:numPr>
          <w:ilvl w:val="0"/>
          <w:numId w:val="30"/>
        </w:numPr>
        <w:tabs>
          <w:tab w:val="left" w:pos="720"/>
        </w:tabs>
        <w:rPr>
          <w:sz w:val="24"/>
          <w:szCs w:val="24"/>
        </w:rPr>
      </w:pPr>
      <w:r w:rsidRPr="00D35E52">
        <w:rPr>
          <w:sz w:val="24"/>
          <w:szCs w:val="24"/>
        </w:rPr>
        <w:t>The contributions for the Office of the Police and Crim</w:t>
      </w:r>
      <w:r w:rsidRPr="00D35E52">
        <w:rPr>
          <w:sz w:val="24"/>
          <w:szCs w:val="24"/>
        </w:rPr>
        <w:t>e Commissioner will need to be reallocated between that employer and the Office of the Chief Constable on its admission to the Fund.  The allocation will be determined by the Office of the Police and Crime Commissioner and the Administering Authority actin</w:t>
      </w:r>
      <w:r w:rsidRPr="00D35E52">
        <w:rPr>
          <w:sz w:val="24"/>
          <w:szCs w:val="24"/>
        </w:rPr>
        <w:t>g on actuarial advice;</w:t>
      </w:r>
    </w:p>
    <w:p w:rsidR="00230743" w:rsidRPr="00D35E52" w:rsidRDefault="0062660D" w:rsidP="001E3005">
      <w:pPr>
        <w:pStyle w:val="ListNumber"/>
        <w:numPr>
          <w:ilvl w:val="0"/>
          <w:numId w:val="0"/>
        </w:numPr>
        <w:tabs>
          <w:tab w:val="left" w:pos="720"/>
        </w:tabs>
        <w:ind w:left="720"/>
        <w:rPr>
          <w:sz w:val="24"/>
          <w:szCs w:val="24"/>
        </w:rPr>
      </w:pPr>
    </w:p>
    <w:p w:rsidR="00230743" w:rsidRPr="00D35E52" w:rsidRDefault="0062660D" w:rsidP="00CD7572">
      <w:pPr>
        <w:pStyle w:val="ListNumber"/>
        <w:numPr>
          <w:ilvl w:val="0"/>
          <w:numId w:val="30"/>
        </w:numPr>
        <w:tabs>
          <w:tab w:val="left" w:pos="720"/>
        </w:tabs>
        <w:rPr>
          <w:sz w:val="24"/>
          <w:szCs w:val="24"/>
        </w:rPr>
      </w:pPr>
      <w:r w:rsidRPr="00D35E52">
        <w:rPr>
          <w:sz w:val="24"/>
          <w:szCs w:val="24"/>
        </w:rPr>
        <w:t>The total contributions payable by each employer each year will be subject to a minimum of zero;</w:t>
      </w:r>
    </w:p>
    <w:p w:rsidR="00230743" w:rsidRPr="00D35E52" w:rsidRDefault="0062660D" w:rsidP="001E3005">
      <w:pPr>
        <w:pStyle w:val="ListNumber"/>
        <w:numPr>
          <w:ilvl w:val="0"/>
          <w:numId w:val="0"/>
        </w:numPr>
        <w:tabs>
          <w:tab w:val="left" w:pos="720"/>
        </w:tabs>
        <w:ind w:left="720"/>
        <w:rPr>
          <w:sz w:val="24"/>
          <w:szCs w:val="24"/>
        </w:rPr>
      </w:pPr>
    </w:p>
    <w:p w:rsidR="00230743" w:rsidRPr="00D35E52" w:rsidRDefault="0062660D" w:rsidP="00CD7572">
      <w:pPr>
        <w:pStyle w:val="ListNumber"/>
        <w:numPr>
          <w:ilvl w:val="0"/>
          <w:numId w:val="30"/>
        </w:numPr>
        <w:tabs>
          <w:tab w:val="left" w:pos="720"/>
        </w:tabs>
        <w:rPr>
          <w:sz w:val="24"/>
          <w:szCs w:val="24"/>
        </w:rPr>
      </w:pPr>
      <w:r w:rsidRPr="00D35E52">
        <w:rPr>
          <w:sz w:val="24"/>
          <w:szCs w:val="24"/>
        </w:rPr>
        <w:t>In cases where an element of an existing Scheme Employer’s deficit is transferred to a new employer on its inception, the Scheme Emplo</w:t>
      </w:r>
      <w:r w:rsidRPr="00D35E52">
        <w:rPr>
          <w:sz w:val="24"/>
          <w:szCs w:val="24"/>
        </w:rPr>
        <w:t xml:space="preserve">yer’s deficit recovery contributions shown in this certificate may be reallocated between the Scheme Employer and the new employer to reflect this, on advice from the actuary.  </w:t>
      </w:r>
    </w:p>
    <w:p w:rsidR="00230743" w:rsidRPr="00D35E52" w:rsidRDefault="0062660D" w:rsidP="001E3005">
      <w:pPr>
        <w:pStyle w:val="ListParagraph"/>
        <w:jc w:val="left"/>
      </w:pPr>
    </w:p>
    <w:p w:rsidR="00230743" w:rsidRPr="00D35E52" w:rsidRDefault="0062660D" w:rsidP="00CD7572">
      <w:pPr>
        <w:pStyle w:val="ListNumber"/>
        <w:numPr>
          <w:ilvl w:val="0"/>
          <w:numId w:val="30"/>
        </w:numPr>
        <w:tabs>
          <w:tab w:val="left" w:pos="720"/>
        </w:tabs>
        <w:rPr>
          <w:sz w:val="24"/>
          <w:szCs w:val="24"/>
        </w:rPr>
      </w:pPr>
      <w:r w:rsidRPr="00D35E52">
        <w:rPr>
          <w:sz w:val="24"/>
          <w:szCs w:val="24"/>
        </w:rPr>
        <w:t>There are a number of additional employers who no longer had any active membe</w:t>
      </w:r>
      <w:r w:rsidRPr="00D35E52">
        <w:rPr>
          <w:sz w:val="24"/>
          <w:szCs w:val="24"/>
        </w:rPr>
        <w:t xml:space="preserve">rs within the Fund as at the valuation date.  Any final contribution requirement for these employers will be assessed by the Fund in due course on the basis of actuarial advice.  </w:t>
      </w:r>
    </w:p>
    <w:p w:rsidR="007B0A7E" w:rsidRDefault="0062660D">
      <w:pPr>
        <w:autoSpaceDE/>
        <w:autoSpaceDN/>
        <w:adjustRightInd/>
        <w:spacing w:after="0"/>
        <w:jc w:val="left"/>
      </w:pPr>
    </w:p>
    <w:p w:rsidR="007B0A7E" w:rsidRDefault="0062660D">
      <w:pPr>
        <w:autoSpaceDE/>
        <w:autoSpaceDN/>
        <w:adjustRightInd/>
        <w:spacing w:after="0"/>
        <w:jc w:val="left"/>
        <w:sectPr w:rsidR="007B0A7E" w:rsidSect="001E3005">
          <w:headerReference w:type="first" r:id="rId53"/>
          <w:pgSz w:w="16840" w:h="11900" w:orient="landscape" w:code="9"/>
          <w:pgMar w:top="720" w:right="720" w:bottom="720" w:left="720" w:header="284" w:footer="284" w:gutter="0"/>
          <w:cols w:space="292"/>
          <w:docGrid w:linePitch="326"/>
        </w:sectPr>
      </w:pPr>
      <w:r>
        <w:br w:type="page"/>
      </w:r>
    </w:p>
    <w:p w:rsidR="007B0A7E" w:rsidRDefault="0062660D">
      <w:pPr>
        <w:autoSpaceDE/>
        <w:autoSpaceDN/>
        <w:adjustRightInd/>
        <w:spacing w:after="0"/>
        <w:jc w:val="left"/>
      </w:pPr>
    </w:p>
    <w:p w:rsidR="007B0A7E" w:rsidRPr="00A54A72" w:rsidRDefault="0062660D" w:rsidP="00CD7572">
      <w:pPr>
        <w:numPr>
          <w:ilvl w:val="0"/>
          <w:numId w:val="15"/>
        </w:numPr>
        <w:autoSpaceDE/>
        <w:autoSpaceDN/>
        <w:adjustRightInd/>
        <w:spacing w:after="0"/>
        <w:jc w:val="left"/>
        <w:rPr>
          <w:sz w:val="40"/>
          <w:szCs w:val="40"/>
        </w:rPr>
      </w:pPr>
      <w:r w:rsidRPr="00A54A72">
        <w:rPr>
          <w:b/>
          <w:snapToGrid w:val="0"/>
          <w:sz w:val="40"/>
          <w:szCs w:val="40"/>
        </w:rPr>
        <w:t>Contacts</w:t>
      </w:r>
    </w:p>
    <w:p w:rsidR="007B0A7E" w:rsidRPr="00E87CD5" w:rsidRDefault="0062660D" w:rsidP="007B0A7E">
      <w:pPr>
        <w:rPr>
          <w:b/>
          <w:sz w:val="28"/>
          <w:szCs w:val="28"/>
        </w:rPr>
      </w:pPr>
    </w:p>
    <w:p w:rsidR="007B0A7E" w:rsidRPr="00E87CD5" w:rsidRDefault="0062660D" w:rsidP="007B0A7E">
      <w:pPr>
        <w:rPr>
          <w:rFonts w:cs="Arial"/>
          <w:color w:val="FF0000"/>
        </w:rPr>
      </w:pPr>
      <w:hyperlink r:id="rId54" w:history="1">
        <w:r w:rsidRPr="00E87CD5">
          <w:rPr>
            <w:rStyle w:val="Hyperlink"/>
            <w:b/>
          </w:rPr>
          <w:t>http://www.yourpensionservice.org.uk</w:t>
        </w:r>
      </w:hyperlink>
    </w:p>
    <w:p w:rsidR="007B0A7E" w:rsidRPr="00E87CD5" w:rsidRDefault="0062660D" w:rsidP="007B0A7E">
      <w:pPr>
        <w:rPr>
          <w:rFonts w:cs="Arial"/>
          <w:bCs/>
        </w:rPr>
      </w:pPr>
    </w:p>
    <w:p w:rsidR="007B0A7E" w:rsidRPr="00A54A72" w:rsidRDefault="0062660D" w:rsidP="007B0A7E">
      <w:pPr>
        <w:rPr>
          <w:rFonts w:cs="Arial"/>
          <w:b/>
          <w:bCs/>
          <w:sz w:val="28"/>
          <w:szCs w:val="28"/>
          <w:highlight w:val="yellow"/>
        </w:rPr>
      </w:pPr>
      <w:r w:rsidRPr="00A54A72">
        <w:rPr>
          <w:rFonts w:cs="Arial"/>
          <w:b/>
          <w:bCs/>
          <w:sz w:val="28"/>
          <w:szCs w:val="28"/>
        </w:rPr>
        <w:t>Benefits and other Administrative Issues</w:t>
      </w:r>
    </w:p>
    <w:p w:rsidR="007B0A7E" w:rsidRPr="00E87CD5" w:rsidRDefault="0062660D" w:rsidP="00C71CE8">
      <w:pPr>
        <w:spacing w:after="0"/>
        <w:rPr>
          <w:rFonts w:cs="Arial"/>
          <w:bCs/>
        </w:rPr>
      </w:pPr>
      <w:r w:rsidRPr="00E87CD5">
        <w:rPr>
          <w:rFonts w:cs="Arial"/>
          <w:bCs/>
        </w:rPr>
        <w:t>Pensions Helpdesk</w:t>
      </w:r>
    </w:p>
    <w:p w:rsidR="007B0A7E" w:rsidRPr="00E87CD5" w:rsidRDefault="0062660D" w:rsidP="00C71CE8">
      <w:pPr>
        <w:spacing w:after="0"/>
        <w:rPr>
          <w:rFonts w:cs="Arial"/>
          <w:bCs/>
        </w:rPr>
      </w:pPr>
      <w:proofErr w:type="gramStart"/>
      <w:r w:rsidRPr="00E87CD5">
        <w:rPr>
          <w:rFonts w:cs="Arial"/>
          <w:bCs/>
        </w:rPr>
        <w:t>Your</w:t>
      </w:r>
      <w:proofErr w:type="gramEnd"/>
      <w:r w:rsidRPr="00E87CD5">
        <w:rPr>
          <w:rFonts w:cs="Arial"/>
          <w:bCs/>
        </w:rPr>
        <w:t xml:space="preserve"> Pension Service</w:t>
      </w:r>
    </w:p>
    <w:p w:rsidR="007B0A7E" w:rsidRPr="00E87CD5" w:rsidRDefault="0062660D" w:rsidP="00C71CE8">
      <w:pPr>
        <w:spacing w:after="0"/>
        <w:rPr>
          <w:rFonts w:cs="Arial"/>
          <w:bCs/>
        </w:rPr>
      </w:pPr>
      <w:r w:rsidRPr="00E87CD5">
        <w:rPr>
          <w:rFonts w:cs="Arial"/>
          <w:bCs/>
        </w:rPr>
        <w:t>PO Box 100</w:t>
      </w:r>
    </w:p>
    <w:p w:rsidR="007B0A7E" w:rsidRPr="00E87CD5" w:rsidRDefault="0062660D" w:rsidP="00C71CE8">
      <w:pPr>
        <w:spacing w:after="0"/>
        <w:rPr>
          <w:rFonts w:cs="Arial"/>
          <w:bCs/>
        </w:rPr>
      </w:pPr>
      <w:r w:rsidRPr="00E87CD5">
        <w:rPr>
          <w:rFonts w:cs="Arial"/>
          <w:bCs/>
        </w:rPr>
        <w:t>County Hall</w:t>
      </w:r>
    </w:p>
    <w:p w:rsidR="007B0A7E" w:rsidRPr="00E87CD5" w:rsidRDefault="0062660D" w:rsidP="00C71CE8">
      <w:pPr>
        <w:spacing w:after="0"/>
        <w:rPr>
          <w:rFonts w:cs="Arial"/>
          <w:bCs/>
        </w:rPr>
      </w:pPr>
      <w:r w:rsidRPr="00E87CD5">
        <w:rPr>
          <w:rFonts w:cs="Arial"/>
          <w:bCs/>
        </w:rPr>
        <w:t>Preston</w:t>
      </w:r>
    </w:p>
    <w:p w:rsidR="007B0A7E" w:rsidRPr="00E87CD5" w:rsidRDefault="0062660D" w:rsidP="00C71CE8">
      <w:pPr>
        <w:spacing w:after="0"/>
        <w:rPr>
          <w:rFonts w:cs="Arial"/>
          <w:bCs/>
        </w:rPr>
      </w:pPr>
      <w:r w:rsidRPr="00E87CD5">
        <w:rPr>
          <w:rFonts w:cs="Arial"/>
          <w:bCs/>
        </w:rPr>
        <w:t>PR1 0LD</w:t>
      </w:r>
    </w:p>
    <w:p w:rsidR="007B0A7E" w:rsidRPr="00E87CD5" w:rsidRDefault="0062660D" w:rsidP="007B0A7E">
      <w:pPr>
        <w:rPr>
          <w:rFonts w:cs="Arial"/>
          <w:bCs/>
        </w:rPr>
      </w:pPr>
      <w:r w:rsidRPr="00E87CD5">
        <w:rPr>
          <w:rFonts w:cs="Arial"/>
          <w:bCs/>
        </w:rPr>
        <w:t>Telephone:</w:t>
      </w:r>
      <w:r w:rsidRPr="00E87CD5">
        <w:rPr>
          <w:rFonts w:cs="Arial"/>
          <w:bCs/>
        </w:rPr>
        <w:tab/>
      </w:r>
      <w:r>
        <w:rPr>
          <w:rFonts w:cs="Arial"/>
          <w:bCs/>
        </w:rPr>
        <w:t>0300 123 6717</w:t>
      </w:r>
    </w:p>
    <w:p w:rsidR="00C71CE8" w:rsidRPr="00E3253B" w:rsidRDefault="0062660D" w:rsidP="00C71CE8">
      <w:pPr>
        <w:spacing w:after="0"/>
        <w:jc w:val="left"/>
        <w:rPr>
          <w:rFonts w:eastAsia="Times New Roman" w:cs="Arial"/>
          <w:bCs/>
          <w:szCs w:val="20"/>
          <w:lang w:eastAsia="en-GB"/>
        </w:rPr>
      </w:pPr>
      <w:r w:rsidRPr="00E87CD5">
        <w:rPr>
          <w:rFonts w:cs="Arial"/>
          <w:bCs/>
        </w:rPr>
        <w:t xml:space="preserve">E-mail: </w:t>
      </w:r>
      <w:r w:rsidRPr="00E87CD5">
        <w:rPr>
          <w:rFonts w:cs="Arial"/>
          <w:bCs/>
        </w:rPr>
        <w:tab/>
      </w:r>
      <w:hyperlink r:id="rId55" w:history="1">
        <w:r w:rsidRPr="00C837B6">
          <w:rPr>
            <w:rStyle w:val="Hyperlink"/>
            <w:bCs/>
          </w:rPr>
          <w:t>AskPe</w:t>
        </w:r>
        <w:r w:rsidRPr="00C837B6">
          <w:rPr>
            <w:rStyle w:val="Hyperlink"/>
            <w:rFonts w:eastAsia="Times New Roman"/>
            <w:bCs/>
            <w:szCs w:val="20"/>
            <w:lang w:eastAsia="en-GB"/>
          </w:rPr>
          <w:t>nsions@localpensionspartnership.org.uk</w:t>
        </w:r>
      </w:hyperlink>
    </w:p>
    <w:p w:rsidR="007B0A7E" w:rsidRPr="00CE58F0" w:rsidRDefault="0062660D" w:rsidP="007B0A7E">
      <w:pPr>
        <w:rPr>
          <w:b/>
          <w:sz w:val="28"/>
          <w:szCs w:val="28"/>
          <w:highlight w:val="yellow"/>
        </w:rPr>
      </w:pPr>
    </w:p>
    <w:p w:rsidR="007B0A7E" w:rsidRPr="00A54A72" w:rsidRDefault="0062660D" w:rsidP="007B0A7E">
      <w:pPr>
        <w:rPr>
          <w:rFonts w:cs="Arial"/>
          <w:b/>
          <w:bCs/>
          <w:sz w:val="28"/>
          <w:szCs w:val="28"/>
        </w:rPr>
      </w:pPr>
      <w:r>
        <w:rPr>
          <w:rFonts w:cs="Arial"/>
          <w:b/>
          <w:bCs/>
          <w:sz w:val="28"/>
          <w:szCs w:val="28"/>
        </w:rPr>
        <w:t>Pensions Administration</w:t>
      </w:r>
    </w:p>
    <w:p w:rsidR="007B0A7E" w:rsidRPr="00262CE2" w:rsidRDefault="0062660D" w:rsidP="007B0A7E">
      <w:pPr>
        <w:rPr>
          <w:rFonts w:cs="Arial"/>
          <w:bCs/>
        </w:rPr>
      </w:pPr>
      <w:r w:rsidRPr="00262CE2">
        <w:rPr>
          <w:rFonts w:cs="Arial"/>
          <w:bCs/>
        </w:rPr>
        <w:t>Diane Lister</w:t>
      </w:r>
    </w:p>
    <w:p w:rsidR="007B0A7E" w:rsidRPr="00262CE2" w:rsidRDefault="0062660D" w:rsidP="007B0A7E">
      <w:pPr>
        <w:rPr>
          <w:rFonts w:cs="Arial"/>
          <w:bCs/>
        </w:rPr>
      </w:pPr>
      <w:r w:rsidRPr="00262CE2">
        <w:rPr>
          <w:rFonts w:cs="Arial"/>
          <w:bCs/>
        </w:rPr>
        <w:t>Head of Your Pension Service</w:t>
      </w:r>
    </w:p>
    <w:p w:rsidR="007B0A7E" w:rsidRPr="00262CE2" w:rsidRDefault="0062660D" w:rsidP="007B0A7E">
      <w:pPr>
        <w:rPr>
          <w:rFonts w:cs="Arial"/>
          <w:bCs/>
        </w:rPr>
      </w:pPr>
      <w:r w:rsidRPr="00262CE2">
        <w:rPr>
          <w:rFonts w:cs="Arial"/>
          <w:bCs/>
        </w:rPr>
        <w:t>Telephone:</w:t>
      </w:r>
      <w:r w:rsidRPr="00262CE2">
        <w:rPr>
          <w:rFonts w:cs="Arial"/>
          <w:bCs/>
        </w:rPr>
        <w:tab/>
        <w:t>01772 534827</w:t>
      </w:r>
    </w:p>
    <w:p w:rsidR="007B0A7E" w:rsidRDefault="0062660D" w:rsidP="007B0A7E">
      <w:pPr>
        <w:rPr>
          <w:rFonts w:eastAsia="Times New Roman" w:cs="Arial"/>
          <w:bCs/>
          <w:szCs w:val="20"/>
          <w:lang w:eastAsia="en-GB"/>
        </w:rPr>
      </w:pPr>
      <w:r w:rsidRPr="00262CE2">
        <w:rPr>
          <w:rFonts w:cs="Arial"/>
          <w:bCs/>
        </w:rPr>
        <w:t xml:space="preserve">E-mail: </w:t>
      </w:r>
      <w:r w:rsidRPr="00262CE2">
        <w:rPr>
          <w:rFonts w:cs="Arial"/>
          <w:bCs/>
        </w:rPr>
        <w:tab/>
      </w:r>
      <w:hyperlink r:id="rId56" w:history="1">
        <w:r w:rsidRPr="00C837B6">
          <w:rPr>
            <w:rStyle w:val="Hyperlink"/>
            <w:bCs/>
          </w:rPr>
          <w:t>AskPe</w:t>
        </w:r>
        <w:r w:rsidRPr="00C837B6">
          <w:rPr>
            <w:rStyle w:val="Hyperlink"/>
            <w:rFonts w:eastAsia="Times New Roman"/>
            <w:bCs/>
            <w:szCs w:val="20"/>
            <w:lang w:eastAsia="en-GB"/>
          </w:rPr>
          <w:t>nsions@localpensionspartnership.org.uk</w:t>
        </w:r>
      </w:hyperlink>
    </w:p>
    <w:p w:rsidR="00C71CE8" w:rsidRPr="00CE58F0" w:rsidRDefault="0062660D" w:rsidP="007B0A7E">
      <w:pPr>
        <w:rPr>
          <w:b/>
          <w:sz w:val="28"/>
          <w:szCs w:val="28"/>
          <w:highlight w:val="yellow"/>
        </w:rPr>
      </w:pPr>
    </w:p>
    <w:p w:rsidR="007B0A7E" w:rsidRPr="00A54A72" w:rsidRDefault="0062660D" w:rsidP="007B0A7E">
      <w:pPr>
        <w:rPr>
          <w:rFonts w:cs="Arial"/>
          <w:b/>
          <w:bCs/>
          <w:sz w:val="28"/>
          <w:szCs w:val="28"/>
        </w:rPr>
      </w:pPr>
      <w:r w:rsidRPr="00A54A72">
        <w:rPr>
          <w:rFonts w:cs="Arial"/>
          <w:b/>
          <w:bCs/>
          <w:sz w:val="28"/>
          <w:szCs w:val="28"/>
        </w:rPr>
        <w:t>Pension Fund Accounts</w:t>
      </w:r>
    </w:p>
    <w:p w:rsidR="007B0A7E" w:rsidRPr="00E87CD5" w:rsidRDefault="0062660D" w:rsidP="007B0A7E">
      <w:pPr>
        <w:rPr>
          <w:rFonts w:cs="Arial"/>
          <w:bCs/>
        </w:rPr>
      </w:pPr>
      <w:r w:rsidRPr="00E87CD5">
        <w:rPr>
          <w:rFonts w:cs="Arial"/>
          <w:bCs/>
        </w:rPr>
        <w:t>Abigail Leech</w:t>
      </w:r>
    </w:p>
    <w:p w:rsidR="007B0A7E" w:rsidRPr="00E87CD5" w:rsidRDefault="0062660D" w:rsidP="007B0A7E">
      <w:pPr>
        <w:rPr>
          <w:rFonts w:cs="Arial"/>
          <w:bCs/>
        </w:rPr>
      </w:pPr>
      <w:r w:rsidRPr="00E87CD5">
        <w:rPr>
          <w:rFonts w:cs="Arial"/>
          <w:bCs/>
        </w:rPr>
        <w:t xml:space="preserve">Head of </w:t>
      </w:r>
      <w:r>
        <w:rPr>
          <w:rFonts w:cs="Arial"/>
          <w:bCs/>
        </w:rPr>
        <w:t>Pension Fund</w:t>
      </w:r>
    </w:p>
    <w:p w:rsidR="007B0A7E" w:rsidRPr="00E87CD5" w:rsidRDefault="0062660D" w:rsidP="007B0A7E">
      <w:pPr>
        <w:rPr>
          <w:rFonts w:cs="Arial"/>
          <w:bCs/>
        </w:rPr>
      </w:pPr>
      <w:r w:rsidRPr="00E87CD5">
        <w:rPr>
          <w:rFonts w:cs="Arial"/>
          <w:bCs/>
        </w:rPr>
        <w:t>Telephone:</w:t>
      </w:r>
      <w:r w:rsidRPr="00E87CD5">
        <w:rPr>
          <w:rFonts w:cs="Arial"/>
          <w:bCs/>
        </w:rPr>
        <w:tab/>
        <w:t>01772 530808</w:t>
      </w:r>
    </w:p>
    <w:p w:rsidR="007B0A7E" w:rsidRPr="00E87CD5" w:rsidRDefault="0062660D" w:rsidP="007B0A7E">
      <w:pPr>
        <w:rPr>
          <w:rFonts w:cs="Arial"/>
          <w:bCs/>
        </w:rPr>
      </w:pPr>
      <w:r w:rsidRPr="00E87CD5">
        <w:rPr>
          <w:rFonts w:cs="Arial"/>
          <w:bCs/>
        </w:rPr>
        <w:t xml:space="preserve">E-mail: </w:t>
      </w:r>
      <w:r w:rsidRPr="00E87CD5">
        <w:rPr>
          <w:rFonts w:cs="Arial"/>
          <w:bCs/>
        </w:rPr>
        <w:tab/>
      </w:r>
      <w:hyperlink r:id="rId57" w:history="1">
        <w:r w:rsidRPr="006667D8">
          <w:rPr>
            <w:rStyle w:val="Hyperlink"/>
            <w:bCs/>
          </w:rPr>
          <w:t>abigail.leech@lancashire.gov.uk</w:t>
        </w:r>
      </w:hyperlink>
    </w:p>
    <w:p w:rsidR="007B0A7E" w:rsidRPr="00E87CD5" w:rsidRDefault="0062660D" w:rsidP="007B0A7E">
      <w:pPr>
        <w:rPr>
          <w:b/>
          <w:sz w:val="28"/>
          <w:szCs w:val="28"/>
        </w:rPr>
      </w:pPr>
    </w:p>
    <w:p w:rsidR="00A1033D" w:rsidRPr="00A1033D" w:rsidRDefault="0062660D" w:rsidP="007B0A7E">
      <w:pPr>
        <w:rPr>
          <w:rFonts w:cs="Arial"/>
          <w:b/>
          <w:bCs/>
          <w:sz w:val="28"/>
          <w:szCs w:val="28"/>
        </w:rPr>
      </w:pPr>
      <w:r w:rsidRPr="00A1033D">
        <w:rPr>
          <w:rFonts w:cs="Arial"/>
          <w:b/>
          <w:bCs/>
          <w:sz w:val="28"/>
          <w:szCs w:val="28"/>
        </w:rPr>
        <w:t xml:space="preserve">Investment </w:t>
      </w:r>
      <w:r w:rsidRPr="00A1033D">
        <w:rPr>
          <w:rFonts w:cs="Arial"/>
          <w:b/>
          <w:bCs/>
          <w:sz w:val="28"/>
          <w:szCs w:val="28"/>
        </w:rPr>
        <w:t>Management</w:t>
      </w:r>
    </w:p>
    <w:p w:rsidR="00A1033D" w:rsidRDefault="0062660D" w:rsidP="007B0A7E">
      <w:pPr>
        <w:rPr>
          <w:rFonts w:cs="Arial"/>
          <w:bCs/>
        </w:rPr>
      </w:pPr>
      <w:r>
        <w:rPr>
          <w:rFonts w:cs="Arial"/>
          <w:bCs/>
        </w:rPr>
        <w:t>Local Pensions Partnership</w:t>
      </w:r>
    </w:p>
    <w:p w:rsidR="007B0A7E" w:rsidRPr="00E87CD5" w:rsidRDefault="0062660D" w:rsidP="007B0A7E">
      <w:pPr>
        <w:rPr>
          <w:rFonts w:cs="Arial"/>
          <w:bCs/>
        </w:rPr>
      </w:pPr>
      <w:r w:rsidRPr="00E87CD5">
        <w:rPr>
          <w:rFonts w:cs="Arial"/>
          <w:bCs/>
        </w:rPr>
        <w:t>Telephone:</w:t>
      </w:r>
      <w:r w:rsidRPr="00E87CD5">
        <w:rPr>
          <w:rFonts w:cs="Arial"/>
          <w:bCs/>
        </w:rPr>
        <w:tab/>
      </w:r>
      <w:r>
        <w:rPr>
          <w:rFonts w:cs="Arial"/>
          <w:bCs/>
        </w:rPr>
        <w:t>0300 1236717</w:t>
      </w:r>
    </w:p>
    <w:p w:rsidR="007B0A7E" w:rsidRPr="00E87CD5" w:rsidRDefault="0062660D" w:rsidP="007B0A7E">
      <w:pPr>
        <w:rPr>
          <w:rFonts w:cs="Arial"/>
          <w:bCs/>
        </w:rPr>
      </w:pPr>
      <w:r w:rsidRPr="00E87CD5">
        <w:rPr>
          <w:rFonts w:cs="Arial"/>
          <w:bCs/>
        </w:rPr>
        <w:t xml:space="preserve">E-mail: </w:t>
      </w:r>
      <w:r w:rsidRPr="00E87CD5">
        <w:rPr>
          <w:rFonts w:cs="Arial"/>
          <w:bCs/>
        </w:rPr>
        <w:tab/>
      </w:r>
      <w:hyperlink r:id="rId58" w:history="1">
        <w:r w:rsidRPr="00A1033D">
          <w:rPr>
            <w:rStyle w:val="Hyperlink"/>
            <w:bCs/>
          </w:rPr>
          <w:t>info@localpensionspartnership.org.uk</w:t>
        </w:r>
      </w:hyperlink>
    </w:p>
    <w:p w:rsidR="007B0A7E" w:rsidRPr="00E87CD5" w:rsidRDefault="0062660D" w:rsidP="007B0A7E">
      <w:pPr>
        <w:rPr>
          <w:rFonts w:cs="Arial"/>
          <w:bCs/>
        </w:rPr>
      </w:pPr>
    </w:p>
    <w:p w:rsidR="00A54A72" w:rsidRDefault="0062660D" w:rsidP="00A54A72"/>
    <w:p w:rsidR="00A54A72" w:rsidRPr="0097631D" w:rsidRDefault="0062660D" w:rsidP="00A54A72">
      <w:pPr>
        <w:rPr>
          <w:rFonts w:cs="Arial"/>
          <w:b/>
          <w:bCs/>
          <w:sz w:val="28"/>
          <w:szCs w:val="28"/>
        </w:rPr>
      </w:pPr>
      <w:r w:rsidRPr="0097631D">
        <w:rPr>
          <w:rFonts w:cs="Arial"/>
          <w:b/>
          <w:bCs/>
          <w:sz w:val="28"/>
          <w:szCs w:val="28"/>
        </w:rPr>
        <w:t>Director of the</w:t>
      </w:r>
      <w:r w:rsidRPr="0097631D">
        <w:rPr>
          <w:rFonts w:cs="Arial"/>
          <w:b/>
          <w:bCs/>
          <w:sz w:val="28"/>
          <w:szCs w:val="28"/>
        </w:rPr>
        <w:t xml:space="preserve"> Lancashire County Pension Fund (as at 31/3/16)</w:t>
      </w:r>
    </w:p>
    <w:p w:rsidR="00A54A72" w:rsidRPr="0097631D" w:rsidRDefault="0062660D" w:rsidP="00A54A72">
      <w:pPr>
        <w:rPr>
          <w:rFonts w:cs="Arial"/>
          <w:bCs/>
        </w:rPr>
      </w:pPr>
      <w:r w:rsidRPr="0097631D">
        <w:rPr>
          <w:rFonts w:cs="Arial"/>
          <w:bCs/>
        </w:rPr>
        <w:t>George Graham</w:t>
      </w:r>
    </w:p>
    <w:p w:rsidR="00A54A72" w:rsidRPr="0097631D" w:rsidRDefault="0062660D" w:rsidP="00A54A72">
      <w:pPr>
        <w:rPr>
          <w:rFonts w:cs="Arial"/>
          <w:bCs/>
        </w:rPr>
      </w:pPr>
      <w:r w:rsidRPr="0097631D">
        <w:rPr>
          <w:rFonts w:cs="Arial"/>
          <w:bCs/>
        </w:rPr>
        <w:t>Director</w:t>
      </w:r>
      <w:r w:rsidRPr="0097631D">
        <w:rPr>
          <w:rFonts w:cs="Arial"/>
          <w:bCs/>
        </w:rPr>
        <w:tab/>
      </w:r>
      <w:r w:rsidRPr="0097631D">
        <w:rPr>
          <w:rFonts w:cs="Arial"/>
          <w:bCs/>
        </w:rPr>
        <w:tab/>
      </w:r>
      <w:r w:rsidRPr="0097631D">
        <w:rPr>
          <w:rFonts w:cs="Arial"/>
          <w:bCs/>
        </w:rPr>
        <w:tab/>
      </w:r>
      <w:r w:rsidRPr="0097631D">
        <w:rPr>
          <w:rFonts w:cs="Arial"/>
          <w:bCs/>
        </w:rPr>
        <w:tab/>
      </w:r>
      <w:r w:rsidRPr="0097631D">
        <w:rPr>
          <w:rFonts w:cs="Arial"/>
          <w:bCs/>
        </w:rPr>
        <w:tab/>
      </w:r>
      <w:r w:rsidRPr="0097631D">
        <w:rPr>
          <w:rFonts w:cs="Arial"/>
          <w:bCs/>
        </w:rPr>
        <w:tab/>
      </w:r>
      <w:r w:rsidRPr="0097631D">
        <w:rPr>
          <w:rFonts w:cs="Arial"/>
          <w:bCs/>
        </w:rPr>
        <w:tab/>
      </w:r>
      <w:r w:rsidRPr="0097631D">
        <w:rPr>
          <w:rFonts w:cs="Arial"/>
          <w:bCs/>
        </w:rPr>
        <w:tab/>
      </w:r>
      <w:r w:rsidRPr="0097631D">
        <w:rPr>
          <w:rFonts w:cs="Arial"/>
          <w:bCs/>
        </w:rPr>
        <w:tab/>
      </w:r>
    </w:p>
    <w:p w:rsidR="00A54A72" w:rsidRPr="0097631D" w:rsidRDefault="0062660D" w:rsidP="00A54A72">
      <w:pPr>
        <w:rPr>
          <w:rFonts w:cs="Arial"/>
          <w:bCs/>
        </w:rPr>
      </w:pPr>
      <w:r w:rsidRPr="0097631D">
        <w:rPr>
          <w:rFonts w:cs="Arial"/>
          <w:bCs/>
        </w:rPr>
        <w:t>Telephone:</w:t>
      </w:r>
      <w:r w:rsidRPr="0097631D">
        <w:rPr>
          <w:rFonts w:cs="Arial"/>
          <w:bCs/>
        </w:rPr>
        <w:tab/>
        <w:t>01772 538102</w:t>
      </w:r>
    </w:p>
    <w:p w:rsidR="00A54A72" w:rsidRDefault="0062660D" w:rsidP="00A54A72">
      <w:pPr>
        <w:rPr>
          <w:rFonts w:eastAsiaTheme="minorHAnsi" w:cs="Times New Roman"/>
          <w:color w:val="1F497D"/>
          <w:sz w:val="22"/>
          <w:szCs w:val="22"/>
          <w:lang w:eastAsia="en-GB"/>
        </w:rPr>
      </w:pPr>
      <w:r w:rsidRPr="0097631D">
        <w:rPr>
          <w:rFonts w:cs="Arial"/>
          <w:bCs/>
        </w:rPr>
        <w:t xml:space="preserve">E-mail: </w:t>
      </w:r>
      <w:r w:rsidRPr="0097631D">
        <w:rPr>
          <w:rFonts w:cs="Arial"/>
          <w:bCs/>
        </w:rPr>
        <w:tab/>
      </w:r>
      <w:hyperlink r:id="rId59" w:history="1">
        <w:r w:rsidRPr="0097631D">
          <w:rPr>
            <w:rStyle w:val="Hyperlink"/>
            <w:lang w:eastAsia="en-GB"/>
          </w:rPr>
          <w:t>george.graham@lancashire.gov.uk</w:t>
        </w:r>
      </w:hyperlink>
    </w:p>
    <w:p w:rsidR="00A54A72" w:rsidRDefault="0062660D" w:rsidP="00A54A72">
      <w:pPr>
        <w:rPr>
          <w:rFonts w:cs="Arial"/>
          <w:bCs/>
        </w:rPr>
      </w:pPr>
    </w:p>
    <w:p w:rsidR="00A54A72" w:rsidRDefault="0062660D" w:rsidP="00A54A72">
      <w:pPr>
        <w:rPr>
          <w:rFonts w:cs="Arial"/>
          <w:bCs/>
        </w:rPr>
      </w:pPr>
    </w:p>
    <w:p w:rsidR="00A54A72" w:rsidRDefault="0062660D" w:rsidP="00A54A72">
      <w:pPr>
        <w:sectPr w:rsidR="00A54A72" w:rsidSect="007B0A7E">
          <w:pgSz w:w="11900" w:h="16840" w:code="9"/>
          <w:pgMar w:top="720" w:right="720" w:bottom="720" w:left="720" w:header="284" w:footer="284" w:gutter="0"/>
          <w:cols w:space="292"/>
          <w:docGrid w:linePitch="326"/>
        </w:sectPr>
      </w:pPr>
    </w:p>
    <w:p w:rsidR="00315768" w:rsidRPr="00A54A72" w:rsidRDefault="0062660D" w:rsidP="00CD7572">
      <w:pPr>
        <w:numPr>
          <w:ilvl w:val="0"/>
          <w:numId w:val="15"/>
        </w:numPr>
        <w:autoSpaceDE/>
        <w:autoSpaceDN/>
        <w:adjustRightInd/>
        <w:spacing w:after="0"/>
        <w:jc w:val="left"/>
        <w:rPr>
          <w:sz w:val="40"/>
          <w:szCs w:val="40"/>
        </w:rPr>
      </w:pPr>
      <w:r>
        <w:rPr>
          <w:b/>
          <w:snapToGrid w:val="0"/>
          <w:sz w:val="40"/>
          <w:szCs w:val="40"/>
        </w:rPr>
        <w:t xml:space="preserve"> Glossary</w:t>
      </w:r>
    </w:p>
    <w:p w:rsidR="00A54A72" w:rsidRDefault="0062660D" w:rsidP="00A54A72"/>
    <w:p w:rsidR="00442678" w:rsidRPr="002F17B5" w:rsidRDefault="0062660D" w:rsidP="00442678">
      <w:pPr>
        <w:spacing w:after="0"/>
        <w:contextualSpacing/>
        <w:rPr>
          <w:b/>
        </w:rPr>
      </w:pPr>
      <w:r w:rsidRPr="002F17B5">
        <w:rPr>
          <w:b/>
        </w:rPr>
        <w:t xml:space="preserve">Accounting </w:t>
      </w:r>
      <w:r>
        <w:rPr>
          <w:b/>
        </w:rPr>
        <w:t>p</w:t>
      </w:r>
      <w:r w:rsidRPr="002F17B5">
        <w:rPr>
          <w:b/>
        </w:rPr>
        <w:t>olicies</w:t>
      </w:r>
    </w:p>
    <w:p w:rsidR="00442678" w:rsidRDefault="0062660D" w:rsidP="00442678">
      <w:pPr>
        <w:spacing w:after="240"/>
      </w:pPr>
      <w:r w:rsidRPr="002F17B5">
        <w:t xml:space="preserve">The specific principles, bases, conventions, rules and practices </w:t>
      </w:r>
      <w:r w:rsidRPr="002F17B5">
        <w:t>applied by the authority in preparing and presenting financial statements.</w:t>
      </w:r>
    </w:p>
    <w:p w:rsidR="0071392D" w:rsidRPr="0071392D" w:rsidRDefault="0062660D" w:rsidP="0071392D">
      <w:pPr>
        <w:spacing w:after="0"/>
        <w:rPr>
          <w:b/>
        </w:rPr>
      </w:pPr>
      <w:r w:rsidRPr="0071392D">
        <w:rPr>
          <w:b/>
        </w:rPr>
        <w:t>Accrual</w:t>
      </w:r>
    </w:p>
    <w:p w:rsidR="0071392D" w:rsidRDefault="0062660D" w:rsidP="00EA6059">
      <w:pPr>
        <w:spacing w:after="0"/>
      </w:pPr>
      <w:r>
        <w:t>The concept that income and expenditure are recognised as they are earned or incurred, not as cash is received or paid</w:t>
      </w:r>
      <w:r>
        <w:t>.</w:t>
      </w:r>
    </w:p>
    <w:p w:rsidR="00EA6059" w:rsidRDefault="0062660D" w:rsidP="00EA6059">
      <w:pPr>
        <w:spacing w:after="0"/>
      </w:pPr>
    </w:p>
    <w:p w:rsidR="00442678" w:rsidRDefault="0062660D" w:rsidP="00442678">
      <w:pPr>
        <w:spacing w:after="0"/>
        <w:jc w:val="left"/>
        <w:rPr>
          <w:b/>
        </w:rPr>
      </w:pPr>
      <w:r w:rsidRPr="00442678">
        <w:rPr>
          <w:b/>
        </w:rPr>
        <w:t xml:space="preserve">Active </w:t>
      </w:r>
      <w:r>
        <w:rPr>
          <w:b/>
        </w:rPr>
        <w:t>m</w:t>
      </w:r>
      <w:r w:rsidRPr="00442678">
        <w:rPr>
          <w:b/>
        </w:rPr>
        <w:t>anagement</w:t>
      </w:r>
    </w:p>
    <w:p w:rsidR="00442678" w:rsidRDefault="0062660D" w:rsidP="00442678">
      <w:pPr>
        <w:spacing w:after="0"/>
        <w:jc w:val="left"/>
      </w:pPr>
      <w:r>
        <w:t xml:space="preserve">Approach to investment management </w:t>
      </w:r>
      <w:r>
        <w:t>which aims to outperform a particular market index or benchmark through asset allocation and/or stock selection decisions.</w:t>
      </w:r>
    </w:p>
    <w:p w:rsidR="006D0C8B" w:rsidRDefault="0062660D" w:rsidP="00442678">
      <w:pPr>
        <w:spacing w:after="0"/>
        <w:jc w:val="left"/>
      </w:pPr>
    </w:p>
    <w:p w:rsidR="006D0C8B" w:rsidRPr="006D0C8B" w:rsidRDefault="0062660D" w:rsidP="00442678">
      <w:pPr>
        <w:spacing w:after="0"/>
        <w:jc w:val="left"/>
        <w:rPr>
          <w:b/>
        </w:rPr>
      </w:pPr>
      <w:r w:rsidRPr="006D0C8B">
        <w:rPr>
          <w:b/>
        </w:rPr>
        <w:t>Actuarial strain</w:t>
      </w:r>
    </w:p>
    <w:p w:rsidR="006D0C8B" w:rsidRDefault="0062660D" w:rsidP="00442678">
      <w:pPr>
        <w:spacing w:after="0"/>
        <w:jc w:val="left"/>
      </w:pPr>
      <w:r>
        <w:t>This is a charge paid by employers to the pension fund for paying pensions early.</w:t>
      </w:r>
    </w:p>
    <w:p w:rsidR="0071392D" w:rsidRDefault="0062660D" w:rsidP="00442678">
      <w:pPr>
        <w:spacing w:after="0"/>
        <w:jc w:val="left"/>
      </w:pPr>
    </w:p>
    <w:p w:rsidR="0071392D" w:rsidRPr="0071392D" w:rsidRDefault="0062660D" w:rsidP="0071392D">
      <w:pPr>
        <w:spacing w:after="0"/>
        <w:jc w:val="left"/>
        <w:rPr>
          <w:b/>
        </w:rPr>
      </w:pPr>
      <w:r w:rsidRPr="0071392D">
        <w:rPr>
          <w:b/>
        </w:rPr>
        <w:t>Actuarial Valuation</w:t>
      </w:r>
    </w:p>
    <w:p w:rsidR="0071392D" w:rsidRDefault="0062660D" w:rsidP="0071392D">
      <w:pPr>
        <w:spacing w:after="0"/>
        <w:jc w:val="left"/>
      </w:pPr>
      <w:r>
        <w:t xml:space="preserve">An actuary </w:t>
      </w:r>
      <w:r>
        <w:t>formally reviews the assets and liabilities of the pension scheme and produces a report on the scheme's financial position.</w:t>
      </w:r>
    </w:p>
    <w:p w:rsidR="00B3216A" w:rsidRDefault="0062660D" w:rsidP="00442678">
      <w:pPr>
        <w:spacing w:after="0"/>
        <w:jc w:val="left"/>
      </w:pPr>
    </w:p>
    <w:p w:rsidR="00B3216A" w:rsidRPr="00B3216A" w:rsidRDefault="0062660D" w:rsidP="00442678">
      <w:pPr>
        <w:spacing w:after="0"/>
        <w:jc w:val="left"/>
        <w:rPr>
          <w:b/>
        </w:rPr>
      </w:pPr>
      <w:r w:rsidRPr="00B3216A">
        <w:rPr>
          <w:b/>
        </w:rPr>
        <w:t>Actuary</w:t>
      </w:r>
    </w:p>
    <w:p w:rsidR="00B3216A" w:rsidRDefault="0062660D" w:rsidP="00442678">
      <w:pPr>
        <w:spacing w:after="0"/>
        <w:jc w:val="left"/>
      </w:pPr>
      <w:r>
        <w:t xml:space="preserve">An independent consultant who advises the </w:t>
      </w:r>
      <w:r>
        <w:t>s</w:t>
      </w:r>
      <w:r>
        <w:t xml:space="preserve">cheme and every three years formally reviews the assets and liabilities of the </w:t>
      </w:r>
      <w:r>
        <w:t>s</w:t>
      </w:r>
      <w:r>
        <w:t xml:space="preserve">cheme and produces a report on the </w:t>
      </w:r>
      <w:r>
        <w:t>s</w:t>
      </w:r>
      <w:r>
        <w:t>cheme's financial position, known as the Actuarial Valuation.</w:t>
      </w:r>
    </w:p>
    <w:p w:rsidR="006D0C8B" w:rsidRDefault="0062660D" w:rsidP="00442678">
      <w:pPr>
        <w:spacing w:after="0"/>
        <w:jc w:val="left"/>
      </w:pPr>
    </w:p>
    <w:p w:rsidR="006D0C8B" w:rsidRPr="006D0C8B" w:rsidRDefault="0062660D" w:rsidP="00442678">
      <w:pPr>
        <w:spacing w:after="0"/>
        <w:jc w:val="left"/>
        <w:rPr>
          <w:b/>
        </w:rPr>
      </w:pPr>
      <w:r w:rsidRPr="006D0C8B">
        <w:rPr>
          <w:b/>
        </w:rPr>
        <w:t>Additional voluntary contributions (AVC's)</w:t>
      </w:r>
    </w:p>
    <w:p w:rsidR="006D0C8B" w:rsidRDefault="0062660D" w:rsidP="00442678">
      <w:pPr>
        <w:spacing w:after="0"/>
        <w:jc w:val="left"/>
      </w:pPr>
      <w:r>
        <w:t>This is an extra contribution a member can pay to their own pension scheme to increase future pension benefits.</w:t>
      </w:r>
    </w:p>
    <w:p w:rsidR="006D0C8B" w:rsidRDefault="0062660D" w:rsidP="00442678">
      <w:pPr>
        <w:spacing w:after="0"/>
        <w:jc w:val="left"/>
      </w:pPr>
    </w:p>
    <w:p w:rsidR="006D0C8B" w:rsidRPr="006D0C8B" w:rsidRDefault="0062660D" w:rsidP="00442678">
      <w:pPr>
        <w:spacing w:after="0"/>
        <w:jc w:val="left"/>
        <w:rPr>
          <w:b/>
        </w:rPr>
      </w:pPr>
      <w:r w:rsidRPr="006D0C8B">
        <w:rPr>
          <w:b/>
        </w:rPr>
        <w:t>A</w:t>
      </w:r>
      <w:r w:rsidRPr="006D0C8B">
        <w:rPr>
          <w:b/>
        </w:rPr>
        <w:t>dministering authority</w:t>
      </w:r>
    </w:p>
    <w:p w:rsidR="006D0C8B" w:rsidRDefault="0062660D" w:rsidP="00442678">
      <w:pPr>
        <w:spacing w:after="0"/>
        <w:jc w:val="left"/>
      </w:pPr>
      <w:r>
        <w:t>A local authority required to maintain a pension fund under LGPS regulations.  Within the geographical boundary of Lancashire this is Lancashire County Council.</w:t>
      </w:r>
    </w:p>
    <w:p w:rsidR="006D0C8B" w:rsidRPr="00FD25E6" w:rsidRDefault="0062660D" w:rsidP="00442678">
      <w:pPr>
        <w:spacing w:after="0"/>
        <w:jc w:val="left"/>
        <w:rPr>
          <w:b/>
        </w:rPr>
      </w:pPr>
    </w:p>
    <w:p w:rsidR="006D0C8B" w:rsidRPr="00FD25E6" w:rsidRDefault="0062660D" w:rsidP="00442678">
      <w:pPr>
        <w:spacing w:after="0"/>
        <w:jc w:val="left"/>
        <w:rPr>
          <w:b/>
        </w:rPr>
      </w:pPr>
      <w:r w:rsidRPr="00FD25E6">
        <w:rPr>
          <w:b/>
        </w:rPr>
        <w:t>Admitted bodies</w:t>
      </w:r>
    </w:p>
    <w:p w:rsidR="006D0C8B" w:rsidRDefault="0062660D" w:rsidP="00442678">
      <w:pPr>
        <w:spacing w:after="0"/>
        <w:jc w:val="left"/>
      </w:pPr>
      <w:r>
        <w:t>An organisation which, under Pension Scheme Regulations</w:t>
      </w:r>
      <w:r>
        <w:t>, is able to apply to the administering authority to join the scheme</w:t>
      </w:r>
      <w:r>
        <w:t xml:space="preserve"> (e.g. a contractor providing services to the council or another scheduled body).  Upon acceptance, an admission agreement is prepared admitting the organisation and allowing its employees</w:t>
      </w:r>
      <w:r>
        <w:t xml:space="preserve"> to join.</w:t>
      </w:r>
    </w:p>
    <w:p w:rsidR="006D0C8B" w:rsidRDefault="0062660D" w:rsidP="00442678">
      <w:pPr>
        <w:spacing w:after="0"/>
        <w:jc w:val="left"/>
      </w:pPr>
    </w:p>
    <w:p w:rsidR="006D0C8B" w:rsidRPr="006D0C8B" w:rsidRDefault="0062660D" w:rsidP="00442678">
      <w:pPr>
        <w:spacing w:after="0"/>
        <w:jc w:val="left"/>
        <w:rPr>
          <w:b/>
        </w:rPr>
      </w:pPr>
      <w:r w:rsidRPr="006D0C8B">
        <w:rPr>
          <w:b/>
        </w:rPr>
        <w:t>Alternative investments</w:t>
      </w:r>
    </w:p>
    <w:p w:rsidR="00B3216A" w:rsidRDefault="0062660D" w:rsidP="00442678">
      <w:pPr>
        <w:spacing w:after="0"/>
        <w:jc w:val="left"/>
      </w:pPr>
      <w:r>
        <w:t xml:space="preserve">Investments considered outside of the traditional asset classes of stocks, bonds, cash or property. </w:t>
      </w:r>
    </w:p>
    <w:p w:rsidR="006D0C8B" w:rsidRDefault="0062660D" w:rsidP="00442678">
      <w:pPr>
        <w:spacing w:after="0"/>
        <w:jc w:val="left"/>
      </w:pPr>
    </w:p>
    <w:p w:rsidR="0071392D" w:rsidRPr="0071392D" w:rsidRDefault="0062660D" w:rsidP="00442678">
      <w:pPr>
        <w:spacing w:after="0"/>
        <w:jc w:val="left"/>
        <w:rPr>
          <w:b/>
        </w:rPr>
      </w:pPr>
      <w:r w:rsidRPr="0071392D">
        <w:rPr>
          <w:b/>
        </w:rPr>
        <w:t xml:space="preserve">Asset </w:t>
      </w:r>
      <w:r>
        <w:rPr>
          <w:b/>
        </w:rPr>
        <w:t>a</w:t>
      </w:r>
      <w:r w:rsidRPr="0071392D">
        <w:rPr>
          <w:b/>
        </w:rPr>
        <w:t>llocation</w:t>
      </w:r>
    </w:p>
    <w:p w:rsidR="0071392D" w:rsidRDefault="0062660D" w:rsidP="00442678">
      <w:pPr>
        <w:spacing w:after="0"/>
        <w:jc w:val="left"/>
      </w:pPr>
      <w:r>
        <w:t>Distribution of investments across asset categories, such as cash, equities and bonds.  Asset allocati</w:t>
      </w:r>
      <w:r>
        <w:t>on affects both risk and return and is a central concept in financial planning and investment management.</w:t>
      </w:r>
    </w:p>
    <w:p w:rsidR="00FD25E6" w:rsidRDefault="0062660D" w:rsidP="00442678">
      <w:pPr>
        <w:spacing w:after="0"/>
        <w:jc w:val="left"/>
      </w:pPr>
    </w:p>
    <w:p w:rsidR="00FD25E6" w:rsidRPr="00FD25E6" w:rsidRDefault="0062660D" w:rsidP="00442678">
      <w:pPr>
        <w:spacing w:after="0"/>
        <w:jc w:val="left"/>
        <w:rPr>
          <w:b/>
        </w:rPr>
      </w:pPr>
      <w:r w:rsidRPr="00FD25E6">
        <w:rPr>
          <w:b/>
        </w:rPr>
        <w:t>Assumed pensionable pay</w:t>
      </w:r>
    </w:p>
    <w:p w:rsidR="00FD25E6" w:rsidRDefault="0062660D" w:rsidP="00442678">
      <w:pPr>
        <w:spacing w:after="0"/>
        <w:jc w:val="left"/>
      </w:pPr>
      <w:r>
        <w:t xml:space="preserve">Where an employee loses pay due to sickness or reduced pay family related leave, the pay actually received is substituted </w:t>
      </w:r>
      <w:r>
        <w:t>with "assumed pensionable pay" when calculating "career average" benefits and employer contributions.  Assumed pensionable pay is the average of pay in the three months prior to the month in which the reduced pay occurs.</w:t>
      </w:r>
    </w:p>
    <w:p w:rsidR="006D0C8B" w:rsidRDefault="0062660D" w:rsidP="00442678">
      <w:pPr>
        <w:spacing w:after="0"/>
        <w:jc w:val="left"/>
      </w:pPr>
    </w:p>
    <w:p w:rsidR="00FD25E6" w:rsidRPr="00FD25E6" w:rsidRDefault="0062660D" w:rsidP="00442678">
      <w:pPr>
        <w:spacing w:after="0"/>
        <w:jc w:val="left"/>
        <w:rPr>
          <w:b/>
        </w:rPr>
      </w:pPr>
      <w:r w:rsidRPr="00FD25E6">
        <w:rPr>
          <w:b/>
        </w:rPr>
        <w:t>Auditor</w:t>
      </w:r>
    </w:p>
    <w:p w:rsidR="00FD25E6" w:rsidRDefault="0062660D" w:rsidP="00442678">
      <w:pPr>
        <w:spacing w:after="0"/>
        <w:jc w:val="left"/>
      </w:pPr>
      <w:r>
        <w:t>An independent qualified a</w:t>
      </w:r>
      <w:r>
        <w:t>ccountant who is required to verify and agree the Pension Fund accounts and issue an opinion on their accuracy.</w:t>
      </w:r>
    </w:p>
    <w:p w:rsidR="00FD25E6" w:rsidRDefault="0062660D" w:rsidP="00442678">
      <w:pPr>
        <w:spacing w:after="0"/>
        <w:jc w:val="left"/>
      </w:pPr>
    </w:p>
    <w:p w:rsidR="006D0C8B" w:rsidRPr="006D0C8B" w:rsidRDefault="0062660D" w:rsidP="00442678">
      <w:pPr>
        <w:spacing w:after="0"/>
        <w:jc w:val="left"/>
        <w:rPr>
          <w:b/>
        </w:rPr>
      </w:pPr>
      <w:r w:rsidRPr="006D0C8B">
        <w:rPr>
          <w:b/>
        </w:rPr>
        <w:t>Auto enrolment</w:t>
      </w:r>
    </w:p>
    <w:p w:rsidR="006D0C8B" w:rsidRDefault="0062660D" w:rsidP="00442678">
      <w:pPr>
        <w:spacing w:after="0"/>
        <w:jc w:val="left"/>
      </w:pPr>
      <w:r>
        <w:t>UK employers have to automatically enrol their staff into a workplace pension if they meet the criteria.  The law on workplace p</w:t>
      </w:r>
      <w:r>
        <w:t>ensions has now changed and every employer must comply.</w:t>
      </w:r>
    </w:p>
    <w:p w:rsidR="001861C3" w:rsidRDefault="0062660D" w:rsidP="00442678">
      <w:pPr>
        <w:spacing w:after="0"/>
        <w:jc w:val="left"/>
      </w:pPr>
    </w:p>
    <w:p w:rsidR="001861C3" w:rsidRPr="008344E9" w:rsidRDefault="0062660D" w:rsidP="00442678">
      <w:pPr>
        <w:spacing w:after="0"/>
        <w:jc w:val="left"/>
        <w:rPr>
          <w:b/>
        </w:rPr>
      </w:pPr>
      <w:r w:rsidRPr="008344E9">
        <w:rPr>
          <w:b/>
        </w:rPr>
        <w:t>Benchmark</w:t>
      </w:r>
    </w:p>
    <w:p w:rsidR="001861C3" w:rsidRDefault="0062660D" w:rsidP="00442678">
      <w:pPr>
        <w:spacing w:after="0"/>
        <w:jc w:val="left"/>
      </w:pPr>
      <w:r>
        <w:t>These are investment performance standards that we expect our investment managers to achieve and against which we measure their investment return.</w:t>
      </w:r>
    </w:p>
    <w:p w:rsidR="006D0C8B" w:rsidRDefault="0062660D" w:rsidP="00442678">
      <w:pPr>
        <w:spacing w:after="0"/>
        <w:jc w:val="left"/>
      </w:pPr>
    </w:p>
    <w:p w:rsidR="005F3B3D" w:rsidRPr="005F3B3D" w:rsidRDefault="0062660D" w:rsidP="00442678">
      <w:pPr>
        <w:spacing w:after="0"/>
        <w:jc w:val="left"/>
        <w:rPr>
          <w:b/>
        </w:rPr>
      </w:pPr>
      <w:r w:rsidRPr="005F3B3D">
        <w:rPr>
          <w:b/>
        </w:rPr>
        <w:t>Bid price</w:t>
      </w:r>
    </w:p>
    <w:p w:rsidR="005F3B3D" w:rsidRDefault="0062660D" w:rsidP="00442678">
      <w:pPr>
        <w:spacing w:after="0"/>
        <w:jc w:val="left"/>
      </w:pPr>
      <w:r>
        <w:t xml:space="preserve">The price a buyer pays for a </w:t>
      </w:r>
      <w:r>
        <w:t>stock.</w:t>
      </w:r>
    </w:p>
    <w:p w:rsidR="005F3B3D" w:rsidRDefault="0062660D" w:rsidP="00442678">
      <w:pPr>
        <w:spacing w:after="0"/>
        <w:jc w:val="left"/>
      </w:pPr>
    </w:p>
    <w:p w:rsidR="005F3B3D" w:rsidRPr="005F3B3D" w:rsidRDefault="0062660D" w:rsidP="00442678">
      <w:pPr>
        <w:spacing w:after="0"/>
        <w:jc w:val="left"/>
        <w:rPr>
          <w:b/>
        </w:rPr>
      </w:pPr>
      <w:r w:rsidRPr="005F3B3D">
        <w:rPr>
          <w:b/>
        </w:rPr>
        <w:t>Bonds</w:t>
      </w:r>
    </w:p>
    <w:p w:rsidR="005F3B3D" w:rsidRDefault="0062660D" w:rsidP="00442678">
      <w:pPr>
        <w:spacing w:after="0"/>
        <w:jc w:val="left"/>
      </w:pPr>
      <w:r>
        <w:t>Certificate of debt, paying a fixed rate of interest, issued by companies, governments or government agencies.</w:t>
      </w:r>
    </w:p>
    <w:p w:rsidR="008344E9" w:rsidRDefault="0062660D" w:rsidP="00442678">
      <w:pPr>
        <w:spacing w:after="0"/>
        <w:jc w:val="left"/>
      </w:pPr>
    </w:p>
    <w:p w:rsidR="005F3B3D" w:rsidRDefault="0062660D" w:rsidP="00442678">
      <w:pPr>
        <w:spacing w:after="0"/>
        <w:jc w:val="left"/>
      </w:pPr>
      <w:r w:rsidRPr="00117E11">
        <w:rPr>
          <w:b/>
        </w:rPr>
        <w:t>Career average revalued earnings (CARE) scheme</w:t>
      </w:r>
      <w:r>
        <w:t>.</w:t>
      </w:r>
    </w:p>
    <w:p w:rsidR="00117E11" w:rsidRDefault="0062660D" w:rsidP="00442678">
      <w:pPr>
        <w:spacing w:after="0"/>
        <w:jc w:val="left"/>
      </w:pPr>
      <w:r>
        <w:t>The pension at retirement will relate to your average salary over your career (Whi</w:t>
      </w:r>
      <w:r>
        <w:t>le paying into the pension scheme).  More precisely, it is based on pensionable earnings, increased in line with inflation as measured by the consumer price index (CPI).</w:t>
      </w:r>
    </w:p>
    <w:p w:rsidR="00117E11" w:rsidRDefault="0062660D" w:rsidP="00442678">
      <w:pPr>
        <w:spacing w:after="0"/>
        <w:jc w:val="left"/>
      </w:pPr>
    </w:p>
    <w:p w:rsidR="00117E11" w:rsidRPr="00117E11" w:rsidRDefault="0062660D" w:rsidP="00442678">
      <w:pPr>
        <w:spacing w:after="0"/>
        <w:jc w:val="left"/>
        <w:rPr>
          <w:b/>
        </w:rPr>
      </w:pPr>
      <w:r w:rsidRPr="00117E11">
        <w:rPr>
          <w:b/>
        </w:rPr>
        <w:t>Cash and cash equivalents</w:t>
      </w:r>
    </w:p>
    <w:p w:rsidR="00117E11" w:rsidRDefault="0062660D" w:rsidP="00442678">
      <w:pPr>
        <w:spacing w:after="0"/>
        <w:jc w:val="left"/>
      </w:pPr>
      <w:r>
        <w:t xml:space="preserve">Short term (less than 3 months), highly liquid investments </w:t>
      </w:r>
      <w:r>
        <w:t>that are readily convertible to known amounts of cash and which are subject to an insignificant risk of changes in value.</w:t>
      </w:r>
    </w:p>
    <w:p w:rsidR="00495172" w:rsidRDefault="0062660D" w:rsidP="00442678">
      <w:pPr>
        <w:spacing w:after="0"/>
        <w:jc w:val="left"/>
      </w:pPr>
    </w:p>
    <w:p w:rsidR="00495172" w:rsidRPr="00495172" w:rsidRDefault="0062660D" w:rsidP="00442678">
      <w:pPr>
        <w:spacing w:after="0"/>
        <w:jc w:val="left"/>
        <w:rPr>
          <w:b/>
        </w:rPr>
      </w:pPr>
      <w:r w:rsidRPr="00495172">
        <w:rPr>
          <w:b/>
        </w:rPr>
        <w:t xml:space="preserve">Collateral </w:t>
      </w:r>
    </w:p>
    <w:p w:rsidR="00117E11" w:rsidRDefault="0062660D" w:rsidP="00442678">
      <w:pPr>
        <w:spacing w:after="0"/>
        <w:jc w:val="left"/>
      </w:pPr>
      <w:r>
        <w:t>An asset (cash o</w:t>
      </w:r>
      <w:r>
        <w:t>r</w:t>
      </w:r>
      <w:r>
        <w:t xml:space="preserve"> securities) posted from one counterparty to another, and held as a guarantee against the value of a spe</w:t>
      </w:r>
      <w:r>
        <w:t>cified portfolio of trades or other transactions.</w:t>
      </w:r>
    </w:p>
    <w:p w:rsidR="00495172" w:rsidRDefault="0062660D" w:rsidP="00442678">
      <w:pPr>
        <w:spacing w:after="0"/>
        <w:jc w:val="left"/>
      </w:pPr>
    </w:p>
    <w:p w:rsidR="00117E11" w:rsidRPr="00495172" w:rsidRDefault="0062660D" w:rsidP="00442678">
      <w:pPr>
        <w:spacing w:after="0"/>
        <w:jc w:val="left"/>
        <w:rPr>
          <w:b/>
        </w:rPr>
      </w:pPr>
      <w:r w:rsidRPr="00495172">
        <w:rPr>
          <w:b/>
        </w:rPr>
        <w:t>Conflicts of interest</w:t>
      </w:r>
    </w:p>
    <w:p w:rsidR="00495172" w:rsidRDefault="0062660D" w:rsidP="00442678">
      <w:pPr>
        <w:spacing w:after="0"/>
        <w:jc w:val="left"/>
      </w:pPr>
      <w:r>
        <w:t xml:space="preserve">Real or apparent instances where a person or firm has an incentive to serve one interest at the expense of another.  Some of those conflicts are inherent in any large, diversified </w:t>
      </w:r>
      <w:r>
        <w:t xml:space="preserve">organisation, while others stem from the nature of the services offered to clients.  Those conflicts are managed through disclosure and with policies and procedures that are designed to protect client's interests.  The appearance of a conflict of interest </w:t>
      </w:r>
      <w:r>
        <w:t>is present if there is a potential for the personal interests of an individual to clash with fiduciary duties</w:t>
      </w:r>
      <w:r>
        <w:t>.</w:t>
      </w:r>
    </w:p>
    <w:p w:rsidR="006C5235" w:rsidRDefault="0062660D" w:rsidP="00442678">
      <w:pPr>
        <w:spacing w:after="0"/>
        <w:jc w:val="left"/>
      </w:pPr>
    </w:p>
    <w:p w:rsidR="006C5235" w:rsidRPr="006C5235" w:rsidRDefault="0062660D" w:rsidP="00442678">
      <w:pPr>
        <w:spacing w:after="0"/>
        <w:jc w:val="left"/>
        <w:rPr>
          <w:b/>
        </w:rPr>
      </w:pPr>
      <w:r w:rsidRPr="006C5235">
        <w:rPr>
          <w:b/>
        </w:rPr>
        <w:t>Consumer Price Index (CPI)</w:t>
      </w:r>
    </w:p>
    <w:p w:rsidR="0071392D" w:rsidRDefault="0062660D" w:rsidP="00442678">
      <w:pPr>
        <w:spacing w:after="0"/>
        <w:jc w:val="left"/>
      </w:pPr>
      <w:r>
        <w:t>CPI is an alternative measure of inflation also based on the change in the price of a fixed basket of goods and servi</w:t>
      </w:r>
      <w:r>
        <w:t>ces.  The difference between CPI and retail price index (RPI) is that CPI excludes some items used in RPI such as mortgage interest payments and council tax, and includes other items not used in RPI.</w:t>
      </w:r>
    </w:p>
    <w:p w:rsidR="006C5235" w:rsidRDefault="0062660D" w:rsidP="00442678">
      <w:pPr>
        <w:spacing w:after="0"/>
        <w:jc w:val="left"/>
      </w:pPr>
    </w:p>
    <w:p w:rsidR="0071392D" w:rsidRDefault="0062660D" w:rsidP="00442678">
      <w:pPr>
        <w:spacing w:after="0"/>
        <w:jc w:val="left"/>
        <w:rPr>
          <w:b/>
        </w:rPr>
      </w:pPr>
      <w:r w:rsidRPr="000D01FF">
        <w:rPr>
          <w:b/>
        </w:rPr>
        <w:t>Corporate Governance</w:t>
      </w:r>
    </w:p>
    <w:p w:rsidR="0071392D" w:rsidRDefault="0062660D" w:rsidP="00442678">
      <w:pPr>
        <w:spacing w:after="0"/>
        <w:jc w:val="left"/>
      </w:pPr>
      <w:r w:rsidRPr="00C11AAF">
        <w:t xml:space="preserve">The </w:t>
      </w:r>
      <w:r>
        <w:t>authoritative rules and contro</w:t>
      </w:r>
      <w:r>
        <w:t>ls in place within an organisation required to promote openness, inclusivity, integrity and accountability.</w:t>
      </w:r>
    </w:p>
    <w:p w:rsidR="00721196" w:rsidRDefault="0062660D" w:rsidP="00442678">
      <w:pPr>
        <w:spacing w:after="0"/>
        <w:jc w:val="left"/>
      </w:pPr>
    </w:p>
    <w:p w:rsidR="00721196" w:rsidRPr="00721196" w:rsidRDefault="0062660D" w:rsidP="00442678">
      <w:pPr>
        <w:spacing w:after="0"/>
        <w:jc w:val="left"/>
        <w:rPr>
          <w:b/>
        </w:rPr>
      </w:pPr>
      <w:r w:rsidRPr="00721196">
        <w:rPr>
          <w:b/>
        </w:rPr>
        <w:t>Creditors</w:t>
      </w:r>
    </w:p>
    <w:p w:rsidR="00721196" w:rsidRDefault="0062660D" w:rsidP="00442678">
      <w:pPr>
        <w:spacing w:after="0"/>
        <w:jc w:val="left"/>
      </w:pPr>
      <w:r>
        <w:t>Amounts owed by the Pension Fund for work carried out, goods received or services provided, which has not been paid by the date of the ne</w:t>
      </w:r>
      <w:r>
        <w:t>t assets statement.</w:t>
      </w:r>
    </w:p>
    <w:p w:rsidR="00721196" w:rsidRDefault="0062660D" w:rsidP="00442678">
      <w:pPr>
        <w:spacing w:after="0"/>
        <w:jc w:val="left"/>
      </w:pPr>
    </w:p>
    <w:p w:rsidR="00C11AAF" w:rsidRDefault="0062660D" w:rsidP="00442678">
      <w:pPr>
        <w:spacing w:after="0"/>
        <w:jc w:val="left"/>
      </w:pPr>
    </w:p>
    <w:p w:rsidR="00C11AAF" w:rsidRPr="00C11AAF" w:rsidRDefault="0062660D" w:rsidP="00442678">
      <w:pPr>
        <w:spacing w:after="0"/>
        <w:jc w:val="left"/>
        <w:rPr>
          <w:b/>
        </w:rPr>
      </w:pPr>
      <w:r w:rsidRPr="00C11AAF">
        <w:rPr>
          <w:b/>
        </w:rPr>
        <w:t>Credit strategies</w:t>
      </w:r>
    </w:p>
    <w:p w:rsidR="009F73A2" w:rsidRDefault="0062660D" w:rsidP="00442678">
      <w:pPr>
        <w:spacing w:after="0"/>
        <w:jc w:val="left"/>
      </w:pPr>
      <w:r w:rsidRPr="009F73A2">
        <w:t xml:space="preserve">Credit strategies involve investing in loans or the provision of other credit.  At the safest end this this may involve investing in Gilts – debt issued by government, where risk is perceived to be minimal but where </w:t>
      </w:r>
      <w:r w:rsidRPr="009F73A2">
        <w:t>returns are very low; at the other end of the spectrum are loans to heavily indebted companies or even companies who have credit difficulties, where there are higher levels of risk but where significantly enhanced returns are available.</w:t>
      </w:r>
      <w:r>
        <w:rPr>
          <w:color w:val="1F497D"/>
        </w:rPr>
        <w:t xml:space="preserve">  </w:t>
      </w:r>
    </w:p>
    <w:p w:rsidR="009F73A2" w:rsidRDefault="0062660D" w:rsidP="00442678">
      <w:pPr>
        <w:spacing w:after="0"/>
        <w:jc w:val="left"/>
      </w:pPr>
    </w:p>
    <w:p w:rsidR="00C11AAF" w:rsidRDefault="0062660D" w:rsidP="00442678">
      <w:pPr>
        <w:spacing w:after="0"/>
        <w:jc w:val="left"/>
        <w:rPr>
          <w:b/>
        </w:rPr>
      </w:pPr>
      <w:r w:rsidRPr="00C11AAF">
        <w:rPr>
          <w:b/>
        </w:rPr>
        <w:t>Currency forward</w:t>
      </w:r>
    </w:p>
    <w:p w:rsidR="00C11AAF" w:rsidRDefault="0062660D" w:rsidP="00442678">
      <w:pPr>
        <w:spacing w:after="0"/>
        <w:jc w:val="left"/>
      </w:pPr>
      <w:r>
        <w:t>An agreement between two counterparties to buy/sell a specified quantity of the underlying currency at a specified future date.  Contracts are settled in cash on the expiration date.</w:t>
      </w:r>
    </w:p>
    <w:p w:rsidR="00721196" w:rsidRDefault="0062660D" w:rsidP="00442678">
      <w:pPr>
        <w:spacing w:after="0"/>
        <w:jc w:val="left"/>
      </w:pPr>
    </w:p>
    <w:p w:rsidR="00721196" w:rsidRPr="00721196" w:rsidRDefault="0062660D" w:rsidP="00442678">
      <w:pPr>
        <w:spacing w:after="0"/>
        <w:jc w:val="left"/>
        <w:rPr>
          <w:b/>
        </w:rPr>
      </w:pPr>
      <w:r w:rsidRPr="00721196">
        <w:rPr>
          <w:b/>
        </w:rPr>
        <w:t>Current assets and liabilities</w:t>
      </w:r>
    </w:p>
    <w:p w:rsidR="00721196" w:rsidRDefault="0062660D" w:rsidP="00442678">
      <w:pPr>
        <w:spacing w:after="0"/>
        <w:jc w:val="left"/>
      </w:pPr>
      <w:r>
        <w:t>Current assets are cash, cash equivalent</w:t>
      </w:r>
      <w:r>
        <w:t>s and items that can be readily converted into cash.  Current liabilities are items that are due for payment immediately or in the short term.</w:t>
      </w:r>
    </w:p>
    <w:p w:rsidR="00C11AAF" w:rsidRDefault="0062660D" w:rsidP="00442678">
      <w:pPr>
        <w:spacing w:after="0"/>
        <w:jc w:val="left"/>
      </w:pPr>
    </w:p>
    <w:p w:rsidR="00C11AAF" w:rsidRPr="00C11AAF" w:rsidRDefault="0062660D" w:rsidP="00442678">
      <w:pPr>
        <w:spacing w:after="0"/>
        <w:jc w:val="left"/>
        <w:rPr>
          <w:b/>
        </w:rPr>
      </w:pPr>
      <w:r w:rsidRPr="00C11AAF">
        <w:rPr>
          <w:b/>
        </w:rPr>
        <w:t>Custody /Custodian</w:t>
      </w:r>
    </w:p>
    <w:p w:rsidR="00C11AAF" w:rsidRDefault="0062660D" w:rsidP="00442678">
      <w:pPr>
        <w:spacing w:after="0"/>
        <w:jc w:val="left"/>
      </w:pPr>
      <w:r>
        <w:t>Safekeeping of securities by a financial institution.  The custodian keeps a register of hold</w:t>
      </w:r>
      <w:r>
        <w:t>ings and will collect income and distribute monies according to client instructions</w:t>
      </w:r>
      <w:r>
        <w:t>.</w:t>
      </w:r>
    </w:p>
    <w:p w:rsidR="009527C1" w:rsidRDefault="0062660D" w:rsidP="00442678">
      <w:pPr>
        <w:spacing w:after="0"/>
        <w:jc w:val="left"/>
      </w:pPr>
    </w:p>
    <w:p w:rsidR="00721196" w:rsidRPr="00721196" w:rsidRDefault="0062660D" w:rsidP="00442678">
      <w:pPr>
        <w:spacing w:after="0"/>
        <w:jc w:val="left"/>
        <w:rPr>
          <w:b/>
        </w:rPr>
      </w:pPr>
      <w:r w:rsidRPr="00721196">
        <w:rPr>
          <w:b/>
        </w:rPr>
        <w:t>Debtors</w:t>
      </w:r>
    </w:p>
    <w:p w:rsidR="00721196" w:rsidRDefault="0062660D" w:rsidP="00442678">
      <w:pPr>
        <w:spacing w:after="0"/>
        <w:jc w:val="left"/>
      </w:pPr>
      <w:r>
        <w:t>Amounts owed to the Pension Fund which had not been paid by the date of the net assets statement.</w:t>
      </w:r>
    </w:p>
    <w:p w:rsidR="00721196" w:rsidRDefault="0062660D" w:rsidP="00442678">
      <w:pPr>
        <w:spacing w:after="0"/>
        <w:jc w:val="left"/>
      </w:pPr>
    </w:p>
    <w:p w:rsidR="009527C1" w:rsidRPr="009527C1" w:rsidRDefault="0062660D" w:rsidP="00442678">
      <w:pPr>
        <w:spacing w:after="0"/>
        <w:jc w:val="left"/>
        <w:rPr>
          <w:b/>
        </w:rPr>
      </w:pPr>
      <w:r w:rsidRPr="009527C1">
        <w:rPr>
          <w:b/>
        </w:rPr>
        <w:t xml:space="preserve">Defined </w:t>
      </w:r>
      <w:r>
        <w:rPr>
          <w:b/>
        </w:rPr>
        <w:t>benefit</w:t>
      </w:r>
    </w:p>
    <w:p w:rsidR="009527C1" w:rsidRDefault="0062660D" w:rsidP="00442678">
      <w:pPr>
        <w:spacing w:after="0"/>
        <w:jc w:val="left"/>
      </w:pPr>
      <w:r>
        <w:t xml:space="preserve">An employer sponsored retirement plan where </w:t>
      </w:r>
      <w:r>
        <w:t>employee benefits are sorted out based on a formula using factors</w:t>
      </w:r>
      <w:r>
        <w:t xml:space="preserve"> such as salary history and duration of employment.  Public sector pension schemes, including the LGPS are defined benefit.</w:t>
      </w:r>
    </w:p>
    <w:p w:rsidR="005F56D7" w:rsidRDefault="0062660D" w:rsidP="00442678">
      <w:pPr>
        <w:spacing w:after="0"/>
        <w:jc w:val="left"/>
      </w:pPr>
    </w:p>
    <w:p w:rsidR="00BF2C83" w:rsidRDefault="0062660D" w:rsidP="00442678">
      <w:pPr>
        <w:spacing w:after="0"/>
        <w:jc w:val="left"/>
        <w:rPr>
          <w:b/>
        </w:rPr>
      </w:pPr>
      <w:r w:rsidRPr="00BF2C83">
        <w:rPr>
          <w:b/>
        </w:rPr>
        <w:t>Emerging markets</w:t>
      </w:r>
    </w:p>
    <w:p w:rsidR="00BF2C83" w:rsidRDefault="0062660D" w:rsidP="00442678">
      <w:pPr>
        <w:spacing w:after="0"/>
        <w:jc w:val="left"/>
      </w:pPr>
      <w:r w:rsidRPr="00BF2C83">
        <w:t xml:space="preserve">Developing economies </w:t>
      </w:r>
      <w:r>
        <w:t>in Latin America, Africa, As</w:t>
      </w:r>
      <w:r>
        <w:t>ia and the Middle East as well as areas of Europe and the Far East.  Investment returns within these markets tend to be more volatile than those in more established markets.</w:t>
      </w:r>
    </w:p>
    <w:p w:rsidR="00BF2C83" w:rsidRDefault="0062660D" w:rsidP="00442678">
      <w:pPr>
        <w:spacing w:after="0"/>
        <w:jc w:val="left"/>
      </w:pPr>
    </w:p>
    <w:p w:rsidR="00BF2C83" w:rsidRPr="00BF2C83" w:rsidRDefault="0062660D" w:rsidP="00442678">
      <w:pPr>
        <w:spacing w:after="0"/>
        <w:jc w:val="left"/>
        <w:rPr>
          <w:b/>
        </w:rPr>
      </w:pPr>
      <w:r w:rsidRPr="00BF2C83">
        <w:rPr>
          <w:b/>
        </w:rPr>
        <w:t>Equities</w:t>
      </w:r>
    </w:p>
    <w:p w:rsidR="00BF2C83" w:rsidRDefault="0062660D" w:rsidP="00442678">
      <w:pPr>
        <w:spacing w:after="0"/>
        <w:jc w:val="left"/>
      </w:pPr>
      <w:r>
        <w:t>Ordinary shares in UK and overseas companies traded on a stock exchange.</w:t>
      </w:r>
      <w:r>
        <w:t xml:space="preserve">  Shareholders have an interest in the profits of the company and are entitled to vote at shareholders' meetings. </w:t>
      </w:r>
    </w:p>
    <w:p w:rsidR="00D80B7F" w:rsidRDefault="0062660D" w:rsidP="00442678">
      <w:pPr>
        <w:spacing w:after="0"/>
        <w:jc w:val="left"/>
      </w:pPr>
    </w:p>
    <w:p w:rsidR="00D80B7F" w:rsidRPr="00D80B7F" w:rsidRDefault="0062660D" w:rsidP="00442678">
      <w:pPr>
        <w:spacing w:after="0"/>
        <w:jc w:val="left"/>
        <w:rPr>
          <w:b/>
        </w:rPr>
      </w:pPr>
      <w:r w:rsidRPr="00D80B7F">
        <w:rPr>
          <w:b/>
        </w:rPr>
        <w:t>ESG (environmental, social and corporate governance)</w:t>
      </w:r>
    </w:p>
    <w:p w:rsidR="00D80B7F" w:rsidRDefault="0062660D" w:rsidP="00442678">
      <w:pPr>
        <w:spacing w:after="0"/>
        <w:jc w:val="left"/>
      </w:pPr>
      <w:r>
        <w:t xml:space="preserve">A set of standards for a company's operations that socially conscious investors use to </w:t>
      </w:r>
      <w:r>
        <w:t>screen investments.  Environmental criteria looks at how a company performs as a steward of the natural environment.  Social criteria examines how a company manages relationships with its employees, suppliers, customers and the communities where it operate</w:t>
      </w:r>
      <w:r>
        <w:t>s.  Governance deals with a company's leadership, executive pay, audits and internal controls and shareholder rights.  ESG is the catch-all term for the criteria used in what has become known as socially responsible investing.  Socially responsible investi</w:t>
      </w:r>
      <w:r>
        <w:t>ng is among several related concepts and approaches that influence and, in some cases govern, how asset managers invest portfolios.</w:t>
      </w:r>
    </w:p>
    <w:p w:rsidR="006F5633" w:rsidRDefault="0062660D" w:rsidP="00442678">
      <w:pPr>
        <w:spacing w:after="0"/>
        <w:jc w:val="left"/>
      </w:pPr>
    </w:p>
    <w:p w:rsidR="006F5633" w:rsidRPr="00643B35" w:rsidRDefault="0062660D" w:rsidP="00442678">
      <w:pPr>
        <w:spacing w:after="0"/>
        <w:jc w:val="left"/>
        <w:rPr>
          <w:b/>
        </w:rPr>
      </w:pPr>
      <w:r w:rsidRPr="00643B35">
        <w:rPr>
          <w:b/>
        </w:rPr>
        <w:t>Financial instrument</w:t>
      </w:r>
    </w:p>
    <w:p w:rsidR="006F5633" w:rsidRDefault="0062660D" w:rsidP="00442678">
      <w:pPr>
        <w:spacing w:after="0"/>
        <w:jc w:val="left"/>
      </w:pPr>
      <w:r>
        <w:t>A contract between two parties that involves a monetary exchange for some type of debt or asset.</w:t>
      </w:r>
    </w:p>
    <w:p w:rsidR="00643B35" w:rsidRDefault="0062660D" w:rsidP="00442678">
      <w:pPr>
        <w:spacing w:after="0"/>
        <w:jc w:val="left"/>
      </w:pPr>
    </w:p>
    <w:p w:rsidR="00643B35" w:rsidRPr="00643B35" w:rsidRDefault="0062660D" w:rsidP="00442678">
      <w:pPr>
        <w:spacing w:after="0"/>
        <w:jc w:val="left"/>
        <w:rPr>
          <w:b/>
        </w:rPr>
      </w:pPr>
      <w:r w:rsidRPr="00643B35">
        <w:rPr>
          <w:b/>
        </w:rPr>
        <w:t xml:space="preserve">Fixed interest </w:t>
      </w:r>
      <w:r>
        <w:rPr>
          <w:b/>
        </w:rPr>
        <w:t>securities</w:t>
      </w:r>
    </w:p>
    <w:p w:rsidR="00643B35" w:rsidRDefault="0062660D" w:rsidP="00442678">
      <w:pPr>
        <w:spacing w:after="0"/>
        <w:jc w:val="left"/>
      </w:pPr>
      <w:r>
        <w:t>Investments in stocks mainly issued by governments, which guarantee a fixed rate of interest.</w:t>
      </w:r>
    </w:p>
    <w:p w:rsidR="00EC38B0" w:rsidRDefault="0062660D" w:rsidP="00442678">
      <w:pPr>
        <w:spacing w:after="0"/>
        <w:jc w:val="left"/>
      </w:pPr>
    </w:p>
    <w:p w:rsidR="00EC38B0" w:rsidRDefault="0062660D" w:rsidP="00442678">
      <w:pPr>
        <w:spacing w:after="0"/>
        <w:jc w:val="left"/>
      </w:pPr>
    </w:p>
    <w:p w:rsidR="00EC38B0" w:rsidRDefault="0062660D" w:rsidP="00442678">
      <w:pPr>
        <w:spacing w:after="0"/>
        <w:jc w:val="left"/>
      </w:pPr>
    </w:p>
    <w:p w:rsidR="00643B35" w:rsidRPr="00643B35" w:rsidRDefault="0062660D" w:rsidP="00442678">
      <w:pPr>
        <w:spacing w:after="0"/>
        <w:jc w:val="left"/>
        <w:rPr>
          <w:b/>
        </w:rPr>
      </w:pPr>
      <w:r w:rsidRPr="00643B35">
        <w:rPr>
          <w:b/>
        </w:rPr>
        <w:t>Funding level</w:t>
      </w:r>
    </w:p>
    <w:p w:rsidR="00643B35" w:rsidRDefault="0062660D" w:rsidP="00442678">
      <w:pPr>
        <w:spacing w:after="0"/>
        <w:jc w:val="left"/>
      </w:pPr>
      <w:r>
        <w:t>The ratio of a Pension scheme's assets to its liabilities.  Used as a measure of the scheme's ability to meet its futur</w:t>
      </w:r>
      <w:r>
        <w:t>e liabilities.</w:t>
      </w:r>
    </w:p>
    <w:p w:rsidR="00FA4A25" w:rsidRDefault="0062660D" w:rsidP="00442678">
      <w:pPr>
        <w:spacing w:after="0"/>
        <w:jc w:val="left"/>
      </w:pPr>
    </w:p>
    <w:p w:rsidR="00FA4A25" w:rsidRPr="00FA4A25" w:rsidRDefault="0062660D" w:rsidP="00442678">
      <w:pPr>
        <w:spacing w:after="0"/>
        <w:jc w:val="left"/>
        <w:rPr>
          <w:b/>
        </w:rPr>
      </w:pPr>
      <w:r w:rsidRPr="00FA4A25">
        <w:rPr>
          <w:b/>
        </w:rPr>
        <w:t>Index-linked securities</w:t>
      </w:r>
    </w:p>
    <w:p w:rsidR="00D80B7F" w:rsidRDefault="0062660D" w:rsidP="00442678">
      <w:pPr>
        <w:spacing w:after="0"/>
        <w:jc w:val="left"/>
      </w:pPr>
      <w:r>
        <w:t>Investments in stock where the interest payments and the final redemption proceeds are linked to the retail price index.  Such stocks provide protection against inflation.</w:t>
      </w:r>
    </w:p>
    <w:p w:rsidR="00FA4A25" w:rsidRDefault="0062660D" w:rsidP="00442678">
      <w:pPr>
        <w:spacing w:after="0"/>
        <w:jc w:val="left"/>
      </w:pPr>
    </w:p>
    <w:p w:rsidR="00FA4A25" w:rsidRPr="00B90E8E" w:rsidRDefault="0062660D" w:rsidP="00442678">
      <w:pPr>
        <w:spacing w:after="0"/>
        <w:jc w:val="left"/>
        <w:rPr>
          <w:b/>
        </w:rPr>
      </w:pPr>
      <w:r w:rsidRPr="00B90E8E">
        <w:rPr>
          <w:b/>
        </w:rPr>
        <w:t>Infrastructure</w:t>
      </w:r>
    </w:p>
    <w:p w:rsidR="00B90E8E" w:rsidRDefault="0062660D" w:rsidP="00442678">
      <w:pPr>
        <w:spacing w:after="0"/>
        <w:jc w:val="left"/>
      </w:pPr>
      <w:r>
        <w:t>The public facilities and se</w:t>
      </w:r>
      <w:r>
        <w:t>rvices needed to support residential development, including highways, bridges, schools and sewer and water systems.  A term usually associated with investment in transport, power and utilities projects.</w:t>
      </w:r>
    </w:p>
    <w:p w:rsidR="00B90E8E" w:rsidRDefault="0062660D" w:rsidP="00442678">
      <w:pPr>
        <w:spacing w:after="0"/>
        <w:jc w:val="left"/>
      </w:pPr>
    </w:p>
    <w:p w:rsidR="00B90E8E" w:rsidRPr="00B90E8E" w:rsidRDefault="0062660D" w:rsidP="00442678">
      <w:pPr>
        <w:spacing w:after="0"/>
        <w:jc w:val="left"/>
        <w:rPr>
          <w:b/>
        </w:rPr>
      </w:pPr>
      <w:r w:rsidRPr="00B90E8E">
        <w:rPr>
          <w:b/>
        </w:rPr>
        <w:t>Investment management expenses</w:t>
      </w:r>
    </w:p>
    <w:p w:rsidR="00B90E8E" w:rsidRDefault="0062660D" w:rsidP="00442678">
      <w:pPr>
        <w:spacing w:after="0"/>
        <w:jc w:val="left"/>
      </w:pPr>
      <w:r>
        <w:t>All expenses relating</w:t>
      </w:r>
      <w:r>
        <w:t xml:space="preserve"> to managing the Fund's investments.</w:t>
      </w:r>
    </w:p>
    <w:p w:rsidR="00B90E8E" w:rsidRDefault="0062660D" w:rsidP="00442678">
      <w:pPr>
        <w:spacing w:after="0"/>
        <w:jc w:val="left"/>
      </w:pPr>
    </w:p>
    <w:p w:rsidR="00B90E8E" w:rsidRPr="00B90E8E" w:rsidRDefault="0062660D" w:rsidP="00442678">
      <w:pPr>
        <w:spacing w:after="0"/>
        <w:jc w:val="left"/>
        <w:rPr>
          <w:b/>
        </w:rPr>
      </w:pPr>
      <w:r w:rsidRPr="00B90E8E">
        <w:rPr>
          <w:b/>
        </w:rPr>
        <w:t>Investment strategy</w:t>
      </w:r>
    </w:p>
    <w:p w:rsidR="00B90E8E" w:rsidRDefault="0062660D" w:rsidP="00442678">
      <w:pPr>
        <w:spacing w:after="0"/>
        <w:jc w:val="left"/>
      </w:pPr>
      <w:proofErr w:type="gramStart"/>
      <w:r>
        <w:t>Investors</w:t>
      </w:r>
      <w:proofErr w:type="gramEnd"/>
      <w:r>
        <w:t xml:space="preserve"> </w:t>
      </w:r>
      <w:r>
        <w:t>long-term distribution of assets among various asset classes taking into consideration, goals of the investor, attitude to risk and timescale.</w:t>
      </w:r>
    </w:p>
    <w:p w:rsidR="00BF2C83" w:rsidRDefault="0062660D" w:rsidP="00442678">
      <w:pPr>
        <w:spacing w:after="0"/>
        <w:jc w:val="left"/>
      </w:pPr>
    </w:p>
    <w:p w:rsidR="00BF2C83" w:rsidRPr="00F30512" w:rsidRDefault="0062660D" w:rsidP="00442678">
      <w:pPr>
        <w:spacing w:after="0"/>
        <w:jc w:val="left"/>
        <w:rPr>
          <w:b/>
        </w:rPr>
      </w:pPr>
      <w:r w:rsidRPr="00F30512">
        <w:rPr>
          <w:b/>
        </w:rPr>
        <w:t>Liabilities</w:t>
      </w:r>
    </w:p>
    <w:p w:rsidR="00F30512" w:rsidRDefault="0062660D" w:rsidP="00442678">
      <w:pPr>
        <w:spacing w:after="0"/>
        <w:jc w:val="left"/>
      </w:pPr>
      <w:r>
        <w:t xml:space="preserve">Financial liabilities are debts </w:t>
      </w:r>
      <w:r>
        <w:t>owed to creditors for outstanding payments due to be paid.  Pension liabilities are the pension benefits and payments that are due to be paid when someone retires.</w:t>
      </w:r>
    </w:p>
    <w:p w:rsidR="00487E47" w:rsidRDefault="0062660D" w:rsidP="00442678">
      <w:pPr>
        <w:spacing w:after="0"/>
        <w:jc w:val="left"/>
      </w:pPr>
    </w:p>
    <w:p w:rsidR="00487E47" w:rsidRPr="00487E47" w:rsidRDefault="0062660D" w:rsidP="00442678">
      <w:pPr>
        <w:spacing w:after="0"/>
        <w:jc w:val="left"/>
        <w:rPr>
          <w:b/>
        </w:rPr>
      </w:pPr>
      <w:r w:rsidRPr="00487E47">
        <w:rPr>
          <w:b/>
        </w:rPr>
        <w:t>LPP – Local pensions partnership</w:t>
      </w:r>
    </w:p>
    <w:p w:rsidR="00487E47" w:rsidRDefault="0062660D" w:rsidP="00487E47">
      <w:pPr>
        <w:shd w:val="clear" w:color="auto" w:fill="FFFFFF"/>
        <w:autoSpaceDE/>
        <w:autoSpaceDN/>
        <w:adjustRightInd/>
        <w:spacing w:after="0"/>
        <w:jc w:val="left"/>
      </w:pPr>
      <w:r w:rsidRPr="00487E47">
        <w:t>The Local Pensions Partnership (LPP) is a collaboration be</w:t>
      </w:r>
      <w:r w:rsidRPr="00487E47">
        <w:t>tween two successful LGPS funds – Lancashire County Pension Fund and</w:t>
      </w:r>
      <w:r>
        <w:t xml:space="preserve"> London Pensions Fund Authority,</w:t>
      </w:r>
      <w:r w:rsidRPr="00487E47">
        <w:t xml:space="preserve"> with the goals of creating:</w:t>
      </w:r>
    </w:p>
    <w:p w:rsidR="00487E47" w:rsidRDefault="0062660D" w:rsidP="00487E47">
      <w:pPr>
        <w:pStyle w:val="ListParagraph"/>
        <w:numPr>
          <w:ilvl w:val="0"/>
          <w:numId w:val="41"/>
        </w:numPr>
        <w:shd w:val="clear" w:color="auto" w:fill="FFFFFF"/>
        <w:autoSpaceDE/>
        <w:autoSpaceDN/>
        <w:adjustRightInd/>
        <w:spacing w:after="0"/>
        <w:jc w:val="left"/>
      </w:pPr>
      <w:r w:rsidRPr="00487E47">
        <w:t>A best-in-class, end-to-end pensions services organisation for public sector funds; LPP currently provide pensions administrati</w:t>
      </w:r>
      <w:r w:rsidRPr="00487E47">
        <w:t>on services to 13 funds, including LGPS, fire and police schemes.</w:t>
      </w:r>
    </w:p>
    <w:p w:rsidR="00487E47" w:rsidRPr="00487E47" w:rsidRDefault="0062660D" w:rsidP="00487E47">
      <w:pPr>
        <w:pStyle w:val="ListParagraph"/>
        <w:numPr>
          <w:ilvl w:val="0"/>
          <w:numId w:val="39"/>
        </w:numPr>
        <w:shd w:val="clear" w:color="auto" w:fill="FFFFFF"/>
        <w:autoSpaceDE/>
        <w:autoSpaceDN/>
        <w:adjustRightInd/>
        <w:spacing w:before="100" w:beforeAutospacing="1" w:after="100" w:afterAutospacing="1"/>
        <w:jc w:val="left"/>
      </w:pPr>
      <w:r w:rsidRPr="00487E47">
        <w:t>An FCA-regulated structure for asset pooling.</w:t>
      </w:r>
    </w:p>
    <w:p w:rsidR="00487E47" w:rsidRPr="00487E47" w:rsidRDefault="0062660D" w:rsidP="00487E47">
      <w:pPr>
        <w:numPr>
          <w:ilvl w:val="0"/>
          <w:numId w:val="39"/>
        </w:numPr>
        <w:shd w:val="clear" w:color="auto" w:fill="FFFFFF"/>
        <w:autoSpaceDE/>
        <w:autoSpaceDN/>
        <w:adjustRightInd/>
        <w:spacing w:before="100" w:beforeAutospacing="1" w:after="100" w:afterAutospacing="1"/>
        <w:jc w:val="left"/>
      </w:pPr>
      <w:r w:rsidRPr="00487E47">
        <w:t xml:space="preserve">An organisation focused on managing assets and liabilities (risk) together in order to improve long-term fund performance, stabilise </w:t>
      </w:r>
      <w:r w:rsidRPr="00487E47">
        <w:t>contributions and reduce deficits.</w:t>
      </w:r>
    </w:p>
    <w:p w:rsidR="00F30512" w:rsidRDefault="0062660D" w:rsidP="00487E47">
      <w:pPr>
        <w:numPr>
          <w:ilvl w:val="0"/>
          <w:numId w:val="39"/>
        </w:numPr>
        <w:shd w:val="clear" w:color="auto" w:fill="FFFFFF"/>
        <w:autoSpaceDE/>
        <w:autoSpaceDN/>
        <w:adjustRightInd/>
        <w:spacing w:before="100" w:beforeAutospacing="1" w:after="0" w:afterAutospacing="1"/>
        <w:jc w:val="left"/>
      </w:pPr>
      <w:r w:rsidRPr="00487E47">
        <w:t>A partnership which is open to other LGPS and public sector funds to join as owner shareholders or as investors only in LPP’s pool.</w:t>
      </w:r>
    </w:p>
    <w:p w:rsidR="00F30512" w:rsidRPr="00F30512" w:rsidRDefault="0062660D" w:rsidP="00442678">
      <w:pPr>
        <w:spacing w:after="0"/>
        <w:jc w:val="left"/>
        <w:rPr>
          <w:b/>
        </w:rPr>
      </w:pPr>
      <w:r w:rsidRPr="00F30512">
        <w:rPr>
          <w:b/>
        </w:rPr>
        <w:t>Market value</w:t>
      </w:r>
    </w:p>
    <w:p w:rsidR="00F30512" w:rsidRDefault="0062660D" w:rsidP="00442678">
      <w:pPr>
        <w:spacing w:after="0"/>
        <w:jc w:val="left"/>
      </w:pPr>
      <w:r>
        <w:t>The price at which an investment can be bought or sold at a given date.</w:t>
      </w:r>
    </w:p>
    <w:p w:rsidR="00F30512" w:rsidRDefault="0062660D" w:rsidP="00442678">
      <w:pPr>
        <w:spacing w:after="0"/>
        <w:jc w:val="left"/>
      </w:pPr>
    </w:p>
    <w:p w:rsidR="00F30512" w:rsidRPr="00823D14" w:rsidRDefault="0062660D" w:rsidP="00442678">
      <w:pPr>
        <w:spacing w:after="0"/>
        <w:jc w:val="left"/>
        <w:rPr>
          <w:b/>
        </w:rPr>
      </w:pPr>
      <w:proofErr w:type="spellStart"/>
      <w:r w:rsidRPr="00823D14">
        <w:rPr>
          <w:b/>
        </w:rPr>
        <w:t>Myners</w:t>
      </w:r>
      <w:proofErr w:type="spellEnd"/>
      <w:r w:rsidRPr="00823D14">
        <w:rPr>
          <w:b/>
        </w:rPr>
        <w:t xml:space="preserve"> review</w:t>
      </w:r>
    </w:p>
    <w:p w:rsidR="00823D14" w:rsidRDefault="0062660D" w:rsidP="00442678">
      <w:pPr>
        <w:spacing w:after="0"/>
        <w:jc w:val="left"/>
      </w:pPr>
      <w:r>
        <w:t xml:space="preserve">Review carried out by Paul </w:t>
      </w:r>
      <w:proofErr w:type="spellStart"/>
      <w:r>
        <w:t>Myners</w:t>
      </w:r>
      <w:proofErr w:type="spellEnd"/>
      <w:r>
        <w:t xml:space="preserve"> on behalf of the Chancellor of the UK government.  The review published in March 2001, investigated the challenges facing institutional investment decision making.</w:t>
      </w:r>
    </w:p>
    <w:p w:rsidR="003B2027" w:rsidRDefault="0062660D" w:rsidP="00442678">
      <w:pPr>
        <w:spacing w:after="0"/>
        <w:jc w:val="left"/>
      </w:pPr>
    </w:p>
    <w:p w:rsidR="003B2027" w:rsidRPr="00C5138D" w:rsidRDefault="0062660D" w:rsidP="00442678">
      <w:pPr>
        <w:spacing w:after="0"/>
        <w:jc w:val="left"/>
        <w:rPr>
          <w:b/>
        </w:rPr>
      </w:pPr>
      <w:r w:rsidRPr="00C5138D">
        <w:rPr>
          <w:b/>
        </w:rPr>
        <w:t>OTC</w:t>
      </w:r>
    </w:p>
    <w:p w:rsidR="00C5138D" w:rsidRDefault="0062660D" w:rsidP="00442678">
      <w:pPr>
        <w:spacing w:after="0"/>
        <w:jc w:val="left"/>
      </w:pPr>
      <w:r>
        <w:t>A security traded in some context other</w:t>
      </w:r>
      <w:r>
        <w:t xml:space="preserve"> than on a formal exchange.  The phrase "over the counter" can be used to refer to stocks that trade via a dealer network as opposed to on a centralised exchange.  It also refers to debt securities and other financial instruments such as derivatives, which</w:t>
      </w:r>
      <w:r>
        <w:t xml:space="preserve"> are traded through a dealer network.</w:t>
      </w:r>
    </w:p>
    <w:p w:rsidR="00C5138D" w:rsidRDefault="0062660D" w:rsidP="00442678">
      <w:pPr>
        <w:spacing w:after="0"/>
        <w:jc w:val="left"/>
      </w:pPr>
    </w:p>
    <w:p w:rsidR="00487E47" w:rsidRDefault="0062660D" w:rsidP="00442678">
      <w:pPr>
        <w:spacing w:after="0"/>
        <w:jc w:val="left"/>
        <w:rPr>
          <w:b/>
        </w:rPr>
      </w:pPr>
      <w:r w:rsidRPr="00487E47">
        <w:rPr>
          <w:b/>
        </w:rPr>
        <w:t>Pension Board</w:t>
      </w:r>
      <w:r>
        <w:rPr>
          <w:b/>
        </w:rPr>
        <w:t>s</w:t>
      </w:r>
    </w:p>
    <w:p w:rsidR="005E52EF" w:rsidRPr="005E52EF" w:rsidRDefault="0062660D" w:rsidP="005E52EF">
      <w:pPr>
        <w:spacing w:after="252" w:line="300" w:lineRule="atLeast"/>
        <w:ind w:right="600"/>
        <w:jc w:val="left"/>
      </w:pPr>
      <w:r w:rsidRPr="005E52EF">
        <w:t xml:space="preserve">The role of each board is to help ensure each scheme complies with governance and administration requirements. They may have additional duties, if scheme or other regulations so specify. </w:t>
      </w:r>
    </w:p>
    <w:p w:rsidR="00487E47" w:rsidRDefault="0062660D" w:rsidP="005E52EF">
      <w:pPr>
        <w:spacing w:after="0"/>
        <w:jc w:val="left"/>
      </w:pPr>
      <w:r w:rsidRPr="005E52EF">
        <w:t>Pension boards</w:t>
      </w:r>
      <w:r w:rsidRPr="005E52EF">
        <w:t xml:space="preserve"> need to have an equal number of employer representatives and member representatives. They may also have other types of members, such as independent experts. All pension board members have a duty to act in accordance with scheme regulations and other gover</w:t>
      </w:r>
      <w:r w:rsidRPr="005E52EF">
        <w:t>ning documents.</w:t>
      </w:r>
    </w:p>
    <w:p w:rsidR="00487E47" w:rsidRDefault="0062660D" w:rsidP="00442678">
      <w:pPr>
        <w:spacing w:after="0"/>
        <w:jc w:val="left"/>
      </w:pPr>
    </w:p>
    <w:p w:rsidR="00C5138D" w:rsidRDefault="0062660D" w:rsidP="00442678">
      <w:pPr>
        <w:spacing w:after="0"/>
        <w:jc w:val="left"/>
        <w:rPr>
          <w:b/>
        </w:rPr>
      </w:pPr>
      <w:r>
        <w:rPr>
          <w:b/>
        </w:rPr>
        <w:t>Pooled investment vehicles</w:t>
      </w:r>
    </w:p>
    <w:p w:rsidR="00943678" w:rsidRPr="00943678" w:rsidRDefault="0062660D" w:rsidP="00E46257">
      <w:pPr>
        <w:spacing w:after="0"/>
        <w:jc w:val="left"/>
      </w:pPr>
      <w:r>
        <w:t xml:space="preserve">Funds which manage the investments </w:t>
      </w:r>
      <w:r>
        <w:t>of more than one investor on a collective basis.  Each investor is allocated units which are revalued a</w:t>
      </w:r>
      <w:r>
        <w:t>t</w:t>
      </w:r>
      <w:r>
        <w:t xml:space="preserve"> regular intervals</w:t>
      </w:r>
      <w:r>
        <w:t>.  Income from these investments is normally returned t</w:t>
      </w:r>
      <w:r>
        <w:t xml:space="preserve">o the pooled fund and increases the value of the units.  </w:t>
      </w:r>
      <w:r>
        <w:t xml:space="preserve"> </w:t>
      </w:r>
      <w:r>
        <w:t xml:space="preserve"> </w:t>
      </w:r>
    </w:p>
    <w:p w:rsidR="00C5138D" w:rsidRPr="00BF2C83" w:rsidRDefault="0062660D" w:rsidP="00E46257">
      <w:pPr>
        <w:spacing w:after="0"/>
        <w:jc w:val="left"/>
      </w:pPr>
    </w:p>
    <w:p w:rsidR="00BF2C83" w:rsidRPr="00E46257" w:rsidRDefault="0062660D" w:rsidP="00442678">
      <w:pPr>
        <w:spacing w:after="0"/>
        <w:jc w:val="left"/>
        <w:rPr>
          <w:b/>
        </w:rPr>
      </w:pPr>
      <w:r w:rsidRPr="00E46257">
        <w:rPr>
          <w:b/>
        </w:rPr>
        <w:t>Private equity</w:t>
      </w:r>
    </w:p>
    <w:p w:rsidR="00E46257" w:rsidRDefault="0062660D" w:rsidP="00442678">
      <w:pPr>
        <w:spacing w:after="0"/>
        <w:jc w:val="left"/>
      </w:pPr>
      <w:r>
        <w:t>Shares in un-quoted companies.</w:t>
      </w:r>
    </w:p>
    <w:p w:rsidR="005C1254" w:rsidRDefault="0062660D" w:rsidP="00442678">
      <w:pPr>
        <w:spacing w:after="0"/>
        <w:jc w:val="left"/>
      </w:pPr>
    </w:p>
    <w:p w:rsidR="005C1254" w:rsidRPr="005C1254" w:rsidRDefault="0062660D" w:rsidP="00442678">
      <w:pPr>
        <w:spacing w:after="0"/>
        <w:jc w:val="left"/>
        <w:rPr>
          <w:b/>
        </w:rPr>
      </w:pPr>
      <w:r w:rsidRPr="005C1254">
        <w:rPr>
          <w:b/>
        </w:rPr>
        <w:t>Property</w:t>
      </w:r>
    </w:p>
    <w:p w:rsidR="005C1254" w:rsidRDefault="0062660D" w:rsidP="00442678">
      <w:pPr>
        <w:spacing w:after="0"/>
        <w:jc w:val="left"/>
      </w:pPr>
      <w:r>
        <w:t>All buildings and land that the Fund owns, including pooled property funds.</w:t>
      </w:r>
    </w:p>
    <w:p w:rsidR="005C1254" w:rsidRDefault="0062660D" w:rsidP="00442678">
      <w:pPr>
        <w:spacing w:after="0"/>
        <w:jc w:val="left"/>
      </w:pPr>
    </w:p>
    <w:p w:rsidR="005C1254" w:rsidRPr="005C1254" w:rsidRDefault="0062660D" w:rsidP="00442678">
      <w:pPr>
        <w:spacing w:after="0"/>
        <w:jc w:val="left"/>
        <w:rPr>
          <w:b/>
        </w:rPr>
      </w:pPr>
      <w:r w:rsidRPr="005C1254">
        <w:rPr>
          <w:b/>
        </w:rPr>
        <w:t>Related party</w:t>
      </w:r>
    </w:p>
    <w:p w:rsidR="005C1254" w:rsidRDefault="0062660D" w:rsidP="00442678">
      <w:pPr>
        <w:spacing w:after="0"/>
        <w:jc w:val="left"/>
      </w:pPr>
      <w:r>
        <w:t xml:space="preserve">A </w:t>
      </w:r>
      <w:r>
        <w:t>person</w:t>
      </w:r>
      <w:r>
        <w:t xml:space="preserve"> or organisation which has influence over another person or organisation.</w:t>
      </w:r>
    </w:p>
    <w:p w:rsidR="005C1254" w:rsidRDefault="0062660D" w:rsidP="00442678">
      <w:pPr>
        <w:spacing w:after="0"/>
        <w:jc w:val="left"/>
      </w:pPr>
    </w:p>
    <w:p w:rsidR="005C1254" w:rsidRDefault="0062660D" w:rsidP="00442678">
      <w:pPr>
        <w:spacing w:after="0"/>
        <w:jc w:val="left"/>
        <w:rPr>
          <w:b/>
        </w:rPr>
      </w:pPr>
      <w:r w:rsidRPr="005C1254">
        <w:rPr>
          <w:b/>
        </w:rPr>
        <w:t>Socially responsible investment</w:t>
      </w:r>
    </w:p>
    <w:p w:rsidR="005C1254" w:rsidRDefault="0062660D" w:rsidP="00442678">
      <w:pPr>
        <w:spacing w:after="0"/>
        <w:jc w:val="left"/>
      </w:pPr>
      <w:r>
        <w:t>Investments which take into consideration social and environmental factors, as well as financial factors.</w:t>
      </w:r>
    </w:p>
    <w:p w:rsidR="005C1254" w:rsidRDefault="0062660D" w:rsidP="00442678">
      <w:pPr>
        <w:spacing w:after="0"/>
        <w:jc w:val="left"/>
      </w:pPr>
    </w:p>
    <w:p w:rsidR="005C1254" w:rsidRPr="005C1254" w:rsidRDefault="0062660D" w:rsidP="00442678">
      <w:pPr>
        <w:spacing w:after="0"/>
        <w:jc w:val="left"/>
        <w:rPr>
          <w:b/>
        </w:rPr>
      </w:pPr>
      <w:r w:rsidRPr="005C1254">
        <w:rPr>
          <w:b/>
        </w:rPr>
        <w:t>Statement of investment principles</w:t>
      </w:r>
    </w:p>
    <w:p w:rsidR="005C1254" w:rsidRDefault="0062660D" w:rsidP="00442678">
      <w:pPr>
        <w:spacing w:after="0"/>
        <w:jc w:val="left"/>
      </w:pPr>
      <w:r>
        <w:t>The SIP</w:t>
      </w:r>
      <w:r>
        <w:t xml:space="preserve"> sets out details of the investment policy being followed by a pension scheme.  Includes certain specific statements such as the kinds of investments held and the balance between them, risk and expected returns, realisations of investments, socially respon</w:t>
      </w:r>
      <w:r>
        <w:t>sible investments and corporate governance policy.</w:t>
      </w:r>
    </w:p>
    <w:p w:rsidR="000F1EB3" w:rsidRDefault="0062660D" w:rsidP="00442678">
      <w:pPr>
        <w:spacing w:after="0"/>
        <w:jc w:val="left"/>
      </w:pPr>
    </w:p>
    <w:p w:rsidR="000F1EB3" w:rsidRPr="000F1EB3" w:rsidRDefault="0062660D" w:rsidP="00442678">
      <w:pPr>
        <w:spacing w:after="0"/>
        <w:jc w:val="left"/>
        <w:rPr>
          <w:b/>
        </w:rPr>
      </w:pPr>
      <w:r w:rsidRPr="000F1EB3">
        <w:rPr>
          <w:b/>
        </w:rPr>
        <w:t>Stock lending</w:t>
      </w:r>
    </w:p>
    <w:p w:rsidR="000F1EB3" w:rsidRDefault="0062660D" w:rsidP="00442678">
      <w:pPr>
        <w:spacing w:after="0"/>
        <w:jc w:val="left"/>
      </w:pPr>
      <w:r>
        <w:t>The act of loaning securities to another investor in return for a fee.  When a security is loaned the ownership is also transferred to the borrower.</w:t>
      </w:r>
    </w:p>
    <w:p w:rsidR="000F1EB3" w:rsidRDefault="0062660D" w:rsidP="00442678">
      <w:pPr>
        <w:spacing w:after="0"/>
        <w:jc w:val="left"/>
      </w:pPr>
    </w:p>
    <w:p w:rsidR="000F1EB3" w:rsidRPr="000F1EB3" w:rsidRDefault="0062660D" w:rsidP="00442678">
      <w:pPr>
        <w:spacing w:after="0"/>
        <w:jc w:val="left"/>
        <w:rPr>
          <w:b/>
        </w:rPr>
      </w:pPr>
      <w:r w:rsidRPr="000F1EB3">
        <w:rPr>
          <w:b/>
        </w:rPr>
        <w:t>Transfer values</w:t>
      </w:r>
    </w:p>
    <w:p w:rsidR="000F1EB3" w:rsidRDefault="0062660D" w:rsidP="00442678">
      <w:pPr>
        <w:spacing w:after="0"/>
        <w:jc w:val="left"/>
      </w:pPr>
      <w:r>
        <w:t>The value of a pension s</w:t>
      </w:r>
      <w:r>
        <w:t>cheme members benefits available to buy benefits in another scheme.</w:t>
      </w:r>
    </w:p>
    <w:p w:rsidR="000F1EB3" w:rsidRDefault="0062660D" w:rsidP="00442678">
      <w:pPr>
        <w:spacing w:after="0"/>
        <w:jc w:val="left"/>
      </w:pPr>
    </w:p>
    <w:p w:rsidR="000F1EB3" w:rsidRDefault="0062660D" w:rsidP="00442678">
      <w:pPr>
        <w:spacing w:after="0"/>
        <w:jc w:val="left"/>
        <w:rPr>
          <w:b/>
        </w:rPr>
      </w:pPr>
      <w:r w:rsidRPr="000F1EB3">
        <w:rPr>
          <w:b/>
        </w:rPr>
        <w:t xml:space="preserve">Triennial </w:t>
      </w:r>
      <w:r>
        <w:rPr>
          <w:b/>
        </w:rPr>
        <w:t xml:space="preserve">actuarial </w:t>
      </w:r>
      <w:r w:rsidRPr="000F1EB3">
        <w:rPr>
          <w:b/>
        </w:rPr>
        <w:t>valuation</w:t>
      </w:r>
    </w:p>
    <w:p w:rsidR="000F1EB3" w:rsidRDefault="0062660D" w:rsidP="00442678">
      <w:pPr>
        <w:spacing w:after="0"/>
        <w:jc w:val="left"/>
      </w:pPr>
      <w:r w:rsidRPr="000F1EB3">
        <w:t>Every three years the actuary formally reviews the assets and liabilities of the Lancashire LGPS scheme and produces a report on the scheme's financial posit</w:t>
      </w:r>
      <w:r w:rsidRPr="000F1EB3">
        <w:t>ion.</w:t>
      </w:r>
    </w:p>
    <w:p w:rsidR="000F1EB3" w:rsidRDefault="0062660D" w:rsidP="00442678">
      <w:pPr>
        <w:spacing w:after="0"/>
        <w:jc w:val="left"/>
      </w:pPr>
    </w:p>
    <w:p w:rsidR="000F1EB3" w:rsidRDefault="0062660D" w:rsidP="00442678">
      <w:pPr>
        <w:spacing w:after="0"/>
        <w:jc w:val="left"/>
        <w:rPr>
          <w:b/>
        </w:rPr>
      </w:pPr>
      <w:r w:rsidRPr="000F1EB3">
        <w:rPr>
          <w:b/>
        </w:rPr>
        <w:t>Venture capital</w:t>
      </w:r>
    </w:p>
    <w:p w:rsidR="000F1EB3" w:rsidRPr="000F1EB3" w:rsidRDefault="0062660D" w:rsidP="00442678">
      <w:pPr>
        <w:spacing w:after="0"/>
        <w:jc w:val="left"/>
      </w:pPr>
      <w:r w:rsidRPr="000F1EB3">
        <w:t>Investment in a company that is at a relatively early stage of development and is not listed on a stock exchange.</w:t>
      </w:r>
    </w:p>
    <w:p w:rsidR="000F1EB3" w:rsidRPr="000F1EB3" w:rsidRDefault="0062660D" w:rsidP="00442678">
      <w:pPr>
        <w:spacing w:after="0"/>
        <w:jc w:val="left"/>
      </w:pPr>
    </w:p>
    <w:sectPr w:rsidR="000F1EB3" w:rsidRPr="000F1EB3" w:rsidSect="000F1EB3">
      <w:pgSz w:w="11900" w:h="16840" w:code="9"/>
      <w:pgMar w:top="720" w:right="720" w:bottom="720" w:left="720" w:header="284" w:footer="284" w:gutter="0"/>
      <w:cols w:space="29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62660D">
      <w:pPr>
        <w:spacing w:after="0"/>
      </w:pPr>
      <w:r>
        <w:separator/>
      </w:r>
    </w:p>
  </w:endnote>
  <w:endnote w:type="continuationSeparator" w:id="0">
    <w:p w:rsidR="00000000" w:rsidRDefault="006266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FS Lola">
    <w:altName w:val="FS Lol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wiss 72 1 BT">
    <w:altName w:val="Swiss 72 1 BT"/>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1070346"/>
      <w:docPartObj>
        <w:docPartGallery w:val="Page Numbers (Bottom of Page)"/>
        <w:docPartUnique/>
      </w:docPartObj>
    </w:sdtPr>
    <w:sdtEndPr>
      <w:rPr>
        <w:noProof/>
      </w:rPr>
    </w:sdtEndPr>
    <w:sdtContent>
      <w:p w:rsidR="00B51FB5" w:rsidRDefault="0062660D">
        <w:pPr>
          <w:pStyle w:val="Footer"/>
        </w:pPr>
        <w:r>
          <w:fldChar w:fldCharType="begin"/>
        </w:r>
        <w:r>
          <w:instrText xml:space="preserve"> PAGE   \* MERGEFORMAT </w:instrText>
        </w:r>
        <w:r>
          <w:fldChar w:fldCharType="separate"/>
        </w:r>
        <w:r>
          <w:rPr>
            <w:noProof/>
          </w:rPr>
          <w:t>20</w:t>
        </w:r>
        <w:r>
          <w:rPr>
            <w:noProof/>
          </w:rPr>
          <w:fldChar w:fldCharType="end"/>
        </w:r>
      </w:p>
    </w:sdtContent>
  </w:sdt>
  <w:p w:rsidR="00B51FB5" w:rsidRDefault="006266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shd w:val="clear" w:color="auto" w:fill="BFBFBF"/>
      <w:tblLook w:val="04A0" w:firstRow="1" w:lastRow="0" w:firstColumn="1" w:lastColumn="0" w:noHBand="0" w:noVBand="1"/>
    </w:tblPr>
    <w:tblGrid>
      <w:gridCol w:w="10460"/>
    </w:tblGrid>
    <w:tr w:rsidR="006A2C17" w:rsidTr="00C74127">
      <w:trPr>
        <w:jc w:val="center"/>
      </w:trPr>
      <w:tc>
        <w:tcPr>
          <w:tcW w:w="5000" w:type="pct"/>
          <w:shd w:val="clear" w:color="auto" w:fill="BFBFBF"/>
        </w:tcPr>
        <w:p w:rsidR="00B51FB5" w:rsidRPr="008E5502" w:rsidRDefault="0062660D" w:rsidP="00DA4031">
          <w:pPr>
            <w:pStyle w:val="Footer"/>
            <w:tabs>
              <w:tab w:val="left" w:pos="3586"/>
              <w:tab w:val="left" w:pos="3683"/>
              <w:tab w:val="left" w:pos="3960"/>
              <w:tab w:val="center" w:pos="5230"/>
            </w:tabs>
            <w:jc w:val="left"/>
          </w:pPr>
          <w:r>
            <w:tab/>
          </w:r>
          <w:r>
            <w:tab/>
          </w:r>
          <w:r>
            <w:tab/>
          </w:r>
          <w:r>
            <w:tab/>
          </w:r>
          <w:r w:rsidRPr="008E5502">
            <w:t xml:space="preserve">• </w:t>
          </w:r>
          <w:r>
            <w:fldChar w:fldCharType="begin"/>
          </w:r>
          <w:r>
            <w:instrText xml:space="preserve"> PAGE   \* MERGEFORMAT </w:instrText>
          </w:r>
          <w:r>
            <w:fldChar w:fldCharType="separate"/>
          </w:r>
          <w:r>
            <w:rPr>
              <w:noProof/>
            </w:rPr>
            <w:t>70</w:t>
          </w:r>
          <w:r>
            <w:fldChar w:fldCharType="end"/>
          </w:r>
          <w:r w:rsidRPr="008E5502">
            <w:t xml:space="preserve"> •</w:t>
          </w:r>
        </w:p>
      </w:tc>
    </w:tr>
  </w:tbl>
  <w:p w:rsidR="00B51FB5" w:rsidRDefault="0062660D" w:rsidP="008E5502">
    <w:pPr>
      <w:pStyle w:val="ancho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shd w:val="clear" w:color="auto" w:fill="BFBFBF"/>
      <w:tblLook w:val="04A0" w:firstRow="1" w:lastRow="0" w:firstColumn="1" w:lastColumn="0" w:noHBand="0" w:noVBand="1"/>
    </w:tblPr>
    <w:tblGrid>
      <w:gridCol w:w="10460"/>
    </w:tblGrid>
    <w:tr w:rsidR="006A2C17" w:rsidTr="00C74127">
      <w:trPr>
        <w:jc w:val="center"/>
      </w:trPr>
      <w:tc>
        <w:tcPr>
          <w:tcW w:w="5000" w:type="pct"/>
          <w:shd w:val="clear" w:color="auto" w:fill="BFBFBF"/>
        </w:tcPr>
        <w:p w:rsidR="00B51FB5" w:rsidRPr="008E5502" w:rsidRDefault="0062660D" w:rsidP="00DA4031">
          <w:pPr>
            <w:pStyle w:val="Footer"/>
            <w:tabs>
              <w:tab w:val="left" w:pos="3586"/>
              <w:tab w:val="left" w:pos="3683"/>
              <w:tab w:val="left" w:pos="3960"/>
              <w:tab w:val="center" w:pos="5230"/>
            </w:tabs>
            <w:jc w:val="left"/>
          </w:pPr>
          <w:r>
            <w:tab/>
          </w:r>
          <w:r>
            <w:tab/>
          </w:r>
          <w:r>
            <w:tab/>
          </w:r>
          <w:r>
            <w:tab/>
          </w:r>
          <w:r w:rsidRPr="008E5502">
            <w:t xml:space="preserve">• </w:t>
          </w:r>
          <w:r>
            <w:fldChar w:fldCharType="begin"/>
          </w:r>
          <w:r>
            <w:instrText xml:space="preserve"> PAGE   \* MERGEFORMAT </w:instrText>
          </w:r>
          <w:r>
            <w:fldChar w:fldCharType="separate"/>
          </w:r>
          <w:r>
            <w:rPr>
              <w:noProof/>
            </w:rPr>
            <w:t>111</w:t>
          </w:r>
          <w:r>
            <w:fldChar w:fldCharType="end"/>
          </w:r>
          <w:r w:rsidRPr="008E5502">
            <w:t xml:space="preserve"> •</w:t>
          </w:r>
        </w:p>
      </w:tc>
    </w:tr>
  </w:tbl>
  <w:p w:rsidR="00B51FB5" w:rsidRDefault="0062660D" w:rsidP="008E5502">
    <w:pPr>
      <w:pStyle w:val="ancho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62660D">
      <w:pPr>
        <w:spacing w:after="0"/>
      </w:pPr>
      <w:r>
        <w:separator/>
      </w:r>
    </w:p>
  </w:footnote>
  <w:footnote w:type="continuationSeparator" w:id="0">
    <w:p w:rsidR="00000000" w:rsidRDefault="0062660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shd w:val="clear" w:color="auto" w:fill="D31145"/>
      <w:tblLook w:val="04A0" w:firstRow="1" w:lastRow="0" w:firstColumn="1" w:lastColumn="0" w:noHBand="0" w:noVBand="1"/>
    </w:tblPr>
    <w:tblGrid>
      <w:gridCol w:w="10460"/>
    </w:tblGrid>
    <w:tr w:rsidR="006A2C17" w:rsidTr="00C74127">
      <w:trPr>
        <w:jc w:val="center"/>
      </w:trPr>
      <w:tc>
        <w:tcPr>
          <w:tcW w:w="5000" w:type="pct"/>
          <w:shd w:val="clear" w:color="auto" w:fill="D31145"/>
        </w:tcPr>
        <w:p w:rsidR="00B51FB5" w:rsidRPr="00C74127" w:rsidRDefault="0062660D" w:rsidP="0077674A">
          <w:pPr>
            <w:pStyle w:val="Header"/>
            <w:jc w:val="center"/>
          </w:pPr>
          <w:r>
            <w:rPr>
              <w:noProof/>
              <w:lang w:eastAsia="en-GB"/>
            </w:rPr>
            <mc:AlternateContent>
              <mc:Choice Requires="wps">
                <w:drawing>
                  <wp:anchor distT="0" distB="0" distL="114300" distR="114300" simplePos="0" relativeHeight="251659264" behindDoc="1" locked="0" layoutInCell="0" allowOverlap="1" wp14:anchorId="61D54EE0" wp14:editId="4F3FDA64">
                    <wp:simplePos x="0" y="0"/>
                    <wp:positionH relativeFrom="margin">
                      <wp:align>center</wp:align>
                    </wp:positionH>
                    <wp:positionV relativeFrom="margin">
                      <wp:align>center</wp:align>
                    </wp:positionV>
                    <wp:extent cx="6689090" cy="2675255"/>
                    <wp:effectExtent l="0" t="1809750" r="0" b="1468120"/>
                    <wp:wrapNone/>
                    <wp:docPr id="22"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51FB5" w:rsidRDefault="0062660D" w:rsidP="009E2E2C">
                                <w:pPr>
                                  <w:pStyle w:val="NormalWeb"/>
                                  <w:spacing w:before="0" w:beforeAutospacing="0" w:after="0" w:afterAutospacing="0"/>
                                  <w:jc w:val="center"/>
                                </w:pPr>
                                <w:r>
                                  <w:rPr>
                                    <w:rFonts w:ascii="Arial" w:hAnsi="Arial" w:cs="Arial"/>
                                    <w:color w:val="D9D9D9" w:themeColor="background1" w:themeShade="D9"/>
                                    <w:sz w:val="2"/>
                                    <w:szCs w:val="2"/>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WordArt 13" o:spid="_x0000_s2049" type="#_x0000_t202" style="height:210.65pt;margin-left:0;margin-top: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text-anchor:top;visibility:visible;width:526.7pt;z-index:-251656192" o:allowincell="f" filled="f" stroked="f">
                    <v:stroke joinstyle="round"/>
                    <o:lock v:ext="edit" shapetype="t"/>
                    <v:textbox style="mso-fit-shape-to-text:t">
                      <w:txbxContent>
                        <w:p w:rsidR="00B51FB5" w:rsidP="009E2E2C">
                          <w:pPr>
                            <w:pStyle w:val="NormalWeb"/>
                            <w:spacing w:before="0" w:beforeAutospacing="0" w:after="0" w:afterAutospacing="0"/>
                            <w:jc w:val="center"/>
                          </w:pPr>
                          <w:r>
                            <w:rPr>
                              <w:rFonts w:ascii="Arial" w:hAnsi="Arial" w:cs="Arial"/>
                              <w:color w:val="D9D9D9" w:themeColor="background1" w:themeShade="D9"/>
                              <w:sz w:val="2"/>
                              <w:szCs w:val="2"/>
                              <w14:textFill>
                                <w14:solidFill>
                                  <w14:schemeClr w14:val="bg1">
                                    <w14:alpha w14:val="50000"/>
                                    <w14:lumMod w14:val="85000"/>
                                  </w14:schemeClr>
                                </w14:solidFill>
                              </w14:textFill>
                            </w:rPr>
                            <w:t>DRAFT</w:t>
                          </w:r>
                        </w:p>
                      </w:txbxContent>
                    </v:textbox>
                    <w10:wrap anchorx="margin" anchory="margin"/>
                  </v:shape>
                </w:pict>
              </mc:Fallback>
            </mc:AlternateContent>
          </w:r>
          <w:r>
            <w:t>Lancashire County Pension Fund  -  Annual Report 2015/2016</w:t>
          </w:r>
        </w:p>
      </w:tc>
    </w:tr>
  </w:tbl>
  <w:p w:rsidR="00B51FB5" w:rsidRDefault="006266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FB5" w:rsidRDefault="0062660D" w:rsidP="00846AEA">
    <w:pPr>
      <w:pStyle w:val="Header"/>
    </w:pPr>
    <w:r>
      <w:rPr>
        <w:noProof/>
        <w:lang w:eastAsia="en-GB"/>
      </w:rPr>
      <w:drawing>
        <wp:anchor distT="0" distB="0" distL="114300" distR="114300" simplePos="0" relativeHeight="251658240" behindDoc="1" locked="0" layoutInCell="1" allowOverlap="1" wp14:anchorId="5FAA0132" wp14:editId="17FCD753">
          <wp:simplePos x="0" y="0"/>
          <wp:positionH relativeFrom="column">
            <wp:posOffset>-457200</wp:posOffset>
          </wp:positionH>
          <wp:positionV relativeFrom="paragraph">
            <wp:posOffset>-474980</wp:posOffset>
          </wp:positionV>
          <wp:extent cx="7568565" cy="10704830"/>
          <wp:effectExtent l="0" t="0" r="0" b="1270"/>
          <wp:wrapNone/>
          <wp:docPr id="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8565" cy="1070483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FB5" w:rsidRDefault="0062660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shd w:val="clear" w:color="auto" w:fill="D31145"/>
      <w:tblLook w:val="04A0" w:firstRow="1" w:lastRow="0" w:firstColumn="1" w:lastColumn="0" w:noHBand="0" w:noVBand="1"/>
    </w:tblPr>
    <w:tblGrid>
      <w:gridCol w:w="10460"/>
    </w:tblGrid>
    <w:tr w:rsidR="006A2C17" w:rsidTr="00C74127">
      <w:trPr>
        <w:jc w:val="center"/>
      </w:trPr>
      <w:tc>
        <w:tcPr>
          <w:tcW w:w="5000" w:type="pct"/>
          <w:shd w:val="clear" w:color="auto" w:fill="D31145"/>
        </w:tcPr>
        <w:p w:rsidR="00B51FB5" w:rsidRPr="00C74127" w:rsidRDefault="0062660D" w:rsidP="0046339F">
          <w:pPr>
            <w:pStyle w:val="Header"/>
            <w:jc w:val="center"/>
          </w:pPr>
          <w:r>
            <w:t>Lancashire County Pension Fund  -  Annual Report 2015/2016</w:t>
          </w:r>
        </w:p>
      </w:tc>
    </w:tr>
  </w:tbl>
  <w:p w:rsidR="00B51FB5" w:rsidRDefault="0062660D" w:rsidP="00D104DA">
    <w:pPr>
      <w:pStyle w:val="ancho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FB5" w:rsidRDefault="0062660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FB5" w:rsidRDefault="0062660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FB5" w:rsidRDefault="0062660D">
    <w:pPr>
      <w:pStyle w:val="Header"/>
    </w:pPr>
    <w:r>
      <w:rPr>
        <w:noProof/>
        <w:lang w:eastAsia="en-GB"/>
      </w:rPr>
      <mc:AlternateContent>
        <mc:Choice Requires="wps">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6689090" cy="2675255"/>
              <wp:effectExtent l="0" t="1809750" r="0" b="1468120"/>
              <wp:wrapNone/>
              <wp:docPr id="18"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51FB5" w:rsidRDefault="0062660D" w:rsidP="009E2E2C">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WordArt 34" o:spid="_x0000_s2050" type="#_x0000_t202" style="height:210.65pt;margin-left:0;margin-top: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text-anchor:top;visibility:visible;width:526.7pt;z-index:-251652096" o:allowincell="f" filled="f" stroked="f">
              <v:stroke joinstyle="round"/>
              <o:lock v:ext="edit" shapetype="t"/>
              <v:textbox style="mso-fit-shape-to-text:t">
                <w:txbxContent>
                  <w:p w:rsidR="00B51FB5" w:rsidP="009E2E2C">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eastAsia="en-GB"/>
      </w:rPr>
      <mc:AlternateContent>
        <mc:Choice Requires="wps">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689090" cy="2675255"/>
              <wp:effectExtent l="0" t="1809750" r="0" b="1468120"/>
              <wp:wrapNone/>
              <wp:docPr id="16"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51FB5" w:rsidRDefault="0062660D" w:rsidP="009E2E2C">
                          <w:pPr>
                            <w:pStyle w:val="NormalWeb"/>
                            <w:spacing w:before="0" w:beforeAutospacing="0" w:after="0" w:afterAutospacing="0"/>
                            <w:jc w:val="center"/>
                          </w:pPr>
                          <w:r>
                            <w:rPr>
                              <w:rFonts w:ascii="Arial" w:hAnsi="Arial" w:cs="Arial"/>
                              <w:color w:val="D9D9D9" w:themeColor="background1" w:themeShade="D9"/>
                              <w:sz w:val="2"/>
                              <w:szCs w:val="2"/>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spAutoFit/>
                    </wps:bodyPr>
                  </wps:wsp>
                </a:graphicData>
              </a:graphic>
            </wp:anchor>
          </w:drawing>
        </mc:Choice>
        <mc:Fallback>
          <w:pict>
            <v:shape id="WordArt 33" o:spid="_x0000_s2051" type="#_x0000_t202" style="height:210.65pt;margin-left:0;margin-top: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text-anchor:top;visibility:visible;width:526.7pt;z-index:-251654144" o:allowincell="f" filled="f" stroked="f">
              <v:stroke joinstyle="round"/>
              <o:lock v:ext="edit" shapetype="t"/>
              <v:textbox style="mso-fit-shape-to-text:t">
                <w:txbxContent>
                  <w:p w:rsidR="00B51FB5" w:rsidP="009E2E2C">
                    <w:pPr>
                      <w:pStyle w:val="NormalWeb"/>
                      <w:spacing w:before="0" w:beforeAutospacing="0" w:after="0" w:afterAutospacing="0"/>
                      <w:jc w:val="center"/>
                    </w:pPr>
                    <w:r>
                      <w:rPr>
                        <w:rFonts w:ascii="Arial" w:hAnsi="Arial" w:cs="Arial"/>
                        <w:color w:val="D9D9D9" w:themeColor="background1" w:themeShade="D9"/>
                        <w:sz w:val="2"/>
                        <w:szCs w:val="2"/>
                        <w14:textFill>
                          <w14:solidFill>
                            <w14:schemeClr w14:val="bg1">
                              <w14:alpha w14:val="50000"/>
                              <w14:lumMod w14:val="85000"/>
                            </w14:scheme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27421C6"/>
    <w:lvl w:ilvl="0">
      <w:numFmt w:val="bullet"/>
      <w:lvlText w:val="*"/>
      <w:lvlJc w:val="left"/>
    </w:lvl>
  </w:abstractNum>
  <w:abstractNum w:abstractNumId="1" w15:restartNumberingAfterBreak="0">
    <w:nsid w:val="06517938"/>
    <w:multiLevelType w:val="hybridMultilevel"/>
    <w:tmpl w:val="4CD043F0"/>
    <w:lvl w:ilvl="0" w:tplc="7A9A05FE">
      <w:start w:val="1"/>
      <w:numFmt w:val="bullet"/>
      <w:lvlText w:val=""/>
      <w:lvlJc w:val="left"/>
      <w:pPr>
        <w:ind w:left="720" w:hanging="360"/>
      </w:pPr>
      <w:rPr>
        <w:rFonts w:ascii="Symbol" w:hAnsi="Symbol" w:hint="default"/>
      </w:rPr>
    </w:lvl>
    <w:lvl w:ilvl="1" w:tplc="45483648" w:tentative="1">
      <w:start w:val="1"/>
      <w:numFmt w:val="bullet"/>
      <w:lvlText w:val="o"/>
      <w:lvlJc w:val="left"/>
      <w:pPr>
        <w:ind w:left="1440" w:hanging="360"/>
      </w:pPr>
      <w:rPr>
        <w:rFonts w:ascii="Courier New" w:hAnsi="Courier New" w:cs="Courier New" w:hint="default"/>
      </w:rPr>
    </w:lvl>
    <w:lvl w:ilvl="2" w:tplc="F1388502" w:tentative="1">
      <w:start w:val="1"/>
      <w:numFmt w:val="bullet"/>
      <w:lvlText w:val=""/>
      <w:lvlJc w:val="left"/>
      <w:pPr>
        <w:ind w:left="2160" w:hanging="360"/>
      </w:pPr>
      <w:rPr>
        <w:rFonts w:ascii="Wingdings" w:hAnsi="Wingdings" w:hint="default"/>
      </w:rPr>
    </w:lvl>
    <w:lvl w:ilvl="3" w:tplc="10585B0A" w:tentative="1">
      <w:start w:val="1"/>
      <w:numFmt w:val="bullet"/>
      <w:lvlText w:val=""/>
      <w:lvlJc w:val="left"/>
      <w:pPr>
        <w:ind w:left="2880" w:hanging="360"/>
      </w:pPr>
      <w:rPr>
        <w:rFonts w:ascii="Symbol" w:hAnsi="Symbol" w:hint="default"/>
      </w:rPr>
    </w:lvl>
    <w:lvl w:ilvl="4" w:tplc="E8E656A8" w:tentative="1">
      <w:start w:val="1"/>
      <w:numFmt w:val="bullet"/>
      <w:lvlText w:val="o"/>
      <w:lvlJc w:val="left"/>
      <w:pPr>
        <w:ind w:left="3600" w:hanging="360"/>
      </w:pPr>
      <w:rPr>
        <w:rFonts w:ascii="Courier New" w:hAnsi="Courier New" w:cs="Courier New" w:hint="default"/>
      </w:rPr>
    </w:lvl>
    <w:lvl w:ilvl="5" w:tplc="DE62D0F2" w:tentative="1">
      <w:start w:val="1"/>
      <w:numFmt w:val="bullet"/>
      <w:lvlText w:val=""/>
      <w:lvlJc w:val="left"/>
      <w:pPr>
        <w:ind w:left="4320" w:hanging="360"/>
      </w:pPr>
      <w:rPr>
        <w:rFonts w:ascii="Wingdings" w:hAnsi="Wingdings" w:hint="default"/>
      </w:rPr>
    </w:lvl>
    <w:lvl w:ilvl="6" w:tplc="90687960" w:tentative="1">
      <w:start w:val="1"/>
      <w:numFmt w:val="bullet"/>
      <w:lvlText w:val=""/>
      <w:lvlJc w:val="left"/>
      <w:pPr>
        <w:ind w:left="5040" w:hanging="360"/>
      </w:pPr>
      <w:rPr>
        <w:rFonts w:ascii="Symbol" w:hAnsi="Symbol" w:hint="default"/>
      </w:rPr>
    </w:lvl>
    <w:lvl w:ilvl="7" w:tplc="D5F25848" w:tentative="1">
      <w:start w:val="1"/>
      <w:numFmt w:val="bullet"/>
      <w:lvlText w:val="o"/>
      <w:lvlJc w:val="left"/>
      <w:pPr>
        <w:ind w:left="5760" w:hanging="360"/>
      </w:pPr>
      <w:rPr>
        <w:rFonts w:ascii="Courier New" w:hAnsi="Courier New" w:cs="Courier New" w:hint="default"/>
      </w:rPr>
    </w:lvl>
    <w:lvl w:ilvl="8" w:tplc="2C200E00" w:tentative="1">
      <w:start w:val="1"/>
      <w:numFmt w:val="bullet"/>
      <w:lvlText w:val=""/>
      <w:lvlJc w:val="left"/>
      <w:pPr>
        <w:ind w:left="6480" w:hanging="360"/>
      </w:pPr>
      <w:rPr>
        <w:rFonts w:ascii="Wingdings" w:hAnsi="Wingdings" w:hint="default"/>
      </w:rPr>
    </w:lvl>
  </w:abstractNum>
  <w:abstractNum w:abstractNumId="2" w15:restartNumberingAfterBreak="0">
    <w:nsid w:val="105123F9"/>
    <w:multiLevelType w:val="hybridMultilevel"/>
    <w:tmpl w:val="64AC9398"/>
    <w:lvl w:ilvl="0" w:tplc="DD1E861C">
      <w:start w:val="1"/>
      <w:numFmt w:val="bullet"/>
      <w:lvlText w:val=""/>
      <w:lvlJc w:val="left"/>
      <w:pPr>
        <w:ind w:left="1287" w:hanging="360"/>
      </w:pPr>
      <w:rPr>
        <w:rFonts w:ascii="Symbol" w:hAnsi="Symbol" w:hint="default"/>
      </w:rPr>
    </w:lvl>
    <w:lvl w:ilvl="1" w:tplc="5C929F44" w:tentative="1">
      <w:start w:val="1"/>
      <w:numFmt w:val="bullet"/>
      <w:lvlText w:val="o"/>
      <w:lvlJc w:val="left"/>
      <w:pPr>
        <w:ind w:left="2007" w:hanging="360"/>
      </w:pPr>
      <w:rPr>
        <w:rFonts w:ascii="Courier New" w:hAnsi="Courier New" w:cs="Courier New" w:hint="default"/>
      </w:rPr>
    </w:lvl>
    <w:lvl w:ilvl="2" w:tplc="748C7944" w:tentative="1">
      <w:start w:val="1"/>
      <w:numFmt w:val="bullet"/>
      <w:lvlText w:val=""/>
      <w:lvlJc w:val="left"/>
      <w:pPr>
        <w:ind w:left="2727" w:hanging="360"/>
      </w:pPr>
      <w:rPr>
        <w:rFonts w:ascii="Wingdings" w:hAnsi="Wingdings" w:hint="default"/>
      </w:rPr>
    </w:lvl>
    <w:lvl w:ilvl="3" w:tplc="CAF48B7E" w:tentative="1">
      <w:start w:val="1"/>
      <w:numFmt w:val="bullet"/>
      <w:lvlText w:val=""/>
      <w:lvlJc w:val="left"/>
      <w:pPr>
        <w:ind w:left="3447" w:hanging="360"/>
      </w:pPr>
      <w:rPr>
        <w:rFonts w:ascii="Symbol" w:hAnsi="Symbol" w:hint="default"/>
      </w:rPr>
    </w:lvl>
    <w:lvl w:ilvl="4" w:tplc="C9322E42" w:tentative="1">
      <w:start w:val="1"/>
      <w:numFmt w:val="bullet"/>
      <w:lvlText w:val="o"/>
      <w:lvlJc w:val="left"/>
      <w:pPr>
        <w:ind w:left="4167" w:hanging="360"/>
      </w:pPr>
      <w:rPr>
        <w:rFonts w:ascii="Courier New" w:hAnsi="Courier New" w:cs="Courier New" w:hint="default"/>
      </w:rPr>
    </w:lvl>
    <w:lvl w:ilvl="5" w:tplc="FDBCA5FC" w:tentative="1">
      <w:start w:val="1"/>
      <w:numFmt w:val="bullet"/>
      <w:lvlText w:val=""/>
      <w:lvlJc w:val="left"/>
      <w:pPr>
        <w:ind w:left="4887" w:hanging="360"/>
      </w:pPr>
      <w:rPr>
        <w:rFonts w:ascii="Wingdings" w:hAnsi="Wingdings" w:hint="default"/>
      </w:rPr>
    </w:lvl>
    <w:lvl w:ilvl="6" w:tplc="52DC1CBA" w:tentative="1">
      <w:start w:val="1"/>
      <w:numFmt w:val="bullet"/>
      <w:lvlText w:val=""/>
      <w:lvlJc w:val="left"/>
      <w:pPr>
        <w:ind w:left="5607" w:hanging="360"/>
      </w:pPr>
      <w:rPr>
        <w:rFonts w:ascii="Symbol" w:hAnsi="Symbol" w:hint="default"/>
      </w:rPr>
    </w:lvl>
    <w:lvl w:ilvl="7" w:tplc="7A1ACCDA" w:tentative="1">
      <w:start w:val="1"/>
      <w:numFmt w:val="bullet"/>
      <w:lvlText w:val="o"/>
      <w:lvlJc w:val="left"/>
      <w:pPr>
        <w:ind w:left="6327" w:hanging="360"/>
      </w:pPr>
      <w:rPr>
        <w:rFonts w:ascii="Courier New" w:hAnsi="Courier New" w:cs="Courier New" w:hint="default"/>
      </w:rPr>
    </w:lvl>
    <w:lvl w:ilvl="8" w:tplc="6538AA0C" w:tentative="1">
      <w:start w:val="1"/>
      <w:numFmt w:val="bullet"/>
      <w:lvlText w:val=""/>
      <w:lvlJc w:val="left"/>
      <w:pPr>
        <w:ind w:left="7047" w:hanging="360"/>
      </w:pPr>
      <w:rPr>
        <w:rFonts w:ascii="Wingdings" w:hAnsi="Wingdings" w:hint="default"/>
      </w:rPr>
    </w:lvl>
  </w:abstractNum>
  <w:abstractNum w:abstractNumId="3" w15:restartNumberingAfterBreak="0">
    <w:nsid w:val="14F06F8C"/>
    <w:multiLevelType w:val="multilevel"/>
    <w:tmpl w:val="5330D414"/>
    <w:lvl w:ilvl="0">
      <w:start w:val="1"/>
      <w:numFmt w:val="decimal"/>
      <w:lvlText w:val="%1"/>
      <w:lvlJc w:val="left"/>
      <w:pPr>
        <w:ind w:left="360" w:hanging="360"/>
      </w:pPr>
      <w:rPr>
        <w:rFonts w:hint="default"/>
        <w:b/>
      </w:rPr>
    </w:lvl>
    <w:lvl w:ilvl="1">
      <w:start w:val="1"/>
      <w:numFmt w:val="decimal"/>
      <w:lvlText w:val="%1.%2"/>
      <w:lvlJc w:val="left"/>
      <w:pPr>
        <w:ind w:left="928"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336" w:hanging="1800"/>
      </w:pPr>
      <w:rPr>
        <w:rFonts w:hint="default"/>
        <w:b/>
      </w:rPr>
    </w:lvl>
  </w:abstractNum>
  <w:abstractNum w:abstractNumId="4" w15:restartNumberingAfterBreak="0">
    <w:nsid w:val="169C1CAD"/>
    <w:multiLevelType w:val="hybridMultilevel"/>
    <w:tmpl w:val="0324FDEE"/>
    <w:lvl w:ilvl="0" w:tplc="A38A981E">
      <w:start w:val="1"/>
      <w:numFmt w:val="bullet"/>
      <w:lvlText w:val=""/>
      <w:lvlJc w:val="left"/>
      <w:pPr>
        <w:ind w:left="720" w:hanging="360"/>
      </w:pPr>
      <w:rPr>
        <w:rFonts w:ascii="Symbol" w:hAnsi="Symbol" w:hint="default"/>
      </w:rPr>
    </w:lvl>
    <w:lvl w:ilvl="1" w:tplc="1FAEDDD4">
      <w:start w:val="1"/>
      <w:numFmt w:val="bullet"/>
      <w:lvlText w:val="o"/>
      <w:lvlJc w:val="left"/>
      <w:pPr>
        <w:ind w:left="1440" w:hanging="360"/>
      </w:pPr>
      <w:rPr>
        <w:rFonts w:ascii="Courier New" w:hAnsi="Courier New" w:cs="Courier New" w:hint="default"/>
      </w:rPr>
    </w:lvl>
    <w:lvl w:ilvl="2" w:tplc="90A22B6C" w:tentative="1">
      <w:start w:val="1"/>
      <w:numFmt w:val="bullet"/>
      <w:lvlText w:val=""/>
      <w:lvlJc w:val="left"/>
      <w:pPr>
        <w:ind w:left="2160" w:hanging="360"/>
      </w:pPr>
      <w:rPr>
        <w:rFonts w:ascii="Wingdings" w:hAnsi="Wingdings" w:hint="default"/>
      </w:rPr>
    </w:lvl>
    <w:lvl w:ilvl="3" w:tplc="3196BF88" w:tentative="1">
      <w:start w:val="1"/>
      <w:numFmt w:val="bullet"/>
      <w:lvlText w:val=""/>
      <w:lvlJc w:val="left"/>
      <w:pPr>
        <w:ind w:left="2880" w:hanging="360"/>
      </w:pPr>
      <w:rPr>
        <w:rFonts w:ascii="Symbol" w:hAnsi="Symbol" w:hint="default"/>
      </w:rPr>
    </w:lvl>
    <w:lvl w:ilvl="4" w:tplc="3716AB16" w:tentative="1">
      <w:start w:val="1"/>
      <w:numFmt w:val="bullet"/>
      <w:lvlText w:val="o"/>
      <w:lvlJc w:val="left"/>
      <w:pPr>
        <w:ind w:left="3600" w:hanging="360"/>
      </w:pPr>
      <w:rPr>
        <w:rFonts w:ascii="Courier New" w:hAnsi="Courier New" w:cs="Courier New" w:hint="default"/>
      </w:rPr>
    </w:lvl>
    <w:lvl w:ilvl="5" w:tplc="1ABAA998" w:tentative="1">
      <w:start w:val="1"/>
      <w:numFmt w:val="bullet"/>
      <w:lvlText w:val=""/>
      <w:lvlJc w:val="left"/>
      <w:pPr>
        <w:ind w:left="4320" w:hanging="360"/>
      </w:pPr>
      <w:rPr>
        <w:rFonts w:ascii="Wingdings" w:hAnsi="Wingdings" w:hint="default"/>
      </w:rPr>
    </w:lvl>
    <w:lvl w:ilvl="6" w:tplc="AB7AE5F2" w:tentative="1">
      <w:start w:val="1"/>
      <w:numFmt w:val="bullet"/>
      <w:lvlText w:val=""/>
      <w:lvlJc w:val="left"/>
      <w:pPr>
        <w:ind w:left="5040" w:hanging="360"/>
      </w:pPr>
      <w:rPr>
        <w:rFonts w:ascii="Symbol" w:hAnsi="Symbol" w:hint="default"/>
      </w:rPr>
    </w:lvl>
    <w:lvl w:ilvl="7" w:tplc="288A88F8" w:tentative="1">
      <w:start w:val="1"/>
      <w:numFmt w:val="bullet"/>
      <w:lvlText w:val="o"/>
      <w:lvlJc w:val="left"/>
      <w:pPr>
        <w:ind w:left="5760" w:hanging="360"/>
      </w:pPr>
      <w:rPr>
        <w:rFonts w:ascii="Courier New" w:hAnsi="Courier New" w:cs="Courier New" w:hint="default"/>
      </w:rPr>
    </w:lvl>
    <w:lvl w:ilvl="8" w:tplc="16DAE978" w:tentative="1">
      <w:start w:val="1"/>
      <w:numFmt w:val="bullet"/>
      <w:lvlText w:val=""/>
      <w:lvlJc w:val="left"/>
      <w:pPr>
        <w:ind w:left="6480" w:hanging="360"/>
      </w:pPr>
      <w:rPr>
        <w:rFonts w:ascii="Wingdings" w:hAnsi="Wingdings" w:hint="default"/>
      </w:rPr>
    </w:lvl>
  </w:abstractNum>
  <w:abstractNum w:abstractNumId="5" w15:restartNumberingAfterBreak="0">
    <w:nsid w:val="181C0F73"/>
    <w:multiLevelType w:val="hybridMultilevel"/>
    <w:tmpl w:val="E2DE191E"/>
    <w:lvl w:ilvl="0" w:tplc="BAC48E66">
      <w:start w:val="1"/>
      <w:numFmt w:val="decimal"/>
      <w:lvlText w:val="%1."/>
      <w:lvlJc w:val="left"/>
      <w:pPr>
        <w:ind w:left="720" w:hanging="360"/>
      </w:pPr>
      <w:rPr>
        <w:rFonts w:hint="default"/>
      </w:rPr>
    </w:lvl>
    <w:lvl w:ilvl="1" w:tplc="743EF08A" w:tentative="1">
      <w:start w:val="1"/>
      <w:numFmt w:val="lowerLetter"/>
      <w:lvlText w:val="%2."/>
      <w:lvlJc w:val="left"/>
      <w:pPr>
        <w:ind w:left="1440" w:hanging="360"/>
      </w:pPr>
    </w:lvl>
    <w:lvl w:ilvl="2" w:tplc="6F9C14CC" w:tentative="1">
      <w:start w:val="1"/>
      <w:numFmt w:val="lowerRoman"/>
      <w:lvlText w:val="%3."/>
      <w:lvlJc w:val="right"/>
      <w:pPr>
        <w:ind w:left="2160" w:hanging="180"/>
      </w:pPr>
    </w:lvl>
    <w:lvl w:ilvl="3" w:tplc="34D2C3B8" w:tentative="1">
      <w:start w:val="1"/>
      <w:numFmt w:val="decimal"/>
      <w:lvlText w:val="%4."/>
      <w:lvlJc w:val="left"/>
      <w:pPr>
        <w:ind w:left="2880" w:hanging="360"/>
      </w:pPr>
    </w:lvl>
    <w:lvl w:ilvl="4" w:tplc="0BB0E21C" w:tentative="1">
      <w:start w:val="1"/>
      <w:numFmt w:val="lowerLetter"/>
      <w:lvlText w:val="%5."/>
      <w:lvlJc w:val="left"/>
      <w:pPr>
        <w:ind w:left="3600" w:hanging="360"/>
      </w:pPr>
    </w:lvl>
    <w:lvl w:ilvl="5" w:tplc="D3062B0A" w:tentative="1">
      <w:start w:val="1"/>
      <w:numFmt w:val="lowerRoman"/>
      <w:lvlText w:val="%6."/>
      <w:lvlJc w:val="right"/>
      <w:pPr>
        <w:ind w:left="4320" w:hanging="180"/>
      </w:pPr>
    </w:lvl>
    <w:lvl w:ilvl="6" w:tplc="7C60E09A" w:tentative="1">
      <w:start w:val="1"/>
      <w:numFmt w:val="decimal"/>
      <w:lvlText w:val="%7."/>
      <w:lvlJc w:val="left"/>
      <w:pPr>
        <w:ind w:left="5040" w:hanging="360"/>
      </w:pPr>
    </w:lvl>
    <w:lvl w:ilvl="7" w:tplc="05D2A5E8" w:tentative="1">
      <w:start w:val="1"/>
      <w:numFmt w:val="lowerLetter"/>
      <w:lvlText w:val="%8."/>
      <w:lvlJc w:val="left"/>
      <w:pPr>
        <w:ind w:left="5760" w:hanging="360"/>
      </w:pPr>
    </w:lvl>
    <w:lvl w:ilvl="8" w:tplc="2CEE017E" w:tentative="1">
      <w:start w:val="1"/>
      <w:numFmt w:val="lowerRoman"/>
      <w:lvlText w:val="%9."/>
      <w:lvlJc w:val="right"/>
      <w:pPr>
        <w:ind w:left="6480" w:hanging="180"/>
      </w:pPr>
    </w:lvl>
  </w:abstractNum>
  <w:abstractNum w:abstractNumId="6" w15:restartNumberingAfterBreak="0">
    <w:nsid w:val="18552461"/>
    <w:multiLevelType w:val="hybridMultilevel"/>
    <w:tmpl w:val="C1185C4A"/>
    <w:lvl w:ilvl="0" w:tplc="C714F876">
      <w:start w:val="1"/>
      <w:numFmt w:val="bullet"/>
      <w:lvlText w:val=""/>
      <w:lvlJc w:val="left"/>
      <w:pPr>
        <w:ind w:left="720" w:hanging="360"/>
      </w:pPr>
      <w:rPr>
        <w:rFonts w:ascii="Symbol" w:hAnsi="Symbol" w:hint="default"/>
      </w:rPr>
    </w:lvl>
    <w:lvl w:ilvl="1" w:tplc="8974B97E" w:tentative="1">
      <w:start w:val="1"/>
      <w:numFmt w:val="bullet"/>
      <w:lvlText w:val="o"/>
      <w:lvlJc w:val="left"/>
      <w:pPr>
        <w:ind w:left="1440" w:hanging="360"/>
      </w:pPr>
      <w:rPr>
        <w:rFonts w:ascii="Courier New" w:hAnsi="Courier New" w:cs="Courier New" w:hint="default"/>
      </w:rPr>
    </w:lvl>
    <w:lvl w:ilvl="2" w:tplc="9E9067D8" w:tentative="1">
      <w:start w:val="1"/>
      <w:numFmt w:val="bullet"/>
      <w:lvlText w:val=""/>
      <w:lvlJc w:val="left"/>
      <w:pPr>
        <w:ind w:left="2160" w:hanging="360"/>
      </w:pPr>
      <w:rPr>
        <w:rFonts w:ascii="Wingdings" w:hAnsi="Wingdings" w:hint="default"/>
      </w:rPr>
    </w:lvl>
    <w:lvl w:ilvl="3" w:tplc="24B0FDBC" w:tentative="1">
      <w:start w:val="1"/>
      <w:numFmt w:val="bullet"/>
      <w:lvlText w:val=""/>
      <w:lvlJc w:val="left"/>
      <w:pPr>
        <w:ind w:left="2880" w:hanging="360"/>
      </w:pPr>
      <w:rPr>
        <w:rFonts w:ascii="Symbol" w:hAnsi="Symbol" w:hint="default"/>
      </w:rPr>
    </w:lvl>
    <w:lvl w:ilvl="4" w:tplc="B6E4FA32" w:tentative="1">
      <w:start w:val="1"/>
      <w:numFmt w:val="bullet"/>
      <w:lvlText w:val="o"/>
      <w:lvlJc w:val="left"/>
      <w:pPr>
        <w:ind w:left="3600" w:hanging="360"/>
      </w:pPr>
      <w:rPr>
        <w:rFonts w:ascii="Courier New" w:hAnsi="Courier New" w:cs="Courier New" w:hint="default"/>
      </w:rPr>
    </w:lvl>
    <w:lvl w:ilvl="5" w:tplc="F904CCE6" w:tentative="1">
      <w:start w:val="1"/>
      <w:numFmt w:val="bullet"/>
      <w:lvlText w:val=""/>
      <w:lvlJc w:val="left"/>
      <w:pPr>
        <w:ind w:left="4320" w:hanging="360"/>
      </w:pPr>
      <w:rPr>
        <w:rFonts w:ascii="Wingdings" w:hAnsi="Wingdings" w:hint="default"/>
      </w:rPr>
    </w:lvl>
    <w:lvl w:ilvl="6" w:tplc="29B67E86" w:tentative="1">
      <w:start w:val="1"/>
      <w:numFmt w:val="bullet"/>
      <w:lvlText w:val=""/>
      <w:lvlJc w:val="left"/>
      <w:pPr>
        <w:ind w:left="5040" w:hanging="360"/>
      </w:pPr>
      <w:rPr>
        <w:rFonts w:ascii="Symbol" w:hAnsi="Symbol" w:hint="default"/>
      </w:rPr>
    </w:lvl>
    <w:lvl w:ilvl="7" w:tplc="77AA4810" w:tentative="1">
      <w:start w:val="1"/>
      <w:numFmt w:val="bullet"/>
      <w:lvlText w:val="o"/>
      <w:lvlJc w:val="left"/>
      <w:pPr>
        <w:ind w:left="5760" w:hanging="360"/>
      </w:pPr>
      <w:rPr>
        <w:rFonts w:ascii="Courier New" w:hAnsi="Courier New" w:cs="Courier New" w:hint="default"/>
      </w:rPr>
    </w:lvl>
    <w:lvl w:ilvl="8" w:tplc="1AE63EE0" w:tentative="1">
      <w:start w:val="1"/>
      <w:numFmt w:val="bullet"/>
      <w:lvlText w:val=""/>
      <w:lvlJc w:val="left"/>
      <w:pPr>
        <w:ind w:left="6480" w:hanging="360"/>
      </w:pPr>
      <w:rPr>
        <w:rFonts w:ascii="Wingdings" w:hAnsi="Wingdings" w:hint="default"/>
      </w:rPr>
    </w:lvl>
  </w:abstractNum>
  <w:abstractNum w:abstractNumId="7" w15:restartNumberingAfterBreak="0">
    <w:nsid w:val="1C841CF8"/>
    <w:multiLevelType w:val="hybridMultilevel"/>
    <w:tmpl w:val="23FAB688"/>
    <w:lvl w:ilvl="0" w:tplc="3738D818">
      <w:start w:val="1"/>
      <w:numFmt w:val="bullet"/>
      <w:lvlText w:val=""/>
      <w:lvlJc w:val="left"/>
      <w:pPr>
        <w:ind w:left="720" w:hanging="360"/>
      </w:pPr>
      <w:rPr>
        <w:rFonts w:ascii="Symbol" w:hAnsi="Symbol" w:hint="default"/>
      </w:rPr>
    </w:lvl>
    <w:lvl w:ilvl="1" w:tplc="8A30C38E" w:tentative="1">
      <w:start w:val="1"/>
      <w:numFmt w:val="bullet"/>
      <w:lvlText w:val="o"/>
      <w:lvlJc w:val="left"/>
      <w:pPr>
        <w:ind w:left="1440" w:hanging="360"/>
      </w:pPr>
      <w:rPr>
        <w:rFonts w:ascii="Courier New" w:hAnsi="Courier New" w:cs="Courier New" w:hint="default"/>
      </w:rPr>
    </w:lvl>
    <w:lvl w:ilvl="2" w:tplc="B87266D4" w:tentative="1">
      <w:start w:val="1"/>
      <w:numFmt w:val="bullet"/>
      <w:lvlText w:val=""/>
      <w:lvlJc w:val="left"/>
      <w:pPr>
        <w:ind w:left="2160" w:hanging="360"/>
      </w:pPr>
      <w:rPr>
        <w:rFonts w:ascii="Wingdings" w:hAnsi="Wingdings" w:hint="default"/>
      </w:rPr>
    </w:lvl>
    <w:lvl w:ilvl="3" w:tplc="6832B982" w:tentative="1">
      <w:start w:val="1"/>
      <w:numFmt w:val="bullet"/>
      <w:lvlText w:val=""/>
      <w:lvlJc w:val="left"/>
      <w:pPr>
        <w:ind w:left="2880" w:hanging="360"/>
      </w:pPr>
      <w:rPr>
        <w:rFonts w:ascii="Symbol" w:hAnsi="Symbol" w:hint="default"/>
      </w:rPr>
    </w:lvl>
    <w:lvl w:ilvl="4" w:tplc="32D22A14" w:tentative="1">
      <w:start w:val="1"/>
      <w:numFmt w:val="bullet"/>
      <w:lvlText w:val="o"/>
      <w:lvlJc w:val="left"/>
      <w:pPr>
        <w:ind w:left="3600" w:hanging="360"/>
      </w:pPr>
      <w:rPr>
        <w:rFonts w:ascii="Courier New" w:hAnsi="Courier New" w:cs="Courier New" w:hint="default"/>
      </w:rPr>
    </w:lvl>
    <w:lvl w:ilvl="5" w:tplc="985C79C6" w:tentative="1">
      <w:start w:val="1"/>
      <w:numFmt w:val="bullet"/>
      <w:lvlText w:val=""/>
      <w:lvlJc w:val="left"/>
      <w:pPr>
        <w:ind w:left="4320" w:hanging="360"/>
      </w:pPr>
      <w:rPr>
        <w:rFonts w:ascii="Wingdings" w:hAnsi="Wingdings" w:hint="default"/>
      </w:rPr>
    </w:lvl>
    <w:lvl w:ilvl="6" w:tplc="19B8FE58" w:tentative="1">
      <w:start w:val="1"/>
      <w:numFmt w:val="bullet"/>
      <w:lvlText w:val=""/>
      <w:lvlJc w:val="left"/>
      <w:pPr>
        <w:ind w:left="5040" w:hanging="360"/>
      </w:pPr>
      <w:rPr>
        <w:rFonts w:ascii="Symbol" w:hAnsi="Symbol" w:hint="default"/>
      </w:rPr>
    </w:lvl>
    <w:lvl w:ilvl="7" w:tplc="054A3CEA" w:tentative="1">
      <w:start w:val="1"/>
      <w:numFmt w:val="bullet"/>
      <w:lvlText w:val="o"/>
      <w:lvlJc w:val="left"/>
      <w:pPr>
        <w:ind w:left="5760" w:hanging="360"/>
      </w:pPr>
      <w:rPr>
        <w:rFonts w:ascii="Courier New" w:hAnsi="Courier New" w:cs="Courier New" w:hint="default"/>
      </w:rPr>
    </w:lvl>
    <w:lvl w:ilvl="8" w:tplc="6D54CE8C" w:tentative="1">
      <w:start w:val="1"/>
      <w:numFmt w:val="bullet"/>
      <w:lvlText w:val=""/>
      <w:lvlJc w:val="left"/>
      <w:pPr>
        <w:ind w:left="6480" w:hanging="360"/>
      </w:pPr>
      <w:rPr>
        <w:rFonts w:ascii="Wingdings" w:hAnsi="Wingdings" w:hint="default"/>
      </w:rPr>
    </w:lvl>
  </w:abstractNum>
  <w:abstractNum w:abstractNumId="8" w15:restartNumberingAfterBreak="0">
    <w:nsid w:val="1E37500B"/>
    <w:multiLevelType w:val="hybridMultilevel"/>
    <w:tmpl w:val="FE6E5DCA"/>
    <w:lvl w:ilvl="0" w:tplc="32147378">
      <w:start w:val="1"/>
      <w:numFmt w:val="bullet"/>
      <w:lvlText w:val=""/>
      <w:lvlJc w:val="left"/>
      <w:pPr>
        <w:ind w:left="720" w:hanging="360"/>
      </w:pPr>
      <w:rPr>
        <w:rFonts w:ascii="Symbol" w:hAnsi="Symbol" w:hint="default"/>
      </w:rPr>
    </w:lvl>
    <w:lvl w:ilvl="1" w:tplc="4B66EF5C" w:tentative="1">
      <w:start w:val="1"/>
      <w:numFmt w:val="bullet"/>
      <w:lvlText w:val="o"/>
      <w:lvlJc w:val="left"/>
      <w:pPr>
        <w:ind w:left="1440" w:hanging="360"/>
      </w:pPr>
      <w:rPr>
        <w:rFonts w:ascii="Courier New" w:hAnsi="Courier New" w:cs="Courier New" w:hint="default"/>
      </w:rPr>
    </w:lvl>
    <w:lvl w:ilvl="2" w:tplc="28689FA0" w:tentative="1">
      <w:start w:val="1"/>
      <w:numFmt w:val="bullet"/>
      <w:lvlText w:val=""/>
      <w:lvlJc w:val="left"/>
      <w:pPr>
        <w:ind w:left="2160" w:hanging="360"/>
      </w:pPr>
      <w:rPr>
        <w:rFonts w:ascii="Wingdings" w:hAnsi="Wingdings" w:hint="default"/>
      </w:rPr>
    </w:lvl>
    <w:lvl w:ilvl="3" w:tplc="300A702A" w:tentative="1">
      <w:start w:val="1"/>
      <w:numFmt w:val="bullet"/>
      <w:lvlText w:val=""/>
      <w:lvlJc w:val="left"/>
      <w:pPr>
        <w:ind w:left="2880" w:hanging="360"/>
      </w:pPr>
      <w:rPr>
        <w:rFonts w:ascii="Symbol" w:hAnsi="Symbol" w:hint="default"/>
      </w:rPr>
    </w:lvl>
    <w:lvl w:ilvl="4" w:tplc="6472E508" w:tentative="1">
      <w:start w:val="1"/>
      <w:numFmt w:val="bullet"/>
      <w:lvlText w:val="o"/>
      <w:lvlJc w:val="left"/>
      <w:pPr>
        <w:ind w:left="3600" w:hanging="360"/>
      </w:pPr>
      <w:rPr>
        <w:rFonts w:ascii="Courier New" w:hAnsi="Courier New" w:cs="Courier New" w:hint="default"/>
      </w:rPr>
    </w:lvl>
    <w:lvl w:ilvl="5" w:tplc="04B25B1A" w:tentative="1">
      <w:start w:val="1"/>
      <w:numFmt w:val="bullet"/>
      <w:lvlText w:val=""/>
      <w:lvlJc w:val="left"/>
      <w:pPr>
        <w:ind w:left="4320" w:hanging="360"/>
      </w:pPr>
      <w:rPr>
        <w:rFonts w:ascii="Wingdings" w:hAnsi="Wingdings" w:hint="default"/>
      </w:rPr>
    </w:lvl>
    <w:lvl w:ilvl="6" w:tplc="601C937E" w:tentative="1">
      <w:start w:val="1"/>
      <w:numFmt w:val="bullet"/>
      <w:lvlText w:val=""/>
      <w:lvlJc w:val="left"/>
      <w:pPr>
        <w:ind w:left="5040" w:hanging="360"/>
      </w:pPr>
      <w:rPr>
        <w:rFonts w:ascii="Symbol" w:hAnsi="Symbol" w:hint="default"/>
      </w:rPr>
    </w:lvl>
    <w:lvl w:ilvl="7" w:tplc="B5785C50" w:tentative="1">
      <w:start w:val="1"/>
      <w:numFmt w:val="bullet"/>
      <w:lvlText w:val="o"/>
      <w:lvlJc w:val="left"/>
      <w:pPr>
        <w:ind w:left="5760" w:hanging="360"/>
      </w:pPr>
      <w:rPr>
        <w:rFonts w:ascii="Courier New" w:hAnsi="Courier New" w:cs="Courier New" w:hint="default"/>
      </w:rPr>
    </w:lvl>
    <w:lvl w:ilvl="8" w:tplc="EA767212" w:tentative="1">
      <w:start w:val="1"/>
      <w:numFmt w:val="bullet"/>
      <w:lvlText w:val=""/>
      <w:lvlJc w:val="left"/>
      <w:pPr>
        <w:ind w:left="6480" w:hanging="360"/>
      </w:pPr>
      <w:rPr>
        <w:rFonts w:ascii="Wingdings" w:hAnsi="Wingdings" w:hint="default"/>
      </w:rPr>
    </w:lvl>
  </w:abstractNum>
  <w:abstractNum w:abstractNumId="9" w15:restartNumberingAfterBreak="0">
    <w:nsid w:val="20A64523"/>
    <w:multiLevelType w:val="multilevel"/>
    <w:tmpl w:val="2C3E9C90"/>
    <w:lvl w:ilvl="0">
      <w:start w:val="3"/>
      <w:numFmt w:val="decimal"/>
      <w:lvlText w:val="%1"/>
      <w:lvlJc w:val="left"/>
      <w:pPr>
        <w:ind w:left="525" w:hanging="525"/>
      </w:pPr>
      <w:rPr>
        <w:rFonts w:hint="default"/>
        <w:b/>
      </w:rPr>
    </w:lvl>
    <w:lvl w:ilvl="1">
      <w:start w:val="1"/>
      <w:numFmt w:val="decimal"/>
      <w:lvlText w:val="%1.%2"/>
      <w:lvlJc w:val="left"/>
      <w:pPr>
        <w:ind w:left="808" w:hanging="525"/>
      </w:pPr>
      <w:rPr>
        <w:rFonts w:hint="default"/>
        <w:b/>
      </w:rPr>
    </w:lvl>
    <w:lvl w:ilvl="2">
      <w:start w:val="3"/>
      <w:numFmt w:val="decimal"/>
      <w:lvlText w:val="%1.%2.%3"/>
      <w:lvlJc w:val="left"/>
      <w:pPr>
        <w:ind w:left="1286" w:hanging="720"/>
      </w:pPr>
      <w:rPr>
        <w:rFonts w:hint="default"/>
        <w:b/>
      </w:rPr>
    </w:lvl>
    <w:lvl w:ilvl="3">
      <w:start w:val="1"/>
      <w:numFmt w:val="decimal"/>
      <w:lvlText w:val="%1.%2.%3.%4"/>
      <w:lvlJc w:val="left"/>
      <w:pPr>
        <w:ind w:left="1929" w:hanging="108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855" w:hanging="144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781" w:hanging="1800"/>
      </w:pPr>
      <w:rPr>
        <w:rFonts w:hint="default"/>
        <w:b/>
      </w:rPr>
    </w:lvl>
    <w:lvl w:ilvl="8">
      <w:start w:val="1"/>
      <w:numFmt w:val="decimal"/>
      <w:lvlText w:val="%1.%2.%3.%4.%5.%6.%7.%8.%9"/>
      <w:lvlJc w:val="left"/>
      <w:pPr>
        <w:ind w:left="4064" w:hanging="1800"/>
      </w:pPr>
      <w:rPr>
        <w:rFonts w:hint="default"/>
        <w:b/>
      </w:rPr>
    </w:lvl>
  </w:abstractNum>
  <w:abstractNum w:abstractNumId="10" w15:restartNumberingAfterBreak="0">
    <w:nsid w:val="2BBA3536"/>
    <w:multiLevelType w:val="hybridMultilevel"/>
    <w:tmpl w:val="207EF130"/>
    <w:lvl w:ilvl="0" w:tplc="2F32DE6A">
      <w:start w:val="1"/>
      <w:numFmt w:val="bullet"/>
      <w:lvlText w:val=""/>
      <w:lvlJc w:val="left"/>
      <w:pPr>
        <w:ind w:left="720" w:hanging="360"/>
      </w:pPr>
      <w:rPr>
        <w:rFonts w:ascii="Symbol" w:hAnsi="Symbol" w:hint="default"/>
      </w:rPr>
    </w:lvl>
    <w:lvl w:ilvl="1" w:tplc="326479E6" w:tentative="1">
      <w:start w:val="1"/>
      <w:numFmt w:val="bullet"/>
      <w:lvlText w:val="o"/>
      <w:lvlJc w:val="left"/>
      <w:pPr>
        <w:ind w:left="1440" w:hanging="360"/>
      </w:pPr>
      <w:rPr>
        <w:rFonts w:ascii="Courier New" w:hAnsi="Courier New" w:cs="Courier New" w:hint="default"/>
      </w:rPr>
    </w:lvl>
    <w:lvl w:ilvl="2" w:tplc="E1EE22AC" w:tentative="1">
      <w:start w:val="1"/>
      <w:numFmt w:val="bullet"/>
      <w:lvlText w:val=""/>
      <w:lvlJc w:val="left"/>
      <w:pPr>
        <w:ind w:left="2160" w:hanging="360"/>
      </w:pPr>
      <w:rPr>
        <w:rFonts w:ascii="Wingdings" w:hAnsi="Wingdings" w:hint="default"/>
      </w:rPr>
    </w:lvl>
    <w:lvl w:ilvl="3" w:tplc="75D62136" w:tentative="1">
      <w:start w:val="1"/>
      <w:numFmt w:val="bullet"/>
      <w:lvlText w:val=""/>
      <w:lvlJc w:val="left"/>
      <w:pPr>
        <w:ind w:left="2880" w:hanging="360"/>
      </w:pPr>
      <w:rPr>
        <w:rFonts w:ascii="Symbol" w:hAnsi="Symbol" w:hint="default"/>
      </w:rPr>
    </w:lvl>
    <w:lvl w:ilvl="4" w:tplc="8F46038E" w:tentative="1">
      <w:start w:val="1"/>
      <w:numFmt w:val="bullet"/>
      <w:lvlText w:val="o"/>
      <w:lvlJc w:val="left"/>
      <w:pPr>
        <w:ind w:left="3600" w:hanging="360"/>
      </w:pPr>
      <w:rPr>
        <w:rFonts w:ascii="Courier New" w:hAnsi="Courier New" w:cs="Courier New" w:hint="default"/>
      </w:rPr>
    </w:lvl>
    <w:lvl w:ilvl="5" w:tplc="DA988E5E" w:tentative="1">
      <w:start w:val="1"/>
      <w:numFmt w:val="bullet"/>
      <w:lvlText w:val=""/>
      <w:lvlJc w:val="left"/>
      <w:pPr>
        <w:ind w:left="4320" w:hanging="360"/>
      </w:pPr>
      <w:rPr>
        <w:rFonts w:ascii="Wingdings" w:hAnsi="Wingdings" w:hint="default"/>
      </w:rPr>
    </w:lvl>
    <w:lvl w:ilvl="6" w:tplc="3064E47C" w:tentative="1">
      <w:start w:val="1"/>
      <w:numFmt w:val="bullet"/>
      <w:lvlText w:val=""/>
      <w:lvlJc w:val="left"/>
      <w:pPr>
        <w:ind w:left="5040" w:hanging="360"/>
      </w:pPr>
      <w:rPr>
        <w:rFonts w:ascii="Symbol" w:hAnsi="Symbol" w:hint="default"/>
      </w:rPr>
    </w:lvl>
    <w:lvl w:ilvl="7" w:tplc="233AE910" w:tentative="1">
      <w:start w:val="1"/>
      <w:numFmt w:val="bullet"/>
      <w:lvlText w:val="o"/>
      <w:lvlJc w:val="left"/>
      <w:pPr>
        <w:ind w:left="5760" w:hanging="360"/>
      </w:pPr>
      <w:rPr>
        <w:rFonts w:ascii="Courier New" w:hAnsi="Courier New" w:cs="Courier New" w:hint="default"/>
      </w:rPr>
    </w:lvl>
    <w:lvl w:ilvl="8" w:tplc="8DC06DDE" w:tentative="1">
      <w:start w:val="1"/>
      <w:numFmt w:val="bullet"/>
      <w:lvlText w:val=""/>
      <w:lvlJc w:val="left"/>
      <w:pPr>
        <w:ind w:left="6480" w:hanging="360"/>
      </w:pPr>
      <w:rPr>
        <w:rFonts w:ascii="Wingdings" w:hAnsi="Wingdings" w:hint="default"/>
      </w:rPr>
    </w:lvl>
  </w:abstractNum>
  <w:abstractNum w:abstractNumId="11" w15:restartNumberingAfterBreak="0">
    <w:nsid w:val="322A4331"/>
    <w:multiLevelType w:val="multilevel"/>
    <w:tmpl w:val="9558CE62"/>
    <w:lvl w:ilvl="0">
      <w:start w:val="1"/>
      <w:numFmt w:val="decimal"/>
      <w:lvlText w:val="%1."/>
      <w:lvlJc w:val="left"/>
      <w:pPr>
        <w:tabs>
          <w:tab w:val="num" w:pos="862"/>
        </w:tabs>
        <w:ind w:left="862" w:hanging="720"/>
      </w:pPr>
      <w:rPr>
        <w:rFonts w:hint="default"/>
        <w:b w:val="0"/>
      </w:rPr>
    </w:lvl>
    <w:lvl w:ilvl="1">
      <w:start w:val="1"/>
      <w:numFmt w:val="lowerLetter"/>
      <w:lvlText w:val="%2."/>
      <w:lvlJc w:val="left"/>
      <w:pPr>
        <w:tabs>
          <w:tab w:val="num" w:pos="1080"/>
        </w:tabs>
        <w:ind w:left="1080" w:hanging="360"/>
      </w:pPr>
      <w:rPr>
        <w:rFonts w:hint="default"/>
      </w:rPr>
    </w:lvl>
    <w:lvl w:ilvl="2">
      <w:start w:val="8"/>
      <w:numFmt w:val="upperLetter"/>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 w15:restartNumberingAfterBreak="0">
    <w:nsid w:val="32DC4E50"/>
    <w:multiLevelType w:val="hybridMultilevel"/>
    <w:tmpl w:val="2D6CD8A6"/>
    <w:lvl w:ilvl="0" w:tplc="DE8AF8DE">
      <w:start w:val="1"/>
      <w:numFmt w:val="decimal"/>
      <w:lvlText w:val="%1."/>
      <w:lvlJc w:val="left"/>
      <w:pPr>
        <w:ind w:left="720" w:hanging="360"/>
      </w:pPr>
      <w:rPr>
        <w:rFonts w:ascii="Arial" w:hAnsi="Arial" w:hint="default"/>
        <w:sz w:val="24"/>
      </w:rPr>
    </w:lvl>
    <w:lvl w:ilvl="1" w:tplc="08AC0290" w:tentative="1">
      <w:start w:val="1"/>
      <w:numFmt w:val="bullet"/>
      <w:lvlText w:val="o"/>
      <w:lvlJc w:val="left"/>
      <w:pPr>
        <w:ind w:left="1440" w:hanging="360"/>
      </w:pPr>
      <w:rPr>
        <w:rFonts w:ascii="Courier New" w:hAnsi="Courier New" w:cs="Courier New" w:hint="default"/>
      </w:rPr>
    </w:lvl>
    <w:lvl w:ilvl="2" w:tplc="ABF44BB8" w:tentative="1">
      <w:start w:val="1"/>
      <w:numFmt w:val="bullet"/>
      <w:lvlText w:val=""/>
      <w:lvlJc w:val="left"/>
      <w:pPr>
        <w:ind w:left="2160" w:hanging="360"/>
      </w:pPr>
      <w:rPr>
        <w:rFonts w:ascii="Wingdings" w:hAnsi="Wingdings" w:hint="default"/>
      </w:rPr>
    </w:lvl>
    <w:lvl w:ilvl="3" w:tplc="4F68AF74" w:tentative="1">
      <w:start w:val="1"/>
      <w:numFmt w:val="bullet"/>
      <w:lvlText w:val=""/>
      <w:lvlJc w:val="left"/>
      <w:pPr>
        <w:ind w:left="2880" w:hanging="360"/>
      </w:pPr>
      <w:rPr>
        <w:rFonts w:ascii="Symbol" w:hAnsi="Symbol" w:hint="default"/>
      </w:rPr>
    </w:lvl>
    <w:lvl w:ilvl="4" w:tplc="921E04DE" w:tentative="1">
      <w:start w:val="1"/>
      <w:numFmt w:val="bullet"/>
      <w:lvlText w:val="o"/>
      <w:lvlJc w:val="left"/>
      <w:pPr>
        <w:ind w:left="3600" w:hanging="360"/>
      </w:pPr>
      <w:rPr>
        <w:rFonts w:ascii="Courier New" w:hAnsi="Courier New" w:cs="Courier New" w:hint="default"/>
      </w:rPr>
    </w:lvl>
    <w:lvl w:ilvl="5" w:tplc="0C462286" w:tentative="1">
      <w:start w:val="1"/>
      <w:numFmt w:val="bullet"/>
      <w:lvlText w:val=""/>
      <w:lvlJc w:val="left"/>
      <w:pPr>
        <w:ind w:left="4320" w:hanging="360"/>
      </w:pPr>
      <w:rPr>
        <w:rFonts w:ascii="Wingdings" w:hAnsi="Wingdings" w:hint="default"/>
      </w:rPr>
    </w:lvl>
    <w:lvl w:ilvl="6" w:tplc="D696D34A" w:tentative="1">
      <w:start w:val="1"/>
      <w:numFmt w:val="bullet"/>
      <w:lvlText w:val=""/>
      <w:lvlJc w:val="left"/>
      <w:pPr>
        <w:ind w:left="5040" w:hanging="360"/>
      </w:pPr>
      <w:rPr>
        <w:rFonts w:ascii="Symbol" w:hAnsi="Symbol" w:hint="default"/>
      </w:rPr>
    </w:lvl>
    <w:lvl w:ilvl="7" w:tplc="4BAEBFDC" w:tentative="1">
      <w:start w:val="1"/>
      <w:numFmt w:val="bullet"/>
      <w:lvlText w:val="o"/>
      <w:lvlJc w:val="left"/>
      <w:pPr>
        <w:ind w:left="5760" w:hanging="360"/>
      </w:pPr>
      <w:rPr>
        <w:rFonts w:ascii="Courier New" w:hAnsi="Courier New" w:cs="Courier New" w:hint="default"/>
      </w:rPr>
    </w:lvl>
    <w:lvl w:ilvl="8" w:tplc="CF9A038E" w:tentative="1">
      <w:start w:val="1"/>
      <w:numFmt w:val="bullet"/>
      <w:lvlText w:val=""/>
      <w:lvlJc w:val="left"/>
      <w:pPr>
        <w:ind w:left="6480" w:hanging="360"/>
      </w:pPr>
      <w:rPr>
        <w:rFonts w:ascii="Wingdings" w:hAnsi="Wingdings" w:hint="default"/>
      </w:rPr>
    </w:lvl>
  </w:abstractNum>
  <w:abstractNum w:abstractNumId="13" w15:restartNumberingAfterBreak="0">
    <w:nsid w:val="32DE378D"/>
    <w:multiLevelType w:val="hybridMultilevel"/>
    <w:tmpl w:val="669255CA"/>
    <w:lvl w:ilvl="0" w:tplc="2A928634">
      <w:start w:val="1"/>
      <w:numFmt w:val="bullet"/>
      <w:pStyle w:val="Bullet"/>
      <w:lvlText w:val=""/>
      <w:lvlJc w:val="left"/>
      <w:pPr>
        <w:ind w:left="363" w:hanging="360"/>
      </w:pPr>
      <w:rPr>
        <w:rFonts w:ascii="Symbol" w:hAnsi="Symbol" w:hint="default"/>
      </w:rPr>
    </w:lvl>
    <w:lvl w:ilvl="1" w:tplc="DEDC205C">
      <w:start w:val="1"/>
      <w:numFmt w:val="bullet"/>
      <w:pStyle w:val="Bullet-indent"/>
      <w:lvlText w:val="o"/>
      <w:lvlJc w:val="left"/>
      <w:pPr>
        <w:ind w:left="1083" w:hanging="360"/>
      </w:pPr>
      <w:rPr>
        <w:rFonts w:ascii="Courier New" w:hAnsi="Courier New" w:cs="Courier New" w:hint="default"/>
      </w:rPr>
    </w:lvl>
    <w:lvl w:ilvl="2" w:tplc="BA2A64F2" w:tentative="1">
      <w:start w:val="1"/>
      <w:numFmt w:val="bullet"/>
      <w:lvlText w:val=""/>
      <w:lvlJc w:val="left"/>
      <w:pPr>
        <w:ind w:left="1803" w:hanging="360"/>
      </w:pPr>
      <w:rPr>
        <w:rFonts w:ascii="Wingdings" w:hAnsi="Wingdings" w:hint="default"/>
      </w:rPr>
    </w:lvl>
    <w:lvl w:ilvl="3" w:tplc="382668A8" w:tentative="1">
      <w:start w:val="1"/>
      <w:numFmt w:val="bullet"/>
      <w:lvlText w:val=""/>
      <w:lvlJc w:val="left"/>
      <w:pPr>
        <w:ind w:left="2523" w:hanging="360"/>
      </w:pPr>
      <w:rPr>
        <w:rFonts w:ascii="Symbol" w:hAnsi="Symbol" w:hint="default"/>
      </w:rPr>
    </w:lvl>
    <w:lvl w:ilvl="4" w:tplc="7BAA8F8C" w:tentative="1">
      <w:start w:val="1"/>
      <w:numFmt w:val="bullet"/>
      <w:lvlText w:val="o"/>
      <w:lvlJc w:val="left"/>
      <w:pPr>
        <w:ind w:left="3243" w:hanging="360"/>
      </w:pPr>
      <w:rPr>
        <w:rFonts w:ascii="Courier New" w:hAnsi="Courier New" w:cs="Courier New" w:hint="default"/>
      </w:rPr>
    </w:lvl>
    <w:lvl w:ilvl="5" w:tplc="5A4434AE" w:tentative="1">
      <w:start w:val="1"/>
      <w:numFmt w:val="bullet"/>
      <w:lvlText w:val=""/>
      <w:lvlJc w:val="left"/>
      <w:pPr>
        <w:ind w:left="3963" w:hanging="360"/>
      </w:pPr>
      <w:rPr>
        <w:rFonts w:ascii="Wingdings" w:hAnsi="Wingdings" w:hint="default"/>
      </w:rPr>
    </w:lvl>
    <w:lvl w:ilvl="6" w:tplc="811A6BBE" w:tentative="1">
      <w:start w:val="1"/>
      <w:numFmt w:val="bullet"/>
      <w:lvlText w:val=""/>
      <w:lvlJc w:val="left"/>
      <w:pPr>
        <w:ind w:left="4683" w:hanging="360"/>
      </w:pPr>
      <w:rPr>
        <w:rFonts w:ascii="Symbol" w:hAnsi="Symbol" w:hint="default"/>
      </w:rPr>
    </w:lvl>
    <w:lvl w:ilvl="7" w:tplc="D8AA7558" w:tentative="1">
      <w:start w:val="1"/>
      <w:numFmt w:val="bullet"/>
      <w:lvlText w:val="o"/>
      <w:lvlJc w:val="left"/>
      <w:pPr>
        <w:ind w:left="5403" w:hanging="360"/>
      </w:pPr>
      <w:rPr>
        <w:rFonts w:ascii="Courier New" w:hAnsi="Courier New" w:cs="Courier New" w:hint="default"/>
      </w:rPr>
    </w:lvl>
    <w:lvl w:ilvl="8" w:tplc="3F2CF122" w:tentative="1">
      <w:start w:val="1"/>
      <w:numFmt w:val="bullet"/>
      <w:lvlText w:val=""/>
      <w:lvlJc w:val="left"/>
      <w:pPr>
        <w:ind w:left="6123" w:hanging="360"/>
      </w:pPr>
      <w:rPr>
        <w:rFonts w:ascii="Wingdings" w:hAnsi="Wingdings" w:hint="default"/>
      </w:rPr>
    </w:lvl>
  </w:abstractNum>
  <w:abstractNum w:abstractNumId="14" w15:restartNumberingAfterBreak="0">
    <w:nsid w:val="37295529"/>
    <w:multiLevelType w:val="hybridMultilevel"/>
    <w:tmpl w:val="B554D94A"/>
    <w:lvl w:ilvl="0" w:tplc="C8AC2AAE">
      <w:start w:val="3"/>
      <w:numFmt w:val="upperLetter"/>
      <w:lvlText w:val="%1."/>
      <w:lvlJc w:val="left"/>
      <w:pPr>
        <w:ind w:left="360" w:hanging="360"/>
      </w:pPr>
      <w:rPr>
        <w:rFonts w:hint="default"/>
        <w:b/>
      </w:rPr>
    </w:lvl>
    <w:lvl w:ilvl="1" w:tplc="C96CEF34" w:tentative="1">
      <w:start w:val="1"/>
      <w:numFmt w:val="lowerLetter"/>
      <w:lvlText w:val="%2."/>
      <w:lvlJc w:val="left"/>
      <w:pPr>
        <w:ind w:left="1440" w:hanging="360"/>
      </w:pPr>
    </w:lvl>
    <w:lvl w:ilvl="2" w:tplc="2750A9D0" w:tentative="1">
      <w:start w:val="1"/>
      <w:numFmt w:val="lowerRoman"/>
      <w:lvlText w:val="%3."/>
      <w:lvlJc w:val="right"/>
      <w:pPr>
        <w:ind w:left="2160" w:hanging="180"/>
      </w:pPr>
    </w:lvl>
    <w:lvl w:ilvl="3" w:tplc="16E844B8" w:tentative="1">
      <w:start w:val="1"/>
      <w:numFmt w:val="decimal"/>
      <w:lvlText w:val="%4."/>
      <w:lvlJc w:val="left"/>
      <w:pPr>
        <w:ind w:left="2880" w:hanging="360"/>
      </w:pPr>
    </w:lvl>
    <w:lvl w:ilvl="4" w:tplc="BC0EFA88" w:tentative="1">
      <w:start w:val="1"/>
      <w:numFmt w:val="lowerLetter"/>
      <w:lvlText w:val="%5."/>
      <w:lvlJc w:val="left"/>
      <w:pPr>
        <w:ind w:left="3600" w:hanging="360"/>
      </w:pPr>
    </w:lvl>
    <w:lvl w:ilvl="5" w:tplc="C99E2DD8" w:tentative="1">
      <w:start w:val="1"/>
      <w:numFmt w:val="lowerRoman"/>
      <w:lvlText w:val="%6."/>
      <w:lvlJc w:val="right"/>
      <w:pPr>
        <w:ind w:left="4320" w:hanging="180"/>
      </w:pPr>
    </w:lvl>
    <w:lvl w:ilvl="6" w:tplc="39109C1A" w:tentative="1">
      <w:start w:val="1"/>
      <w:numFmt w:val="decimal"/>
      <w:lvlText w:val="%7."/>
      <w:lvlJc w:val="left"/>
      <w:pPr>
        <w:ind w:left="5040" w:hanging="360"/>
      </w:pPr>
    </w:lvl>
    <w:lvl w:ilvl="7" w:tplc="27BA5192" w:tentative="1">
      <w:start w:val="1"/>
      <w:numFmt w:val="lowerLetter"/>
      <w:lvlText w:val="%8."/>
      <w:lvlJc w:val="left"/>
      <w:pPr>
        <w:ind w:left="5760" w:hanging="360"/>
      </w:pPr>
    </w:lvl>
    <w:lvl w:ilvl="8" w:tplc="C798A98E" w:tentative="1">
      <w:start w:val="1"/>
      <w:numFmt w:val="lowerRoman"/>
      <w:lvlText w:val="%9."/>
      <w:lvlJc w:val="right"/>
      <w:pPr>
        <w:ind w:left="6480" w:hanging="180"/>
      </w:pPr>
    </w:lvl>
  </w:abstractNum>
  <w:abstractNum w:abstractNumId="15" w15:restartNumberingAfterBreak="0">
    <w:nsid w:val="38E44637"/>
    <w:multiLevelType w:val="hybridMultilevel"/>
    <w:tmpl w:val="AB18335E"/>
    <w:lvl w:ilvl="0" w:tplc="074AF5C2">
      <w:start w:val="1"/>
      <w:numFmt w:val="upperLetter"/>
      <w:lvlText w:val="%1."/>
      <w:lvlJc w:val="left"/>
      <w:pPr>
        <w:ind w:left="360" w:hanging="360"/>
      </w:pPr>
      <w:rPr>
        <w:rFonts w:hint="default"/>
        <w:b/>
      </w:rPr>
    </w:lvl>
    <w:lvl w:ilvl="1" w:tplc="DCD0B00C">
      <w:start w:val="1"/>
      <w:numFmt w:val="lowerLetter"/>
      <w:lvlText w:val="%2."/>
      <w:lvlJc w:val="left"/>
      <w:pPr>
        <w:ind w:left="1080" w:hanging="360"/>
      </w:pPr>
    </w:lvl>
    <w:lvl w:ilvl="2" w:tplc="7256BEFC" w:tentative="1">
      <w:start w:val="1"/>
      <w:numFmt w:val="lowerRoman"/>
      <w:lvlText w:val="%3."/>
      <w:lvlJc w:val="right"/>
      <w:pPr>
        <w:ind w:left="1800" w:hanging="180"/>
      </w:pPr>
    </w:lvl>
    <w:lvl w:ilvl="3" w:tplc="5A282FC8" w:tentative="1">
      <w:start w:val="1"/>
      <w:numFmt w:val="decimal"/>
      <w:lvlText w:val="%4."/>
      <w:lvlJc w:val="left"/>
      <w:pPr>
        <w:ind w:left="2520" w:hanging="360"/>
      </w:pPr>
    </w:lvl>
    <w:lvl w:ilvl="4" w:tplc="93324E06" w:tentative="1">
      <w:start w:val="1"/>
      <w:numFmt w:val="lowerLetter"/>
      <w:lvlText w:val="%5."/>
      <w:lvlJc w:val="left"/>
      <w:pPr>
        <w:ind w:left="3240" w:hanging="360"/>
      </w:pPr>
    </w:lvl>
    <w:lvl w:ilvl="5" w:tplc="CE04E942" w:tentative="1">
      <w:start w:val="1"/>
      <w:numFmt w:val="lowerRoman"/>
      <w:lvlText w:val="%6."/>
      <w:lvlJc w:val="right"/>
      <w:pPr>
        <w:ind w:left="3960" w:hanging="180"/>
      </w:pPr>
    </w:lvl>
    <w:lvl w:ilvl="6" w:tplc="41B41EE0" w:tentative="1">
      <w:start w:val="1"/>
      <w:numFmt w:val="decimal"/>
      <w:lvlText w:val="%7."/>
      <w:lvlJc w:val="left"/>
      <w:pPr>
        <w:ind w:left="4680" w:hanging="360"/>
      </w:pPr>
    </w:lvl>
    <w:lvl w:ilvl="7" w:tplc="03425C3A" w:tentative="1">
      <w:start w:val="1"/>
      <w:numFmt w:val="lowerLetter"/>
      <w:lvlText w:val="%8."/>
      <w:lvlJc w:val="left"/>
      <w:pPr>
        <w:ind w:left="5400" w:hanging="360"/>
      </w:pPr>
    </w:lvl>
    <w:lvl w:ilvl="8" w:tplc="B9DCA694" w:tentative="1">
      <w:start w:val="1"/>
      <w:numFmt w:val="lowerRoman"/>
      <w:lvlText w:val="%9."/>
      <w:lvlJc w:val="right"/>
      <w:pPr>
        <w:ind w:left="6120" w:hanging="180"/>
      </w:pPr>
    </w:lvl>
  </w:abstractNum>
  <w:abstractNum w:abstractNumId="16" w15:restartNumberingAfterBreak="0">
    <w:nsid w:val="38F714A8"/>
    <w:multiLevelType w:val="hybridMultilevel"/>
    <w:tmpl w:val="62B2CB52"/>
    <w:lvl w:ilvl="0" w:tplc="9AD2FA0A">
      <w:start w:val="1"/>
      <w:numFmt w:val="bullet"/>
      <w:lvlText w:val=""/>
      <w:lvlJc w:val="left"/>
      <w:pPr>
        <w:ind w:left="720" w:hanging="360"/>
      </w:pPr>
      <w:rPr>
        <w:rFonts w:ascii="Symbol" w:hAnsi="Symbol" w:hint="default"/>
      </w:rPr>
    </w:lvl>
    <w:lvl w:ilvl="1" w:tplc="1E24A266" w:tentative="1">
      <w:start w:val="1"/>
      <w:numFmt w:val="bullet"/>
      <w:lvlText w:val="o"/>
      <w:lvlJc w:val="left"/>
      <w:pPr>
        <w:ind w:left="1440" w:hanging="360"/>
      </w:pPr>
      <w:rPr>
        <w:rFonts w:ascii="Courier New" w:hAnsi="Courier New" w:cs="Courier New" w:hint="default"/>
      </w:rPr>
    </w:lvl>
    <w:lvl w:ilvl="2" w:tplc="D624C236" w:tentative="1">
      <w:start w:val="1"/>
      <w:numFmt w:val="bullet"/>
      <w:lvlText w:val=""/>
      <w:lvlJc w:val="left"/>
      <w:pPr>
        <w:ind w:left="2160" w:hanging="360"/>
      </w:pPr>
      <w:rPr>
        <w:rFonts w:ascii="Wingdings" w:hAnsi="Wingdings" w:hint="default"/>
      </w:rPr>
    </w:lvl>
    <w:lvl w:ilvl="3" w:tplc="0CEAF1C6" w:tentative="1">
      <w:start w:val="1"/>
      <w:numFmt w:val="bullet"/>
      <w:lvlText w:val=""/>
      <w:lvlJc w:val="left"/>
      <w:pPr>
        <w:ind w:left="2880" w:hanging="360"/>
      </w:pPr>
      <w:rPr>
        <w:rFonts w:ascii="Symbol" w:hAnsi="Symbol" w:hint="default"/>
      </w:rPr>
    </w:lvl>
    <w:lvl w:ilvl="4" w:tplc="DE7845B6" w:tentative="1">
      <w:start w:val="1"/>
      <w:numFmt w:val="bullet"/>
      <w:lvlText w:val="o"/>
      <w:lvlJc w:val="left"/>
      <w:pPr>
        <w:ind w:left="3600" w:hanging="360"/>
      </w:pPr>
      <w:rPr>
        <w:rFonts w:ascii="Courier New" w:hAnsi="Courier New" w:cs="Courier New" w:hint="default"/>
      </w:rPr>
    </w:lvl>
    <w:lvl w:ilvl="5" w:tplc="DD14E5F8" w:tentative="1">
      <w:start w:val="1"/>
      <w:numFmt w:val="bullet"/>
      <w:lvlText w:val=""/>
      <w:lvlJc w:val="left"/>
      <w:pPr>
        <w:ind w:left="4320" w:hanging="360"/>
      </w:pPr>
      <w:rPr>
        <w:rFonts w:ascii="Wingdings" w:hAnsi="Wingdings" w:hint="default"/>
      </w:rPr>
    </w:lvl>
    <w:lvl w:ilvl="6" w:tplc="106671E8" w:tentative="1">
      <w:start w:val="1"/>
      <w:numFmt w:val="bullet"/>
      <w:lvlText w:val=""/>
      <w:lvlJc w:val="left"/>
      <w:pPr>
        <w:ind w:left="5040" w:hanging="360"/>
      </w:pPr>
      <w:rPr>
        <w:rFonts w:ascii="Symbol" w:hAnsi="Symbol" w:hint="default"/>
      </w:rPr>
    </w:lvl>
    <w:lvl w:ilvl="7" w:tplc="619295DE" w:tentative="1">
      <w:start w:val="1"/>
      <w:numFmt w:val="bullet"/>
      <w:lvlText w:val="o"/>
      <w:lvlJc w:val="left"/>
      <w:pPr>
        <w:ind w:left="5760" w:hanging="360"/>
      </w:pPr>
      <w:rPr>
        <w:rFonts w:ascii="Courier New" w:hAnsi="Courier New" w:cs="Courier New" w:hint="default"/>
      </w:rPr>
    </w:lvl>
    <w:lvl w:ilvl="8" w:tplc="04CC7200" w:tentative="1">
      <w:start w:val="1"/>
      <w:numFmt w:val="bullet"/>
      <w:lvlText w:val=""/>
      <w:lvlJc w:val="left"/>
      <w:pPr>
        <w:ind w:left="6480" w:hanging="360"/>
      </w:pPr>
      <w:rPr>
        <w:rFonts w:ascii="Wingdings" w:hAnsi="Wingdings" w:hint="default"/>
      </w:rPr>
    </w:lvl>
  </w:abstractNum>
  <w:abstractNum w:abstractNumId="17" w15:restartNumberingAfterBreak="0">
    <w:nsid w:val="39A51D7B"/>
    <w:multiLevelType w:val="hybridMultilevel"/>
    <w:tmpl w:val="517EABC2"/>
    <w:lvl w:ilvl="0" w:tplc="AD5A04CC">
      <w:start w:val="1"/>
      <w:numFmt w:val="bullet"/>
      <w:lvlText w:val=""/>
      <w:lvlJc w:val="left"/>
      <w:pPr>
        <w:ind w:left="720" w:hanging="360"/>
      </w:pPr>
      <w:rPr>
        <w:rFonts w:ascii="Symbol" w:hAnsi="Symbol" w:hint="default"/>
      </w:rPr>
    </w:lvl>
    <w:lvl w:ilvl="1" w:tplc="486853A0" w:tentative="1">
      <w:start w:val="1"/>
      <w:numFmt w:val="bullet"/>
      <w:lvlText w:val="o"/>
      <w:lvlJc w:val="left"/>
      <w:pPr>
        <w:ind w:left="1440" w:hanging="360"/>
      </w:pPr>
      <w:rPr>
        <w:rFonts w:ascii="Courier New" w:hAnsi="Courier New" w:cs="Courier New" w:hint="default"/>
      </w:rPr>
    </w:lvl>
    <w:lvl w:ilvl="2" w:tplc="783E531C" w:tentative="1">
      <w:start w:val="1"/>
      <w:numFmt w:val="bullet"/>
      <w:lvlText w:val=""/>
      <w:lvlJc w:val="left"/>
      <w:pPr>
        <w:ind w:left="2160" w:hanging="360"/>
      </w:pPr>
      <w:rPr>
        <w:rFonts w:ascii="Wingdings" w:hAnsi="Wingdings" w:hint="default"/>
      </w:rPr>
    </w:lvl>
    <w:lvl w:ilvl="3" w:tplc="D1B46E62" w:tentative="1">
      <w:start w:val="1"/>
      <w:numFmt w:val="bullet"/>
      <w:lvlText w:val=""/>
      <w:lvlJc w:val="left"/>
      <w:pPr>
        <w:ind w:left="2880" w:hanging="360"/>
      </w:pPr>
      <w:rPr>
        <w:rFonts w:ascii="Symbol" w:hAnsi="Symbol" w:hint="default"/>
      </w:rPr>
    </w:lvl>
    <w:lvl w:ilvl="4" w:tplc="28FEF40E" w:tentative="1">
      <w:start w:val="1"/>
      <w:numFmt w:val="bullet"/>
      <w:lvlText w:val="o"/>
      <w:lvlJc w:val="left"/>
      <w:pPr>
        <w:ind w:left="3600" w:hanging="360"/>
      </w:pPr>
      <w:rPr>
        <w:rFonts w:ascii="Courier New" w:hAnsi="Courier New" w:cs="Courier New" w:hint="default"/>
      </w:rPr>
    </w:lvl>
    <w:lvl w:ilvl="5" w:tplc="6F5A3364" w:tentative="1">
      <w:start w:val="1"/>
      <w:numFmt w:val="bullet"/>
      <w:lvlText w:val=""/>
      <w:lvlJc w:val="left"/>
      <w:pPr>
        <w:ind w:left="4320" w:hanging="360"/>
      </w:pPr>
      <w:rPr>
        <w:rFonts w:ascii="Wingdings" w:hAnsi="Wingdings" w:hint="default"/>
      </w:rPr>
    </w:lvl>
    <w:lvl w:ilvl="6" w:tplc="CA327C10" w:tentative="1">
      <w:start w:val="1"/>
      <w:numFmt w:val="bullet"/>
      <w:lvlText w:val=""/>
      <w:lvlJc w:val="left"/>
      <w:pPr>
        <w:ind w:left="5040" w:hanging="360"/>
      </w:pPr>
      <w:rPr>
        <w:rFonts w:ascii="Symbol" w:hAnsi="Symbol" w:hint="default"/>
      </w:rPr>
    </w:lvl>
    <w:lvl w:ilvl="7" w:tplc="F1B407FA" w:tentative="1">
      <w:start w:val="1"/>
      <w:numFmt w:val="bullet"/>
      <w:lvlText w:val="o"/>
      <w:lvlJc w:val="left"/>
      <w:pPr>
        <w:ind w:left="5760" w:hanging="360"/>
      </w:pPr>
      <w:rPr>
        <w:rFonts w:ascii="Courier New" w:hAnsi="Courier New" w:cs="Courier New" w:hint="default"/>
      </w:rPr>
    </w:lvl>
    <w:lvl w:ilvl="8" w:tplc="4C2CBDC4" w:tentative="1">
      <w:start w:val="1"/>
      <w:numFmt w:val="bullet"/>
      <w:lvlText w:val=""/>
      <w:lvlJc w:val="left"/>
      <w:pPr>
        <w:ind w:left="6480" w:hanging="360"/>
      </w:pPr>
      <w:rPr>
        <w:rFonts w:ascii="Wingdings" w:hAnsi="Wingdings" w:hint="default"/>
      </w:rPr>
    </w:lvl>
  </w:abstractNum>
  <w:abstractNum w:abstractNumId="18" w15:restartNumberingAfterBreak="0">
    <w:nsid w:val="3DB460F8"/>
    <w:multiLevelType w:val="multilevel"/>
    <w:tmpl w:val="D234C816"/>
    <w:lvl w:ilvl="0">
      <w:start w:val="1"/>
      <w:numFmt w:val="decimal"/>
      <w:lvlText w:val=" %1"/>
      <w:lvlJc w:val="left"/>
      <w:pPr>
        <w:tabs>
          <w:tab w:val="num" w:pos="720"/>
        </w:tabs>
        <w:ind w:left="720" w:hanging="720"/>
      </w:pPr>
      <w:rPr>
        <w:rFonts w:hint="default"/>
        <w:b w:val="0"/>
        <w:i w:val="0"/>
      </w:rPr>
    </w:lvl>
    <w:lvl w:ilvl="1">
      <w:start w:val="1"/>
      <w:numFmt w:val="decimal"/>
      <w:pStyle w:val="OutlineNum2"/>
      <w:lvlText w:val="%1.%2"/>
      <w:lvlJc w:val="left"/>
      <w:pPr>
        <w:tabs>
          <w:tab w:val="num" w:pos="720"/>
        </w:tabs>
        <w:ind w:left="720" w:hanging="720"/>
      </w:pPr>
      <w:rPr>
        <w:rFonts w:ascii="Arial" w:hAnsi="Arial" w:hint="default"/>
        <w:b w:val="0"/>
        <w:i w:val="0"/>
        <w:sz w:val="22"/>
        <w:szCs w:val="22"/>
      </w:rPr>
    </w:lvl>
    <w:lvl w:ilvl="2">
      <w:start w:val="1"/>
      <w:numFmt w:val="decimal"/>
      <w:pStyle w:val="OutlineNum3"/>
      <w:lvlText w:val="%1.%2.%3"/>
      <w:lvlJc w:val="left"/>
      <w:pPr>
        <w:tabs>
          <w:tab w:val="num" w:pos="1440"/>
        </w:tabs>
        <w:ind w:left="1440" w:hanging="720"/>
      </w:pPr>
      <w:rPr>
        <w:rFonts w:ascii="Times New Roman" w:hAnsi="Times New Roman" w:hint="default"/>
        <w:b w:val="0"/>
        <w:i w:val="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11B5D08"/>
    <w:multiLevelType w:val="hybridMultilevel"/>
    <w:tmpl w:val="5D4470DC"/>
    <w:lvl w:ilvl="0" w:tplc="C63EF0AE">
      <w:start w:val="1"/>
      <w:numFmt w:val="bullet"/>
      <w:lvlText w:val=""/>
      <w:lvlJc w:val="left"/>
      <w:pPr>
        <w:ind w:left="1353" w:hanging="360"/>
      </w:pPr>
      <w:rPr>
        <w:rFonts w:ascii="Symbol" w:hAnsi="Symbol" w:hint="default"/>
      </w:rPr>
    </w:lvl>
    <w:lvl w:ilvl="1" w:tplc="D1EA755E" w:tentative="1">
      <w:start w:val="1"/>
      <w:numFmt w:val="bullet"/>
      <w:lvlText w:val="o"/>
      <w:lvlJc w:val="left"/>
      <w:pPr>
        <w:ind w:left="1440" w:hanging="360"/>
      </w:pPr>
      <w:rPr>
        <w:rFonts w:ascii="Courier New" w:hAnsi="Courier New" w:cs="Courier New" w:hint="default"/>
      </w:rPr>
    </w:lvl>
    <w:lvl w:ilvl="2" w:tplc="FDBE20EA" w:tentative="1">
      <w:start w:val="1"/>
      <w:numFmt w:val="bullet"/>
      <w:lvlText w:val=""/>
      <w:lvlJc w:val="left"/>
      <w:pPr>
        <w:ind w:left="2160" w:hanging="360"/>
      </w:pPr>
      <w:rPr>
        <w:rFonts w:ascii="Wingdings" w:hAnsi="Wingdings" w:hint="default"/>
      </w:rPr>
    </w:lvl>
    <w:lvl w:ilvl="3" w:tplc="066496B2" w:tentative="1">
      <w:start w:val="1"/>
      <w:numFmt w:val="bullet"/>
      <w:lvlText w:val=""/>
      <w:lvlJc w:val="left"/>
      <w:pPr>
        <w:ind w:left="2880" w:hanging="360"/>
      </w:pPr>
      <w:rPr>
        <w:rFonts w:ascii="Symbol" w:hAnsi="Symbol" w:hint="default"/>
      </w:rPr>
    </w:lvl>
    <w:lvl w:ilvl="4" w:tplc="C12E88C8" w:tentative="1">
      <w:start w:val="1"/>
      <w:numFmt w:val="bullet"/>
      <w:lvlText w:val="o"/>
      <w:lvlJc w:val="left"/>
      <w:pPr>
        <w:ind w:left="3600" w:hanging="360"/>
      </w:pPr>
      <w:rPr>
        <w:rFonts w:ascii="Courier New" w:hAnsi="Courier New" w:cs="Courier New" w:hint="default"/>
      </w:rPr>
    </w:lvl>
    <w:lvl w:ilvl="5" w:tplc="D9BA688C" w:tentative="1">
      <w:start w:val="1"/>
      <w:numFmt w:val="bullet"/>
      <w:lvlText w:val=""/>
      <w:lvlJc w:val="left"/>
      <w:pPr>
        <w:ind w:left="4320" w:hanging="360"/>
      </w:pPr>
      <w:rPr>
        <w:rFonts w:ascii="Wingdings" w:hAnsi="Wingdings" w:hint="default"/>
      </w:rPr>
    </w:lvl>
    <w:lvl w:ilvl="6" w:tplc="3FE0C00E" w:tentative="1">
      <w:start w:val="1"/>
      <w:numFmt w:val="bullet"/>
      <w:lvlText w:val=""/>
      <w:lvlJc w:val="left"/>
      <w:pPr>
        <w:ind w:left="5040" w:hanging="360"/>
      </w:pPr>
      <w:rPr>
        <w:rFonts w:ascii="Symbol" w:hAnsi="Symbol" w:hint="default"/>
      </w:rPr>
    </w:lvl>
    <w:lvl w:ilvl="7" w:tplc="70748980" w:tentative="1">
      <w:start w:val="1"/>
      <w:numFmt w:val="bullet"/>
      <w:lvlText w:val="o"/>
      <w:lvlJc w:val="left"/>
      <w:pPr>
        <w:ind w:left="5760" w:hanging="360"/>
      </w:pPr>
      <w:rPr>
        <w:rFonts w:ascii="Courier New" w:hAnsi="Courier New" w:cs="Courier New" w:hint="default"/>
      </w:rPr>
    </w:lvl>
    <w:lvl w:ilvl="8" w:tplc="89BC5462" w:tentative="1">
      <w:start w:val="1"/>
      <w:numFmt w:val="bullet"/>
      <w:lvlText w:val=""/>
      <w:lvlJc w:val="left"/>
      <w:pPr>
        <w:ind w:left="6480" w:hanging="360"/>
      </w:pPr>
      <w:rPr>
        <w:rFonts w:ascii="Wingdings" w:hAnsi="Wingdings" w:hint="default"/>
      </w:rPr>
    </w:lvl>
  </w:abstractNum>
  <w:abstractNum w:abstractNumId="20" w15:restartNumberingAfterBreak="0">
    <w:nsid w:val="420860A3"/>
    <w:multiLevelType w:val="hybridMultilevel"/>
    <w:tmpl w:val="2DF6A548"/>
    <w:lvl w:ilvl="0" w:tplc="2E9C9758">
      <w:start w:val="1"/>
      <w:numFmt w:val="decimal"/>
      <w:pStyle w:val="Heading2-numbered"/>
      <w:lvlText w:val="%1."/>
      <w:lvlJc w:val="left"/>
      <w:pPr>
        <w:ind w:left="360" w:hanging="360"/>
      </w:pPr>
    </w:lvl>
    <w:lvl w:ilvl="1" w:tplc="B41E6798" w:tentative="1">
      <w:start w:val="1"/>
      <w:numFmt w:val="lowerLetter"/>
      <w:lvlText w:val="%2."/>
      <w:lvlJc w:val="left"/>
      <w:pPr>
        <w:ind w:left="1080" w:hanging="360"/>
      </w:pPr>
    </w:lvl>
    <w:lvl w:ilvl="2" w:tplc="95685CF0" w:tentative="1">
      <w:start w:val="1"/>
      <w:numFmt w:val="lowerRoman"/>
      <w:lvlText w:val="%3."/>
      <w:lvlJc w:val="right"/>
      <w:pPr>
        <w:ind w:left="1800" w:hanging="180"/>
      </w:pPr>
    </w:lvl>
    <w:lvl w:ilvl="3" w:tplc="DC44B504" w:tentative="1">
      <w:start w:val="1"/>
      <w:numFmt w:val="decimal"/>
      <w:lvlText w:val="%4."/>
      <w:lvlJc w:val="left"/>
      <w:pPr>
        <w:ind w:left="2520" w:hanging="360"/>
      </w:pPr>
    </w:lvl>
    <w:lvl w:ilvl="4" w:tplc="12A45962" w:tentative="1">
      <w:start w:val="1"/>
      <w:numFmt w:val="lowerLetter"/>
      <w:lvlText w:val="%5."/>
      <w:lvlJc w:val="left"/>
      <w:pPr>
        <w:ind w:left="3240" w:hanging="360"/>
      </w:pPr>
    </w:lvl>
    <w:lvl w:ilvl="5" w:tplc="828C9C72" w:tentative="1">
      <w:start w:val="1"/>
      <w:numFmt w:val="lowerRoman"/>
      <w:lvlText w:val="%6."/>
      <w:lvlJc w:val="right"/>
      <w:pPr>
        <w:ind w:left="3960" w:hanging="180"/>
      </w:pPr>
    </w:lvl>
    <w:lvl w:ilvl="6" w:tplc="43FA4254" w:tentative="1">
      <w:start w:val="1"/>
      <w:numFmt w:val="decimal"/>
      <w:lvlText w:val="%7."/>
      <w:lvlJc w:val="left"/>
      <w:pPr>
        <w:ind w:left="4680" w:hanging="360"/>
      </w:pPr>
    </w:lvl>
    <w:lvl w:ilvl="7" w:tplc="E4BE0DF2" w:tentative="1">
      <w:start w:val="1"/>
      <w:numFmt w:val="lowerLetter"/>
      <w:lvlText w:val="%8."/>
      <w:lvlJc w:val="left"/>
      <w:pPr>
        <w:ind w:left="5400" w:hanging="360"/>
      </w:pPr>
    </w:lvl>
    <w:lvl w:ilvl="8" w:tplc="4A308384" w:tentative="1">
      <w:start w:val="1"/>
      <w:numFmt w:val="lowerRoman"/>
      <w:lvlText w:val="%9."/>
      <w:lvlJc w:val="right"/>
      <w:pPr>
        <w:ind w:left="6120" w:hanging="180"/>
      </w:pPr>
    </w:lvl>
  </w:abstractNum>
  <w:abstractNum w:abstractNumId="21" w15:restartNumberingAfterBreak="0">
    <w:nsid w:val="445A7221"/>
    <w:multiLevelType w:val="singleLevel"/>
    <w:tmpl w:val="08090001"/>
    <w:lvl w:ilvl="0">
      <w:start w:val="1"/>
      <w:numFmt w:val="bullet"/>
      <w:lvlText w:val=""/>
      <w:lvlJc w:val="left"/>
      <w:pPr>
        <w:ind w:left="360" w:hanging="360"/>
      </w:pPr>
      <w:rPr>
        <w:rFonts w:ascii="Symbol" w:hAnsi="Symbol" w:hint="default"/>
      </w:rPr>
    </w:lvl>
  </w:abstractNum>
  <w:abstractNum w:abstractNumId="22" w15:restartNumberingAfterBreak="0">
    <w:nsid w:val="48814923"/>
    <w:multiLevelType w:val="multilevel"/>
    <w:tmpl w:val="FF32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7F1ADB"/>
    <w:multiLevelType w:val="hybridMultilevel"/>
    <w:tmpl w:val="0D8293F4"/>
    <w:lvl w:ilvl="0" w:tplc="D75C7F74">
      <w:start w:val="1"/>
      <w:numFmt w:val="bullet"/>
      <w:lvlText w:val=""/>
      <w:lvlJc w:val="left"/>
      <w:pPr>
        <w:ind w:left="1287" w:hanging="360"/>
      </w:pPr>
      <w:rPr>
        <w:rFonts w:ascii="Symbol" w:hAnsi="Symbol" w:hint="default"/>
      </w:rPr>
    </w:lvl>
    <w:lvl w:ilvl="1" w:tplc="E3B891F4" w:tentative="1">
      <w:start w:val="1"/>
      <w:numFmt w:val="bullet"/>
      <w:lvlText w:val="o"/>
      <w:lvlJc w:val="left"/>
      <w:pPr>
        <w:ind w:left="2007" w:hanging="360"/>
      </w:pPr>
      <w:rPr>
        <w:rFonts w:ascii="Courier New" w:hAnsi="Courier New" w:cs="Courier New" w:hint="default"/>
      </w:rPr>
    </w:lvl>
    <w:lvl w:ilvl="2" w:tplc="DE167A6E" w:tentative="1">
      <w:start w:val="1"/>
      <w:numFmt w:val="bullet"/>
      <w:lvlText w:val=""/>
      <w:lvlJc w:val="left"/>
      <w:pPr>
        <w:ind w:left="2727" w:hanging="360"/>
      </w:pPr>
      <w:rPr>
        <w:rFonts w:ascii="Wingdings" w:hAnsi="Wingdings" w:hint="default"/>
      </w:rPr>
    </w:lvl>
    <w:lvl w:ilvl="3" w:tplc="51BABA6A" w:tentative="1">
      <w:start w:val="1"/>
      <w:numFmt w:val="bullet"/>
      <w:lvlText w:val=""/>
      <w:lvlJc w:val="left"/>
      <w:pPr>
        <w:ind w:left="3447" w:hanging="360"/>
      </w:pPr>
      <w:rPr>
        <w:rFonts w:ascii="Symbol" w:hAnsi="Symbol" w:hint="default"/>
      </w:rPr>
    </w:lvl>
    <w:lvl w:ilvl="4" w:tplc="09B23124" w:tentative="1">
      <w:start w:val="1"/>
      <w:numFmt w:val="bullet"/>
      <w:lvlText w:val="o"/>
      <w:lvlJc w:val="left"/>
      <w:pPr>
        <w:ind w:left="4167" w:hanging="360"/>
      </w:pPr>
      <w:rPr>
        <w:rFonts w:ascii="Courier New" w:hAnsi="Courier New" w:cs="Courier New" w:hint="default"/>
      </w:rPr>
    </w:lvl>
    <w:lvl w:ilvl="5" w:tplc="B9B84786" w:tentative="1">
      <w:start w:val="1"/>
      <w:numFmt w:val="bullet"/>
      <w:lvlText w:val=""/>
      <w:lvlJc w:val="left"/>
      <w:pPr>
        <w:ind w:left="4887" w:hanging="360"/>
      </w:pPr>
      <w:rPr>
        <w:rFonts w:ascii="Wingdings" w:hAnsi="Wingdings" w:hint="default"/>
      </w:rPr>
    </w:lvl>
    <w:lvl w:ilvl="6" w:tplc="7540A7D2" w:tentative="1">
      <w:start w:val="1"/>
      <w:numFmt w:val="bullet"/>
      <w:lvlText w:val=""/>
      <w:lvlJc w:val="left"/>
      <w:pPr>
        <w:ind w:left="5607" w:hanging="360"/>
      </w:pPr>
      <w:rPr>
        <w:rFonts w:ascii="Symbol" w:hAnsi="Symbol" w:hint="default"/>
      </w:rPr>
    </w:lvl>
    <w:lvl w:ilvl="7" w:tplc="B47A4940" w:tentative="1">
      <w:start w:val="1"/>
      <w:numFmt w:val="bullet"/>
      <w:lvlText w:val="o"/>
      <w:lvlJc w:val="left"/>
      <w:pPr>
        <w:ind w:left="6327" w:hanging="360"/>
      </w:pPr>
      <w:rPr>
        <w:rFonts w:ascii="Courier New" w:hAnsi="Courier New" w:cs="Courier New" w:hint="default"/>
      </w:rPr>
    </w:lvl>
    <w:lvl w:ilvl="8" w:tplc="98F2065C" w:tentative="1">
      <w:start w:val="1"/>
      <w:numFmt w:val="bullet"/>
      <w:lvlText w:val=""/>
      <w:lvlJc w:val="left"/>
      <w:pPr>
        <w:ind w:left="7047" w:hanging="360"/>
      </w:pPr>
      <w:rPr>
        <w:rFonts w:ascii="Wingdings" w:hAnsi="Wingdings" w:hint="default"/>
      </w:rPr>
    </w:lvl>
  </w:abstractNum>
  <w:abstractNum w:abstractNumId="24" w15:restartNumberingAfterBreak="0">
    <w:nsid w:val="4BD27F03"/>
    <w:multiLevelType w:val="hybridMultilevel"/>
    <w:tmpl w:val="C5341712"/>
    <w:lvl w:ilvl="0" w:tplc="9A8EBCC2">
      <w:start w:val="6"/>
      <w:numFmt w:val="upperLetter"/>
      <w:lvlText w:val="%1."/>
      <w:lvlJc w:val="left"/>
      <w:pPr>
        <w:ind w:left="360" w:hanging="360"/>
      </w:pPr>
      <w:rPr>
        <w:rFonts w:hint="default"/>
        <w:b/>
      </w:rPr>
    </w:lvl>
    <w:lvl w:ilvl="1" w:tplc="E53CF32A">
      <w:start w:val="1"/>
      <w:numFmt w:val="lowerLetter"/>
      <w:lvlText w:val="%2."/>
      <w:lvlJc w:val="left"/>
      <w:pPr>
        <w:ind w:left="1440" w:hanging="360"/>
      </w:pPr>
    </w:lvl>
    <w:lvl w:ilvl="2" w:tplc="57303E06" w:tentative="1">
      <w:start w:val="1"/>
      <w:numFmt w:val="lowerRoman"/>
      <w:lvlText w:val="%3."/>
      <w:lvlJc w:val="right"/>
      <w:pPr>
        <w:ind w:left="2160" w:hanging="180"/>
      </w:pPr>
    </w:lvl>
    <w:lvl w:ilvl="3" w:tplc="E5AED01A" w:tentative="1">
      <w:start w:val="1"/>
      <w:numFmt w:val="decimal"/>
      <w:lvlText w:val="%4."/>
      <w:lvlJc w:val="left"/>
      <w:pPr>
        <w:ind w:left="2880" w:hanging="360"/>
      </w:pPr>
    </w:lvl>
    <w:lvl w:ilvl="4" w:tplc="F04E82BE" w:tentative="1">
      <w:start w:val="1"/>
      <w:numFmt w:val="lowerLetter"/>
      <w:lvlText w:val="%5."/>
      <w:lvlJc w:val="left"/>
      <w:pPr>
        <w:ind w:left="3600" w:hanging="360"/>
      </w:pPr>
    </w:lvl>
    <w:lvl w:ilvl="5" w:tplc="1E307964" w:tentative="1">
      <w:start w:val="1"/>
      <w:numFmt w:val="lowerRoman"/>
      <w:lvlText w:val="%6."/>
      <w:lvlJc w:val="right"/>
      <w:pPr>
        <w:ind w:left="4320" w:hanging="180"/>
      </w:pPr>
    </w:lvl>
    <w:lvl w:ilvl="6" w:tplc="80E417AE" w:tentative="1">
      <w:start w:val="1"/>
      <w:numFmt w:val="decimal"/>
      <w:lvlText w:val="%7."/>
      <w:lvlJc w:val="left"/>
      <w:pPr>
        <w:ind w:left="5040" w:hanging="360"/>
      </w:pPr>
    </w:lvl>
    <w:lvl w:ilvl="7" w:tplc="B82ABA7A" w:tentative="1">
      <w:start w:val="1"/>
      <w:numFmt w:val="lowerLetter"/>
      <w:lvlText w:val="%8."/>
      <w:lvlJc w:val="left"/>
      <w:pPr>
        <w:ind w:left="5760" w:hanging="360"/>
      </w:pPr>
    </w:lvl>
    <w:lvl w:ilvl="8" w:tplc="90D60B04" w:tentative="1">
      <w:start w:val="1"/>
      <w:numFmt w:val="lowerRoman"/>
      <w:lvlText w:val="%9."/>
      <w:lvlJc w:val="right"/>
      <w:pPr>
        <w:ind w:left="6480" w:hanging="180"/>
      </w:pPr>
    </w:lvl>
  </w:abstractNum>
  <w:abstractNum w:abstractNumId="25" w15:restartNumberingAfterBreak="0">
    <w:nsid w:val="4E3D47DA"/>
    <w:multiLevelType w:val="singleLevel"/>
    <w:tmpl w:val="08090001"/>
    <w:lvl w:ilvl="0">
      <w:start w:val="1"/>
      <w:numFmt w:val="bullet"/>
      <w:lvlText w:val=""/>
      <w:lvlJc w:val="left"/>
      <w:pPr>
        <w:tabs>
          <w:tab w:val="num" w:pos="1353"/>
        </w:tabs>
        <w:ind w:left="1353" w:hanging="360"/>
      </w:pPr>
      <w:rPr>
        <w:rFonts w:ascii="Symbol" w:hAnsi="Symbol" w:hint="default"/>
      </w:rPr>
    </w:lvl>
  </w:abstractNum>
  <w:abstractNum w:abstractNumId="26" w15:restartNumberingAfterBreak="0">
    <w:nsid w:val="4F8A1DCE"/>
    <w:multiLevelType w:val="hybridMultilevel"/>
    <w:tmpl w:val="61846D7C"/>
    <w:lvl w:ilvl="0" w:tplc="CAA8037C">
      <w:start w:val="1"/>
      <w:numFmt w:val="bullet"/>
      <w:lvlText w:val=""/>
      <w:lvlJc w:val="left"/>
      <w:pPr>
        <w:ind w:left="720" w:hanging="360"/>
      </w:pPr>
      <w:rPr>
        <w:rFonts w:ascii="Symbol" w:hAnsi="Symbol" w:hint="default"/>
      </w:rPr>
    </w:lvl>
    <w:lvl w:ilvl="1" w:tplc="044EA176" w:tentative="1">
      <w:start w:val="1"/>
      <w:numFmt w:val="bullet"/>
      <w:lvlText w:val="o"/>
      <w:lvlJc w:val="left"/>
      <w:pPr>
        <w:ind w:left="1440" w:hanging="360"/>
      </w:pPr>
      <w:rPr>
        <w:rFonts w:ascii="Courier New" w:hAnsi="Courier New" w:cs="Courier New" w:hint="default"/>
      </w:rPr>
    </w:lvl>
    <w:lvl w:ilvl="2" w:tplc="A24CD23A" w:tentative="1">
      <w:start w:val="1"/>
      <w:numFmt w:val="bullet"/>
      <w:lvlText w:val=""/>
      <w:lvlJc w:val="left"/>
      <w:pPr>
        <w:ind w:left="2160" w:hanging="360"/>
      </w:pPr>
      <w:rPr>
        <w:rFonts w:ascii="Wingdings" w:hAnsi="Wingdings" w:hint="default"/>
      </w:rPr>
    </w:lvl>
    <w:lvl w:ilvl="3" w:tplc="B476A47E" w:tentative="1">
      <w:start w:val="1"/>
      <w:numFmt w:val="bullet"/>
      <w:lvlText w:val=""/>
      <w:lvlJc w:val="left"/>
      <w:pPr>
        <w:ind w:left="2880" w:hanging="360"/>
      </w:pPr>
      <w:rPr>
        <w:rFonts w:ascii="Symbol" w:hAnsi="Symbol" w:hint="default"/>
      </w:rPr>
    </w:lvl>
    <w:lvl w:ilvl="4" w:tplc="F4F4CF24" w:tentative="1">
      <w:start w:val="1"/>
      <w:numFmt w:val="bullet"/>
      <w:lvlText w:val="o"/>
      <w:lvlJc w:val="left"/>
      <w:pPr>
        <w:ind w:left="3600" w:hanging="360"/>
      </w:pPr>
      <w:rPr>
        <w:rFonts w:ascii="Courier New" w:hAnsi="Courier New" w:cs="Courier New" w:hint="default"/>
      </w:rPr>
    </w:lvl>
    <w:lvl w:ilvl="5" w:tplc="12C68CFC" w:tentative="1">
      <w:start w:val="1"/>
      <w:numFmt w:val="bullet"/>
      <w:lvlText w:val=""/>
      <w:lvlJc w:val="left"/>
      <w:pPr>
        <w:ind w:left="4320" w:hanging="360"/>
      </w:pPr>
      <w:rPr>
        <w:rFonts w:ascii="Wingdings" w:hAnsi="Wingdings" w:hint="default"/>
      </w:rPr>
    </w:lvl>
    <w:lvl w:ilvl="6" w:tplc="062E8DB0" w:tentative="1">
      <w:start w:val="1"/>
      <w:numFmt w:val="bullet"/>
      <w:lvlText w:val=""/>
      <w:lvlJc w:val="left"/>
      <w:pPr>
        <w:ind w:left="5040" w:hanging="360"/>
      </w:pPr>
      <w:rPr>
        <w:rFonts w:ascii="Symbol" w:hAnsi="Symbol" w:hint="default"/>
      </w:rPr>
    </w:lvl>
    <w:lvl w:ilvl="7" w:tplc="166CB09C" w:tentative="1">
      <w:start w:val="1"/>
      <w:numFmt w:val="bullet"/>
      <w:lvlText w:val="o"/>
      <w:lvlJc w:val="left"/>
      <w:pPr>
        <w:ind w:left="5760" w:hanging="360"/>
      </w:pPr>
      <w:rPr>
        <w:rFonts w:ascii="Courier New" w:hAnsi="Courier New" w:cs="Courier New" w:hint="default"/>
      </w:rPr>
    </w:lvl>
    <w:lvl w:ilvl="8" w:tplc="D6F2BD78" w:tentative="1">
      <w:start w:val="1"/>
      <w:numFmt w:val="bullet"/>
      <w:lvlText w:val=""/>
      <w:lvlJc w:val="left"/>
      <w:pPr>
        <w:ind w:left="6480" w:hanging="360"/>
      </w:pPr>
      <w:rPr>
        <w:rFonts w:ascii="Wingdings" w:hAnsi="Wingdings" w:hint="default"/>
      </w:rPr>
    </w:lvl>
  </w:abstractNum>
  <w:abstractNum w:abstractNumId="27" w15:restartNumberingAfterBreak="0">
    <w:nsid w:val="56332D6D"/>
    <w:multiLevelType w:val="multilevel"/>
    <w:tmpl w:val="C7720096"/>
    <w:lvl w:ilvl="0">
      <w:start w:val="3"/>
      <w:numFmt w:val="decimal"/>
      <w:lvlText w:val="%1"/>
      <w:lvlJc w:val="left"/>
      <w:pPr>
        <w:ind w:left="450" w:hanging="450"/>
      </w:pPr>
      <w:rPr>
        <w:rFonts w:hint="default"/>
      </w:rPr>
    </w:lvl>
    <w:lvl w:ilvl="1">
      <w:start w:val="1"/>
      <w:numFmt w:val="decimal"/>
      <w:lvlText w:val="%1.%2"/>
      <w:lvlJc w:val="left"/>
      <w:pPr>
        <w:ind w:left="1647" w:hanging="720"/>
      </w:pPr>
      <w:rPr>
        <w:rFonts w:hint="default"/>
        <w:b w:val="0"/>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5148" w:hanging="1440"/>
      </w:pPr>
      <w:rPr>
        <w:rFonts w:hint="default"/>
      </w:rPr>
    </w:lvl>
    <w:lvl w:ilvl="5">
      <w:start w:val="1"/>
      <w:numFmt w:val="decimal"/>
      <w:lvlText w:val="%1.%2.%3.%4.%5.%6"/>
      <w:lvlJc w:val="left"/>
      <w:pPr>
        <w:ind w:left="6435" w:hanging="180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649" w:hanging="2160"/>
      </w:pPr>
      <w:rPr>
        <w:rFonts w:hint="default"/>
      </w:rPr>
    </w:lvl>
    <w:lvl w:ilvl="8">
      <w:start w:val="1"/>
      <w:numFmt w:val="decimal"/>
      <w:lvlText w:val="%1.%2.%3.%4.%5.%6.%7.%8.%9"/>
      <w:lvlJc w:val="left"/>
      <w:pPr>
        <w:ind w:left="9936" w:hanging="2520"/>
      </w:pPr>
      <w:rPr>
        <w:rFonts w:hint="default"/>
      </w:rPr>
    </w:lvl>
  </w:abstractNum>
  <w:abstractNum w:abstractNumId="28" w15:restartNumberingAfterBreak="0">
    <w:nsid w:val="574B271D"/>
    <w:multiLevelType w:val="hybridMultilevel"/>
    <w:tmpl w:val="8C0E8BE0"/>
    <w:lvl w:ilvl="0" w:tplc="B870446A">
      <w:start w:val="1"/>
      <w:numFmt w:val="bullet"/>
      <w:lvlText w:val=""/>
      <w:lvlJc w:val="left"/>
      <w:pPr>
        <w:ind w:left="1287" w:hanging="360"/>
      </w:pPr>
      <w:rPr>
        <w:rFonts w:ascii="Symbol" w:hAnsi="Symbol" w:hint="default"/>
      </w:rPr>
    </w:lvl>
    <w:lvl w:ilvl="1" w:tplc="F2068166" w:tentative="1">
      <w:start w:val="1"/>
      <w:numFmt w:val="bullet"/>
      <w:lvlText w:val="o"/>
      <w:lvlJc w:val="left"/>
      <w:pPr>
        <w:ind w:left="2007" w:hanging="360"/>
      </w:pPr>
      <w:rPr>
        <w:rFonts w:ascii="Courier New" w:hAnsi="Courier New" w:cs="Courier New" w:hint="default"/>
      </w:rPr>
    </w:lvl>
    <w:lvl w:ilvl="2" w:tplc="90104AAC" w:tentative="1">
      <w:start w:val="1"/>
      <w:numFmt w:val="bullet"/>
      <w:lvlText w:val=""/>
      <w:lvlJc w:val="left"/>
      <w:pPr>
        <w:ind w:left="2727" w:hanging="360"/>
      </w:pPr>
      <w:rPr>
        <w:rFonts w:ascii="Wingdings" w:hAnsi="Wingdings" w:hint="default"/>
      </w:rPr>
    </w:lvl>
    <w:lvl w:ilvl="3" w:tplc="3C0C0AEE" w:tentative="1">
      <w:start w:val="1"/>
      <w:numFmt w:val="bullet"/>
      <w:lvlText w:val=""/>
      <w:lvlJc w:val="left"/>
      <w:pPr>
        <w:ind w:left="3447" w:hanging="360"/>
      </w:pPr>
      <w:rPr>
        <w:rFonts w:ascii="Symbol" w:hAnsi="Symbol" w:hint="default"/>
      </w:rPr>
    </w:lvl>
    <w:lvl w:ilvl="4" w:tplc="8FA64226" w:tentative="1">
      <w:start w:val="1"/>
      <w:numFmt w:val="bullet"/>
      <w:lvlText w:val="o"/>
      <w:lvlJc w:val="left"/>
      <w:pPr>
        <w:ind w:left="4167" w:hanging="360"/>
      </w:pPr>
      <w:rPr>
        <w:rFonts w:ascii="Courier New" w:hAnsi="Courier New" w:cs="Courier New" w:hint="default"/>
      </w:rPr>
    </w:lvl>
    <w:lvl w:ilvl="5" w:tplc="32040F2C" w:tentative="1">
      <w:start w:val="1"/>
      <w:numFmt w:val="bullet"/>
      <w:lvlText w:val=""/>
      <w:lvlJc w:val="left"/>
      <w:pPr>
        <w:ind w:left="4887" w:hanging="360"/>
      </w:pPr>
      <w:rPr>
        <w:rFonts w:ascii="Wingdings" w:hAnsi="Wingdings" w:hint="default"/>
      </w:rPr>
    </w:lvl>
    <w:lvl w:ilvl="6" w:tplc="55D89776" w:tentative="1">
      <w:start w:val="1"/>
      <w:numFmt w:val="bullet"/>
      <w:lvlText w:val=""/>
      <w:lvlJc w:val="left"/>
      <w:pPr>
        <w:ind w:left="5607" w:hanging="360"/>
      </w:pPr>
      <w:rPr>
        <w:rFonts w:ascii="Symbol" w:hAnsi="Symbol" w:hint="default"/>
      </w:rPr>
    </w:lvl>
    <w:lvl w:ilvl="7" w:tplc="16BA209A" w:tentative="1">
      <w:start w:val="1"/>
      <w:numFmt w:val="bullet"/>
      <w:lvlText w:val="o"/>
      <w:lvlJc w:val="left"/>
      <w:pPr>
        <w:ind w:left="6327" w:hanging="360"/>
      </w:pPr>
      <w:rPr>
        <w:rFonts w:ascii="Courier New" w:hAnsi="Courier New" w:cs="Courier New" w:hint="default"/>
      </w:rPr>
    </w:lvl>
    <w:lvl w:ilvl="8" w:tplc="F516F3A6" w:tentative="1">
      <w:start w:val="1"/>
      <w:numFmt w:val="bullet"/>
      <w:lvlText w:val=""/>
      <w:lvlJc w:val="left"/>
      <w:pPr>
        <w:ind w:left="7047" w:hanging="360"/>
      </w:pPr>
      <w:rPr>
        <w:rFonts w:ascii="Wingdings" w:hAnsi="Wingdings" w:hint="default"/>
      </w:rPr>
    </w:lvl>
  </w:abstractNum>
  <w:abstractNum w:abstractNumId="29" w15:restartNumberingAfterBreak="0">
    <w:nsid w:val="5AB3591D"/>
    <w:multiLevelType w:val="multilevel"/>
    <w:tmpl w:val="8B9E93FA"/>
    <w:name w:val="AppHeadingNumberRep"/>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upperLetter"/>
      <w:pStyle w:val="AppendixHeading1"/>
      <w:suff w:val="nothing"/>
      <w:lvlText w:val="Appendix: %5."/>
      <w:lvlJc w:val="left"/>
      <w:pPr>
        <w:tabs>
          <w:tab w:val="num" w:pos="0"/>
        </w:tabs>
        <w:ind w:left="0" w:firstLine="0"/>
      </w:pPr>
      <w:rPr>
        <w:b w:val="0"/>
        <w:i w:val="0"/>
        <w:caps w:val="0"/>
        <w:smallCaps w:val="0"/>
        <w:vanish/>
        <w:u w:val="none"/>
      </w:rPr>
    </w:lvl>
    <w:lvl w:ilvl="5">
      <w:start w:val="1"/>
      <w:numFmt w:val="decimal"/>
      <w:pStyle w:val="AppendixHeading2"/>
      <w:lvlText w:val="%5.%6."/>
      <w:lvlJc w:val="left"/>
      <w:pPr>
        <w:tabs>
          <w:tab w:val="num" w:pos="840"/>
        </w:tabs>
        <w:ind w:left="840" w:hanging="840"/>
      </w:pPr>
    </w:lvl>
    <w:lvl w:ilvl="6">
      <w:start w:val="1"/>
      <w:numFmt w:val="decimal"/>
      <w:pStyle w:val="AppendixHeading3"/>
      <w:lvlText w:val="%5.%6.%7."/>
      <w:lvlJc w:val="left"/>
      <w:pPr>
        <w:tabs>
          <w:tab w:val="num" w:pos="1080"/>
        </w:tabs>
        <w:ind w:left="1080" w:hanging="1080"/>
      </w:pPr>
    </w:lvl>
    <w:lvl w:ilvl="7">
      <w:start w:val="1"/>
      <w:numFmt w:val="decimal"/>
      <w:lvlText w:val="%5.%6.%7.%8."/>
      <w:lvlJc w:val="left"/>
      <w:pPr>
        <w:tabs>
          <w:tab w:val="num" w:pos="1080"/>
        </w:tabs>
        <w:ind w:left="1080" w:hanging="1080"/>
      </w:pPr>
    </w:lvl>
    <w:lvl w:ilvl="8">
      <w:start w:val="1"/>
      <w:numFmt w:val="decimal"/>
      <w:lvlText w:val="%5.%6.%7.%8.%9"/>
      <w:lvlJc w:val="left"/>
      <w:pPr>
        <w:tabs>
          <w:tab w:val="num" w:pos="1080"/>
        </w:tabs>
        <w:ind w:left="1080" w:hanging="1080"/>
      </w:pPr>
    </w:lvl>
  </w:abstractNum>
  <w:abstractNum w:abstractNumId="30" w15:restartNumberingAfterBreak="0">
    <w:nsid w:val="5EE36836"/>
    <w:multiLevelType w:val="hybridMultilevel"/>
    <w:tmpl w:val="7A32330C"/>
    <w:lvl w:ilvl="0" w:tplc="5F049732">
      <w:start w:val="4"/>
      <w:numFmt w:val="upperLetter"/>
      <w:lvlText w:val="%1."/>
      <w:lvlJc w:val="left"/>
      <w:pPr>
        <w:ind w:left="360" w:hanging="360"/>
      </w:pPr>
      <w:rPr>
        <w:rFonts w:hint="default"/>
        <w:b/>
      </w:rPr>
    </w:lvl>
    <w:lvl w:ilvl="1" w:tplc="047C89A2" w:tentative="1">
      <w:start w:val="1"/>
      <w:numFmt w:val="lowerLetter"/>
      <w:lvlText w:val="%2."/>
      <w:lvlJc w:val="left"/>
      <w:pPr>
        <w:ind w:left="1440" w:hanging="360"/>
      </w:pPr>
    </w:lvl>
    <w:lvl w:ilvl="2" w:tplc="836E8C3A" w:tentative="1">
      <w:start w:val="1"/>
      <w:numFmt w:val="lowerRoman"/>
      <w:lvlText w:val="%3."/>
      <w:lvlJc w:val="right"/>
      <w:pPr>
        <w:ind w:left="2160" w:hanging="180"/>
      </w:pPr>
    </w:lvl>
    <w:lvl w:ilvl="3" w:tplc="197AE32C" w:tentative="1">
      <w:start w:val="1"/>
      <w:numFmt w:val="decimal"/>
      <w:lvlText w:val="%4."/>
      <w:lvlJc w:val="left"/>
      <w:pPr>
        <w:ind w:left="2880" w:hanging="360"/>
      </w:pPr>
    </w:lvl>
    <w:lvl w:ilvl="4" w:tplc="9B465FA6" w:tentative="1">
      <w:start w:val="1"/>
      <w:numFmt w:val="lowerLetter"/>
      <w:lvlText w:val="%5."/>
      <w:lvlJc w:val="left"/>
      <w:pPr>
        <w:ind w:left="3600" w:hanging="360"/>
      </w:pPr>
    </w:lvl>
    <w:lvl w:ilvl="5" w:tplc="BCF24686" w:tentative="1">
      <w:start w:val="1"/>
      <w:numFmt w:val="lowerRoman"/>
      <w:lvlText w:val="%6."/>
      <w:lvlJc w:val="right"/>
      <w:pPr>
        <w:ind w:left="4320" w:hanging="180"/>
      </w:pPr>
    </w:lvl>
    <w:lvl w:ilvl="6" w:tplc="F5B6D13C" w:tentative="1">
      <w:start w:val="1"/>
      <w:numFmt w:val="decimal"/>
      <w:lvlText w:val="%7."/>
      <w:lvlJc w:val="left"/>
      <w:pPr>
        <w:ind w:left="5040" w:hanging="360"/>
      </w:pPr>
    </w:lvl>
    <w:lvl w:ilvl="7" w:tplc="723E31F0" w:tentative="1">
      <w:start w:val="1"/>
      <w:numFmt w:val="lowerLetter"/>
      <w:lvlText w:val="%8."/>
      <w:lvlJc w:val="left"/>
      <w:pPr>
        <w:ind w:left="5760" w:hanging="360"/>
      </w:pPr>
    </w:lvl>
    <w:lvl w:ilvl="8" w:tplc="42D092FC" w:tentative="1">
      <w:start w:val="1"/>
      <w:numFmt w:val="lowerRoman"/>
      <w:lvlText w:val="%9."/>
      <w:lvlJc w:val="right"/>
      <w:pPr>
        <w:ind w:left="6480" w:hanging="180"/>
      </w:pPr>
    </w:lvl>
  </w:abstractNum>
  <w:abstractNum w:abstractNumId="31" w15:restartNumberingAfterBreak="0">
    <w:nsid w:val="63F759CD"/>
    <w:multiLevelType w:val="hybridMultilevel"/>
    <w:tmpl w:val="6FF22088"/>
    <w:lvl w:ilvl="0" w:tplc="739204C2">
      <w:start w:val="1"/>
      <w:numFmt w:val="decimal"/>
      <w:pStyle w:val="Heading4"/>
      <w:lvlText w:val="%1."/>
      <w:lvlJc w:val="left"/>
      <w:pPr>
        <w:ind w:left="360" w:hanging="360"/>
      </w:pPr>
    </w:lvl>
    <w:lvl w:ilvl="1" w:tplc="056E968E" w:tentative="1">
      <w:start w:val="1"/>
      <w:numFmt w:val="lowerLetter"/>
      <w:lvlText w:val="%2."/>
      <w:lvlJc w:val="left"/>
      <w:pPr>
        <w:ind w:left="1080" w:hanging="360"/>
      </w:pPr>
    </w:lvl>
    <w:lvl w:ilvl="2" w:tplc="5CF6BB64" w:tentative="1">
      <w:start w:val="1"/>
      <w:numFmt w:val="lowerRoman"/>
      <w:lvlText w:val="%3."/>
      <w:lvlJc w:val="right"/>
      <w:pPr>
        <w:ind w:left="1800" w:hanging="180"/>
      </w:pPr>
    </w:lvl>
    <w:lvl w:ilvl="3" w:tplc="753CE26C" w:tentative="1">
      <w:start w:val="1"/>
      <w:numFmt w:val="decimal"/>
      <w:lvlText w:val="%4."/>
      <w:lvlJc w:val="left"/>
      <w:pPr>
        <w:ind w:left="2520" w:hanging="360"/>
      </w:pPr>
    </w:lvl>
    <w:lvl w:ilvl="4" w:tplc="02ACCC58" w:tentative="1">
      <w:start w:val="1"/>
      <w:numFmt w:val="lowerLetter"/>
      <w:lvlText w:val="%5."/>
      <w:lvlJc w:val="left"/>
      <w:pPr>
        <w:ind w:left="3240" w:hanging="360"/>
      </w:pPr>
    </w:lvl>
    <w:lvl w:ilvl="5" w:tplc="D1FA06BA" w:tentative="1">
      <w:start w:val="1"/>
      <w:numFmt w:val="lowerRoman"/>
      <w:lvlText w:val="%6."/>
      <w:lvlJc w:val="right"/>
      <w:pPr>
        <w:ind w:left="3960" w:hanging="180"/>
      </w:pPr>
    </w:lvl>
    <w:lvl w:ilvl="6" w:tplc="85408410" w:tentative="1">
      <w:start w:val="1"/>
      <w:numFmt w:val="decimal"/>
      <w:lvlText w:val="%7."/>
      <w:lvlJc w:val="left"/>
      <w:pPr>
        <w:ind w:left="4680" w:hanging="360"/>
      </w:pPr>
    </w:lvl>
    <w:lvl w:ilvl="7" w:tplc="BBA6408C" w:tentative="1">
      <w:start w:val="1"/>
      <w:numFmt w:val="lowerLetter"/>
      <w:lvlText w:val="%8."/>
      <w:lvlJc w:val="left"/>
      <w:pPr>
        <w:ind w:left="5400" w:hanging="360"/>
      </w:pPr>
    </w:lvl>
    <w:lvl w:ilvl="8" w:tplc="C9FEBAA4" w:tentative="1">
      <w:start w:val="1"/>
      <w:numFmt w:val="lowerRoman"/>
      <w:lvlText w:val="%9."/>
      <w:lvlJc w:val="right"/>
      <w:pPr>
        <w:ind w:left="6120" w:hanging="180"/>
      </w:pPr>
    </w:lvl>
  </w:abstractNum>
  <w:abstractNum w:abstractNumId="32" w15:restartNumberingAfterBreak="0">
    <w:nsid w:val="671F55F2"/>
    <w:multiLevelType w:val="hybridMultilevel"/>
    <w:tmpl w:val="F8E295FE"/>
    <w:lvl w:ilvl="0" w:tplc="DD5829F0">
      <w:start w:val="1"/>
      <w:numFmt w:val="bullet"/>
      <w:lvlText w:val=""/>
      <w:lvlJc w:val="left"/>
      <w:pPr>
        <w:ind w:left="720" w:hanging="360"/>
      </w:pPr>
      <w:rPr>
        <w:rFonts w:ascii="Symbol" w:hAnsi="Symbol" w:hint="default"/>
      </w:rPr>
    </w:lvl>
    <w:lvl w:ilvl="1" w:tplc="4A90D246" w:tentative="1">
      <w:start w:val="1"/>
      <w:numFmt w:val="bullet"/>
      <w:lvlText w:val="o"/>
      <w:lvlJc w:val="left"/>
      <w:pPr>
        <w:ind w:left="1440" w:hanging="360"/>
      </w:pPr>
      <w:rPr>
        <w:rFonts w:ascii="Courier New" w:hAnsi="Courier New" w:cs="Courier New" w:hint="default"/>
      </w:rPr>
    </w:lvl>
    <w:lvl w:ilvl="2" w:tplc="6A3A98AE" w:tentative="1">
      <w:start w:val="1"/>
      <w:numFmt w:val="bullet"/>
      <w:lvlText w:val=""/>
      <w:lvlJc w:val="left"/>
      <w:pPr>
        <w:ind w:left="2160" w:hanging="360"/>
      </w:pPr>
      <w:rPr>
        <w:rFonts w:ascii="Wingdings" w:hAnsi="Wingdings" w:hint="default"/>
      </w:rPr>
    </w:lvl>
    <w:lvl w:ilvl="3" w:tplc="F6025A6E" w:tentative="1">
      <w:start w:val="1"/>
      <w:numFmt w:val="bullet"/>
      <w:lvlText w:val=""/>
      <w:lvlJc w:val="left"/>
      <w:pPr>
        <w:ind w:left="2880" w:hanging="360"/>
      </w:pPr>
      <w:rPr>
        <w:rFonts w:ascii="Symbol" w:hAnsi="Symbol" w:hint="default"/>
      </w:rPr>
    </w:lvl>
    <w:lvl w:ilvl="4" w:tplc="BEFC788C" w:tentative="1">
      <w:start w:val="1"/>
      <w:numFmt w:val="bullet"/>
      <w:lvlText w:val="o"/>
      <w:lvlJc w:val="left"/>
      <w:pPr>
        <w:ind w:left="3600" w:hanging="360"/>
      </w:pPr>
      <w:rPr>
        <w:rFonts w:ascii="Courier New" w:hAnsi="Courier New" w:cs="Courier New" w:hint="default"/>
      </w:rPr>
    </w:lvl>
    <w:lvl w:ilvl="5" w:tplc="033EA312" w:tentative="1">
      <w:start w:val="1"/>
      <w:numFmt w:val="bullet"/>
      <w:lvlText w:val=""/>
      <w:lvlJc w:val="left"/>
      <w:pPr>
        <w:ind w:left="4320" w:hanging="360"/>
      </w:pPr>
      <w:rPr>
        <w:rFonts w:ascii="Wingdings" w:hAnsi="Wingdings" w:hint="default"/>
      </w:rPr>
    </w:lvl>
    <w:lvl w:ilvl="6" w:tplc="7A2ED5C0" w:tentative="1">
      <w:start w:val="1"/>
      <w:numFmt w:val="bullet"/>
      <w:lvlText w:val=""/>
      <w:lvlJc w:val="left"/>
      <w:pPr>
        <w:ind w:left="5040" w:hanging="360"/>
      </w:pPr>
      <w:rPr>
        <w:rFonts w:ascii="Symbol" w:hAnsi="Symbol" w:hint="default"/>
      </w:rPr>
    </w:lvl>
    <w:lvl w:ilvl="7" w:tplc="BBC4CA00" w:tentative="1">
      <w:start w:val="1"/>
      <w:numFmt w:val="bullet"/>
      <w:lvlText w:val="o"/>
      <w:lvlJc w:val="left"/>
      <w:pPr>
        <w:ind w:left="5760" w:hanging="360"/>
      </w:pPr>
      <w:rPr>
        <w:rFonts w:ascii="Courier New" w:hAnsi="Courier New" w:cs="Courier New" w:hint="default"/>
      </w:rPr>
    </w:lvl>
    <w:lvl w:ilvl="8" w:tplc="0F466608" w:tentative="1">
      <w:start w:val="1"/>
      <w:numFmt w:val="bullet"/>
      <w:lvlText w:val=""/>
      <w:lvlJc w:val="left"/>
      <w:pPr>
        <w:ind w:left="6480" w:hanging="360"/>
      </w:pPr>
      <w:rPr>
        <w:rFonts w:ascii="Wingdings" w:hAnsi="Wingdings" w:hint="default"/>
      </w:rPr>
    </w:lvl>
  </w:abstractNum>
  <w:abstractNum w:abstractNumId="33" w15:restartNumberingAfterBreak="0">
    <w:nsid w:val="67A61E24"/>
    <w:multiLevelType w:val="hybridMultilevel"/>
    <w:tmpl w:val="2AF458CA"/>
    <w:lvl w:ilvl="0" w:tplc="EE42208C">
      <w:start w:val="4"/>
      <w:numFmt w:val="decimal"/>
      <w:lvlText w:val="%1."/>
      <w:lvlJc w:val="left"/>
      <w:pPr>
        <w:ind w:left="720" w:hanging="360"/>
      </w:pPr>
      <w:rPr>
        <w:rFonts w:hint="default"/>
      </w:rPr>
    </w:lvl>
    <w:lvl w:ilvl="1" w:tplc="E39C9ACA" w:tentative="1">
      <w:start w:val="1"/>
      <w:numFmt w:val="lowerLetter"/>
      <w:lvlText w:val="%2."/>
      <w:lvlJc w:val="left"/>
      <w:pPr>
        <w:ind w:left="1440" w:hanging="360"/>
      </w:pPr>
    </w:lvl>
    <w:lvl w:ilvl="2" w:tplc="A63CCE48" w:tentative="1">
      <w:start w:val="1"/>
      <w:numFmt w:val="lowerRoman"/>
      <w:lvlText w:val="%3."/>
      <w:lvlJc w:val="right"/>
      <w:pPr>
        <w:ind w:left="2160" w:hanging="180"/>
      </w:pPr>
    </w:lvl>
    <w:lvl w:ilvl="3" w:tplc="3744AE78" w:tentative="1">
      <w:start w:val="1"/>
      <w:numFmt w:val="decimal"/>
      <w:lvlText w:val="%4."/>
      <w:lvlJc w:val="left"/>
      <w:pPr>
        <w:ind w:left="2880" w:hanging="360"/>
      </w:pPr>
    </w:lvl>
    <w:lvl w:ilvl="4" w:tplc="B0E84284" w:tentative="1">
      <w:start w:val="1"/>
      <w:numFmt w:val="lowerLetter"/>
      <w:lvlText w:val="%5."/>
      <w:lvlJc w:val="left"/>
      <w:pPr>
        <w:ind w:left="3600" w:hanging="360"/>
      </w:pPr>
    </w:lvl>
    <w:lvl w:ilvl="5" w:tplc="3796C6DC" w:tentative="1">
      <w:start w:val="1"/>
      <w:numFmt w:val="lowerRoman"/>
      <w:lvlText w:val="%6."/>
      <w:lvlJc w:val="right"/>
      <w:pPr>
        <w:ind w:left="4320" w:hanging="180"/>
      </w:pPr>
    </w:lvl>
    <w:lvl w:ilvl="6" w:tplc="8BAE2864" w:tentative="1">
      <w:start w:val="1"/>
      <w:numFmt w:val="decimal"/>
      <w:lvlText w:val="%7."/>
      <w:lvlJc w:val="left"/>
      <w:pPr>
        <w:ind w:left="5040" w:hanging="360"/>
      </w:pPr>
    </w:lvl>
    <w:lvl w:ilvl="7" w:tplc="E2D0CB5E" w:tentative="1">
      <w:start w:val="1"/>
      <w:numFmt w:val="lowerLetter"/>
      <w:lvlText w:val="%8."/>
      <w:lvlJc w:val="left"/>
      <w:pPr>
        <w:ind w:left="5760" w:hanging="360"/>
      </w:pPr>
    </w:lvl>
    <w:lvl w:ilvl="8" w:tplc="504CE968" w:tentative="1">
      <w:start w:val="1"/>
      <w:numFmt w:val="lowerRoman"/>
      <w:lvlText w:val="%9."/>
      <w:lvlJc w:val="right"/>
      <w:pPr>
        <w:ind w:left="6480" w:hanging="180"/>
      </w:pPr>
    </w:lvl>
  </w:abstractNum>
  <w:abstractNum w:abstractNumId="34" w15:restartNumberingAfterBreak="0">
    <w:nsid w:val="68F539CE"/>
    <w:multiLevelType w:val="multilevel"/>
    <w:tmpl w:val="E77AC590"/>
    <w:name w:val="NumHeading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decimal"/>
      <w:pStyle w:val="ListNumber"/>
      <w:lvlText w:val="%6."/>
      <w:lvlJc w:val="left"/>
      <w:pPr>
        <w:tabs>
          <w:tab w:val="num" w:pos="360"/>
        </w:tabs>
        <w:ind w:left="360" w:hanging="360"/>
      </w:pPr>
    </w:lvl>
    <w:lvl w:ilvl="6">
      <w:start w:val="1"/>
      <w:numFmt w:val="upperLetter"/>
      <w:pStyle w:val="ListNumber2"/>
      <w:lvlText w:val="%7."/>
      <w:lvlJc w:val="left"/>
      <w:pPr>
        <w:tabs>
          <w:tab w:val="num" w:pos="720"/>
        </w:tabs>
        <w:ind w:left="720" w:hanging="360"/>
      </w:pPr>
    </w:lvl>
    <w:lvl w:ilvl="7">
      <w:start w:val="1"/>
      <w:numFmt w:val="lowerRoman"/>
      <w:pStyle w:val="ListNumber3"/>
      <w:lvlText w:val="%8."/>
      <w:lvlJc w:val="left"/>
      <w:pPr>
        <w:tabs>
          <w:tab w:val="num" w:pos="1080"/>
        </w:tabs>
        <w:ind w:left="1080" w:hanging="360"/>
      </w:pPr>
    </w:lvl>
    <w:lvl w:ilvl="8">
      <w:start w:val="1"/>
      <w:numFmt w:val="lowerLetter"/>
      <w:pStyle w:val="ListNumber4"/>
      <w:lvlText w:val="%9."/>
      <w:lvlJc w:val="left"/>
      <w:pPr>
        <w:tabs>
          <w:tab w:val="num" w:pos="1440"/>
        </w:tabs>
        <w:ind w:left="1440" w:hanging="360"/>
      </w:pPr>
    </w:lvl>
  </w:abstractNum>
  <w:abstractNum w:abstractNumId="35" w15:restartNumberingAfterBreak="0">
    <w:nsid w:val="69693B30"/>
    <w:multiLevelType w:val="hybridMultilevel"/>
    <w:tmpl w:val="D17AE270"/>
    <w:lvl w:ilvl="0" w:tplc="6CE8A08A">
      <w:start w:val="1"/>
      <w:numFmt w:val="bullet"/>
      <w:lvlText w:val=""/>
      <w:lvlJc w:val="left"/>
      <w:pPr>
        <w:ind w:left="1440" w:hanging="360"/>
      </w:pPr>
      <w:rPr>
        <w:rFonts w:ascii="Symbol" w:hAnsi="Symbol" w:hint="default"/>
      </w:rPr>
    </w:lvl>
    <w:lvl w:ilvl="1" w:tplc="5400E996" w:tentative="1">
      <w:start w:val="1"/>
      <w:numFmt w:val="bullet"/>
      <w:lvlText w:val="o"/>
      <w:lvlJc w:val="left"/>
      <w:pPr>
        <w:ind w:left="2160" w:hanging="360"/>
      </w:pPr>
      <w:rPr>
        <w:rFonts w:ascii="Courier New" w:hAnsi="Courier New" w:cs="Courier New" w:hint="default"/>
      </w:rPr>
    </w:lvl>
    <w:lvl w:ilvl="2" w:tplc="E6001B8A" w:tentative="1">
      <w:start w:val="1"/>
      <w:numFmt w:val="bullet"/>
      <w:lvlText w:val=""/>
      <w:lvlJc w:val="left"/>
      <w:pPr>
        <w:ind w:left="2880" w:hanging="360"/>
      </w:pPr>
      <w:rPr>
        <w:rFonts w:ascii="Wingdings" w:hAnsi="Wingdings" w:hint="default"/>
      </w:rPr>
    </w:lvl>
    <w:lvl w:ilvl="3" w:tplc="F456481E" w:tentative="1">
      <w:start w:val="1"/>
      <w:numFmt w:val="bullet"/>
      <w:lvlText w:val=""/>
      <w:lvlJc w:val="left"/>
      <w:pPr>
        <w:ind w:left="3600" w:hanging="360"/>
      </w:pPr>
      <w:rPr>
        <w:rFonts w:ascii="Symbol" w:hAnsi="Symbol" w:hint="default"/>
      </w:rPr>
    </w:lvl>
    <w:lvl w:ilvl="4" w:tplc="3E966B66" w:tentative="1">
      <w:start w:val="1"/>
      <w:numFmt w:val="bullet"/>
      <w:lvlText w:val="o"/>
      <w:lvlJc w:val="left"/>
      <w:pPr>
        <w:ind w:left="4320" w:hanging="360"/>
      </w:pPr>
      <w:rPr>
        <w:rFonts w:ascii="Courier New" w:hAnsi="Courier New" w:cs="Courier New" w:hint="default"/>
      </w:rPr>
    </w:lvl>
    <w:lvl w:ilvl="5" w:tplc="AC34EE82" w:tentative="1">
      <w:start w:val="1"/>
      <w:numFmt w:val="bullet"/>
      <w:lvlText w:val=""/>
      <w:lvlJc w:val="left"/>
      <w:pPr>
        <w:ind w:left="5040" w:hanging="360"/>
      </w:pPr>
      <w:rPr>
        <w:rFonts w:ascii="Wingdings" w:hAnsi="Wingdings" w:hint="default"/>
      </w:rPr>
    </w:lvl>
    <w:lvl w:ilvl="6" w:tplc="7CF0A0DA" w:tentative="1">
      <w:start w:val="1"/>
      <w:numFmt w:val="bullet"/>
      <w:lvlText w:val=""/>
      <w:lvlJc w:val="left"/>
      <w:pPr>
        <w:ind w:left="5760" w:hanging="360"/>
      </w:pPr>
      <w:rPr>
        <w:rFonts w:ascii="Symbol" w:hAnsi="Symbol" w:hint="default"/>
      </w:rPr>
    </w:lvl>
    <w:lvl w:ilvl="7" w:tplc="6714C8F8" w:tentative="1">
      <w:start w:val="1"/>
      <w:numFmt w:val="bullet"/>
      <w:lvlText w:val="o"/>
      <w:lvlJc w:val="left"/>
      <w:pPr>
        <w:ind w:left="6480" w:hanging="360"/>
      </w:pPr>
      <w:rPr>
        <w:rFonts w:ascii="Courier New" w:hAnsi="Courier New" w:cs="Courier New" w:hint="default"/>
      </w:rPr>
    </w:lvl>
    <w:lvl w:ilvl="8" w:tplc="5952FE54" w:tentative="1">
      <w:start w:val="1"/>
      <w:numFmt w:val="bullet"/>
      <w:lvlText w:val=""/>
      <w:lvlJc w:val="left"/>
      <w:pPr>
        <w:ind w:left="7200" w:hanging="360"/>
      </w:pPr>
      <w:rPr>
        <w:rFonts w:ascii="Wingdings" w:hAnsi="Wingdings" w:hint="default"/>
      </w:rPr>
    </w:lvl>
  </w:abstractNum>
  <w:abstractNum w:abstractNumId="36" w15:restartNumberingAfterBreak="0">
    <w:nsid w:val="6E050D80"/>
    <w:multiLevelType w:val="hybridMultilevel"/>
    <w:tmpl w:val="5920B902"/>
    <w:lvl w:ilvl="0" w:tplc="E57A12F2">
      <w:start w:val="1"/>
      <w:numFmt w:val="bullet"/>
      <w:lvlText w:val=""/>
      <w:lvlJc w:val="left"/>
      <w:pPr>
        <w:ind w:left="720" w:hanging="360"/>
      </w:pPr>
      <w:rPr>
        <w:rFonts w:ascii="Symbol" w:hAnsi="Symbol" w:hint="default"/>
      </w:rPr>
    </w:lvl>
    <w:lvl w:ilvl="1" w:tplc="48EE2412" w:tentative="1">
      <w:start w:val="1"/>
      <w:numFmt w:val="bullet"/>
      <w:lvlText w:val="o"/>
      <w:lvlJc w:val="left"/>
      <w:pPr>
        <w:ind w:left="1440" w:hanging="360"/>
      </w:pPr>
      <w:rPr>
        <w:rFonts w:ascii="Courier New" w:hAnsi="Courier New" w:cs="Courier New" w:hint="default"/>
      </w:rPr>
    </w:lvl>
    <w:lvl w:ilvl="2" w:tplc="0F00E9F2" w:tentative="1">
      <w:start w:val="1"/>
      <w:numFmt w:val="bullet"/>
      <w:lvlText w:val=""/>
      <w:lvlJc w:val="left"/>
      <w:pPr>
        <w:ind w:left="2160" w:hanging="360"/>
      </w:pPr>
      <w:rPr>
        <w:rFonts w:ascii="Wingdings" w:hAnsi="Wingdings" w:hint="default"/>
      </w:rPr>
    </w:lvl>
    <w:lvl w:ilvl="3" w:tplc="70BAF6A8" w:tentative="1">
      <w:start w:val="1"/>
      <w:numFmt w:val="bullet"/>
      <w:lvlText w:val=""/>
      <w:lvlJc w:val="left"/>
      <w:pPr>
        <w:ind w:left="2880" w:hanging="360"/>
      </w:pPr>
      <w:rPr>
        <w:rFonts w:ascii="Symbol" w:hAnsi="Symbol" w:hint="default"/>
      </w:rPr>
    </w:lvl>
    <w:lvl w:ilvl="4" w:tplc="13B0CAE8" w:tentative="1">
      <w:start w:val="1"/>
      <w:numFmt w:val="bullet"/>
      <w:lvlText w:val="o"/>
      <w:lvlJc w:val="left"/>
      <w:pPr>
        <w:ind w:left="3600" w:hanging="360"/>
      </w:pPr>
      <w:rPr>
        <w:rFonts w:ascii="Courier New" w:hAnsi="Courier New" w:cs="Courier New" w:hint="default"/>
      </w:rPr>
    </w:lvl>
    <w:lvl w:ilvl="5" w:tplc="B41C4A64" w:tentative="1">
      <w:start w:val="1"/>
      <w:numFmt w:val="bullet"/>
      <w:lvlText w:val=""/>
      <w:lvlJc w:val="left"/>
      <w:pPr>
        <w:ind w:left="4320" w:hanging="360"/>
      </w:pPr>
      <w:rPr>
        <w:rFonts w:ascii="Wingdings" w:hAnsi="Wingdings" w:hint="default"/>
      </w:rPr>
    </w:lvl>
    <w:lvl w:ilvl="6" w:tplc="7070D908" w:tentative="1">
      <w:start w:val="1"/>
      <w:numFmt w:val="bullet"/>
      <w:lvlText w:val=""/>
      <w:lvlJc w:val="left"/>
      <w:pPr>
        <w:ind w:left="5040" w:hanging="360"/>
      </w:pPr>
      <w:rPr>
        <w:rFonts w:ascii="Symbol" w:hAnsi="Symbol" w:hint="default"/>
      </w:rPr>
    </w:lvl>
    <w:lvl w:ilvl="7" w:tplc="8A02ED6E" w:tentative="1">
      <w:start w:val="1"/>
      <w:numFmt w:val="bullet"/>
      <w:lvlText w:val="o"/>
      <w:lvlJc w:val="left"/>
      <w:pPr>
        <w:ind w:left="5760" w:hanging="360"/>
      </w:pPr>
      <w:rPr>
        <w:rFonts w:ascii="Courier New" w:hAnsi="Courier New" w:cs="Courier New" w:hint="default"/>
      </w:rPr>
    </w:lvl>
    <w:lvl w:ilvl="8" w:tplc="478C5342" w:tentative="1">
      <w:start w:val="1"/>
      <w:numFmt w:val="bullet"/>
      <w:lvlText w:val=""/>
      <w:lvlJc w:val="left"/>
      <w:pPr>
        <w:ind w:left="6480" w:hanging="360"/>
      </w:pPr>
      <w:rPr>
        <w:rFonts w:ascii="Wingdings" w:hAnsi="Wingdings" w:hint="default"/>
      </w:rPr>
    </w:lvl>
  </w:abstractNum>
  <w:abstractNum w:abstractNumId="37" w15:restartNumberingAfterBreak="0">
    <w:nsid w:val="6F611FA4"/>
    <w:multiLevelType w:val="multilevel"/>
    <w:tmpl w:val="6094AA90"/>
    <w:lvl w:ilvl="0">
      <w:start w:val="5"/>
      <w:numFmt w:val="decimal"/>
      <w:lvlText w:val="%1."/>
      <w:lvlJc w:val="left"/>
      <w:pPr>
        <w:tabs>
          <w:tab w:val="num" w:pos="720"/>
        </w:tabs>
        <w:ind w:left="720" w:hanging="720"/>
      </w:pPr>
      <w:rPr>
        <w:rFonts w:hint="default"/>
        <w:b w:val="0"/>
      </w:rPr>
    </w:lvl>
    <w:lvl w:ilvl="1">
      <w:start w:val="1"/>
      <w:numFmt w:val="lowerLetter"/>
      <w:lvlText w:val="%2."/>
      <w:lvlJc w:val="left"/>
      <w:pPr>
        <w:tabs>
          <w:tab w:val="num" w:pos="1080"/>
        </w:tabs>
        <w:ind w:left="1080" w:hanging="360"/>
      </w:pPr>
      <w:rPr>
        <w:rFonts w:hint="default"/>
      </w:rPr>
    </w:lvl>
    <w:lvl w:ilvl="2">
      <w:start w:val="8"/>
      <w:numFmt w:val="upperLetter"/>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8" w15:restartNumberingAfterBreak="0">
    <w:nsid w:val="6FF84F60"/>
    <w:multiLevelType w:val="multilevel"/>
    <w:tmpl w:val="AC5818EA"/>
    <w:lvl w:ilvl="0">
      <w:start w:val="3"/>
      <w:numFmt w:val="decimal"/>
      <w:lvlText w:val="%1"/>
      <w:lvlJc w:val="left"/>
      <w:pPr>
        <w:ind w:left="720" w:hanging="720"/>
      </w:pPr>
      <w:rPr>
        <w:rFonts w:hint="default"/>
        <w:b/>
      </w:rPr>
    </w:lvl>
    <w:lvl w:ilvl="1">
      <w:start w:val="1"/>
      <w:numFmt w:val="decimal"/>
      <w:lvlText w:val="%1.%2"/>
      <w:lvlJc w:val="left"/>
      <w:pPr>
        <w:ind w:left="955" w:hanging="720"/>
      </w:pPr>
      <w:rPr>
        <w:rFonts w:hint="default"/>
        <w:b/>
      </w:rPr>
    </w:lvl>
    <w:lvl w:ilvl="2">
      <w:start w:val="3"/>
      <w:numFmt w:val="decimal"/>
      <w:lvlText w:val="%1.%2.%3"/>
      <w:lvlJc w:val="left"/>
      <w:pPr>
        <w:ind w:left="1190" w:hanging="720"/>
      </w:pPr>
      <w:rPr>
        <w:rFonts w:hint="default"/>
        <w:b/>
      </w:rPr>
    </w:lvl>
    <w:lvl w:ilvl="3">
      <w:start w:val="2"/>
      <w:numFmt w:val="decimal"/>
      <w:lvlText w:val="%1.%2.%3.%4"/>
      <w:lvlJc w:val="left"/>
      <w:pPr>
        <w:ind w:left="1785" w:hanging="1080"/>
      </w:pPr>
      <w:rPr>
        <w:rFonts w:hint="default"/>
        <w:b/>
      </w:rPr>
    </w:lvl>
    <w:lvl w:ilvl="4">
      <w:start w:val="1"/>
      <w:numFmt w:val="decimal"/>
      <w:lvlText w:val="%1.%2.%3.%4.%5"/>
      <w:lvlJc w:val="left"/>
      <w:pPr>
        <w:ind w:left="2020" w:hanging="1080"/>
      </w:pPr>
      <w:rPr>
        <w:rFonts w:hint="default"/>
        <w:b/>
      </w:rPr>
    </w:lvl>
    <w:lvl w:ilvl="5">
      <w:start w:val="1"/>
      <w:numFmt w:val="decimal"/>
      <w:lvlText w:val="%1.%2.%3.%4.%5.%6"/>
      <w:lvlJc w:val="left"/>
      <w:pPr>
        <w:ind w:left="2615" w:hanging="1440"/>
      </w:pPr>
      <w:rPr>
        <w:rFonts w:hint="default"/>
        <w:b/>
      </w:rPr>
    </w:lvl>
    <w:lvl w:ilvl="6">
      <w:start w:val="1"/>
      <w:numFmt w:val="decimal"/>
      <w:lvlText w:val="%1.%2.%3.%4.%5.%6.%7"/>
      <w:lvlJc w:val="left"/>
      <w:pPr>
        <w:ind w:left="2850" w:hanging="1440"/>
      </w:pPr>
      <w:rPr>
        <w:rFonts w:hint="default"/>
        <w:b/>
      </w:rPr>
    </w:lvl>
    <w:lvl w:ilvl="7">
      <w:start w:val="1"/>
      <w:numFmt w:val="decimal"/>
      <w:lvlText w:val="%1.%2.%3.%4.%5.%6.%7.%8"/>
      <w:lvlJc w:val="left"/>
      <w:pPr>
        <w:ind w:left="3445" w:hanging="1800"/>
      </w:pPr>
      <w:rPr>
        <w:rFonts w:hint="default"/>
        <w:b/>
      </w:rPr>
    </w:lvl>
    <w:lvl w:ilvl="8">
      <w:start w:val="1"/>
      <w:numFmt w:val="decimal"/>
      <w:lvlText w:val="%1.%2.%3.%4.%5.%6.%7.%8.%9"/>
      <w:lvlJc w:val="left"/>
      <w:pPr>
        <w:ind w:left="3680" w:hanging="1800"/>
      </w:pPr>
      <w:rPr>
        <w:rFonts w:hint="default"/>
        <w:b/>
      </w:rPr>
    </w:lvl>
  </w:abstractNum>
  <w:abstractNum w:abstractNumId="39" w15:restartNumberingAfterBreak="0">
    <w:nsid w:val="71047354"/>
    <w:multiLevelType w:val="multilevel"/>
    <w:tmpl w:val="B0E265DA"/>
    <w:lvl w:ilvl="0">
      <w:start w:val="13"/>
      <w:numFmt w:val="decimal"/>
      <w:lvlText w:val="%1."/>
      <w:lvlJc w:val="left"/>
      <w:pPr>
        <w:tabs>
          <w:tab w:val="num" w:pos="720"/>
        </w:tabs>
        <w:ind w:left="720" w:hanging="720"/>
      </w:pPr>
      <w:rPr>
        <w:rFonts w:hint="default"/>
        <w:b w:val="0"/>
      </w:rPr>
    </w:lvl>
    <w:lvl w:ilvl="1">
      <w:start w:val="1"/>
      <w:numFmt w:val="lowerLetter"/>
      <w:lvlText w:val="%2."/>
      <w:lvlJc w:val="left"/>
      <w:pPr>
        <w:tabs>
          <w:tab w:val="num" w:pos="1080"/>
        </w:tabs>
        <w:ind w:left="1080" w:hanging="360"/>
      </w:pPr>
      <w:rPr>
        <w:rFonts w:hint="default"/>
      </w:rPr>
    </w:lvl>
    <w:lvl w:ilvl="2">
      <w:start w:val="8"/>
      <w:numFmt w:val="upperLetter"/>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0" w15:restartNumberingAfterBreak="0">
    <w:nsid w:val="712C6B77"/>
    <w:multiLevelType w:val="hybridMultilevel"/>
    <w:tmpl w:val="808278F0"/>
    <w:lvl w:ilvl="0" w:tplc="0BD0B092">
      <w:start w:val="1"/>
      <w:numFmt w:val="decimal"/>
      <w:pStyle w:val="Heading3-numbered"/>
      <w:lvlText w:val="%1."/>
      <w:lvlJc w:val="left"/>
      <w:pPr>
        <w:ind w:left="360" w:hanging="360"/>
      </w:pPr>
      <w:rPr>
        <w:b/>
        <w:i w:val="0"/>
        <w:color w:val="auto"/>
        <w:sz w:val="28"/>
        <w:szCs w:val="28"/>
      </w:rPr>
    </w:lvl>
    <w:lvl w:ilvl="1" w:tplc="7F880B04" w:tentative="1">
      <w:start w:val="1"/>
      <w:numFmt w:val="lowerLetter"/>
      <w:lvlText w:val="%2."/>
      <w:lvlJc w:val="left"/>
      <w:pPr>
        <w:ind w:left="1080" w:hanging="360"/>
      </w:pPr>
    </w:lvl>
    <w:lvl w:ilvl="2" w:tplc="188064EA" w:tentative="1">
      <w:start w:val="1"/>
      <w:numFmt w:val="lowerRoman"/>
      <w:lvlText w:val="%3."/>
      <w:lvlJc w:val="right"/>
      <w:pPr>
        <w:ind w:left="1800" w:hanging="180"/>
      </w:pPr>
    </w:lvl>
    <w:lvl w:ilvl="3" w:tplc="E340A842" w:tentative="1">
      <w:start w:val="1"/>
      <w:numFmt w:val="decimal"/>
      <w:lvlText w:val="%4."/>
      <w:lvlJc w:val="left"/>
      <w:pPr>
        <w:ind w:left="2520" w:hanging="360"/>
      </w:pPr>
    </w:lvl>
    <w:lvl w:ilvl="4" w:tplc="5D8083C0" w:tentative="1">
      <w:start w:val="1"/>
      <w:numFmt w:val="lowerLetter"/>
      <w:lvlText w:val="%5."/>
      <w:lvlJc w:val="left"/>
      <w:pPr>
        <w:ind w:left="3240" w:hanging="360"/>
      </w:pPr>
    </w:lvl>
    <w:lvl w:ilvl="5" w:tplc="CCBA9BF6" w:tentative="1">
      <w:start w:val="1"/>
      <w:numFmt w:val="lowerRoman"/>
      <w:lvlText w:val="%6."/>
      <w:lvlJc w:val="right"/>
      <w:pPr>
        <w:ind w:left="3960" w:hanging="180"/>
      </w:pPr>
    </w:lvl>
    <w:lvl w:ilvl="6" w:tplc="9FB8FAB0" w:tentative="1">
      <w:start w:val="1"/>
      <w:numFmt w:val="decimal"/>
      <w:lvlText w:val="%7."/>
      <w:lvlJc w:val="left"/>
      <w:pPr>
        <w:ind w:left="4680" w:hanging="360"/>
      </w:pPr>
    </w:lvl>
    <w:lvl w:ilvl="7" w:tplc="F3860DCA" w:tentative="1">
      <w:start w:val="1"/>
      <w:numFmt w:val="lowerLetter"/>
      <w:lvlText w:val="%8."/>
      <w:lvlJc w:val="left"/>
      <w:pPr>
        <w:ind w:left="5400" w:hanging="360"/>
      </w:pPr>
    </w:lvl>
    <w:lvl w:ilvl="8" w:tplc="403C90AC" w:tentative="1">
      <w:start w:val="1"/>
      <w:numFmt w:val="lowerRoman"/>
      <w:lvlText w:val="%9."/>
      <w:lvlJc w:val="right"/>
      <w:pPr>
        <w:ind w:left="6120" w:hanging="180"/>
      </w:pPr>
    </w:lvl>
  </w:abstractNum>
  <w:abstractNum w:abstractNumId="41" w15:restartNumberingAfterBreak="0">
    <w:nsid w:val="73C81E5B"/>
    <w:multiLevelType w:val="multilevel"/>
    <w:tmpl w:val="9A7ABBFC"/>
    <w:lvl w:ilvl="0">
      <w:start w:val="11"/>
      <w:numFmt w:val="decimal"/>
      <w:lvlText w:val="%1."/>
      <w:lvlJc w:val="left"/>
      <w:pPr>
        <w:tabs>
          <w:tab w:val="num" w:pos="720"/>
        </w:tabs>
        <w:ind w:left="720" w:hanging="720"/>
      </w:pPr>
      <w:rPr>
        <w:rFonts w:hint="default"/>
        <w:b w:val="0"/>
      </w:rPr>
    </w:lvl>
    <w:lvl w:ilvl="1">
      <w:start w:val="1"/>
      <w:numFmt w:val="lowerLetter"/>
      <w:lvlText w:val="%2."/>
      <w:lvlJc w:val="left"/>
      <w:pPr>
        <w:tabs>
          <w:tab w:val="num" w:pos="1080"/>
        </w:tabs>
        <w:ind w:left="1080" w:hanging="360"/>
      </w:pPr>
      <w:rPr>
        <w:rFonts w:hint="default"/>
      </w:rPr>
    </w:lvl>
    <w:lvl w:ilvl="2">
      <w:start w:val="8"/>
      <w:numFmt w:val="upperLetter"/>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2" w15:restartNumberingAfterBreak="0">
    <w:nsid w:val="75243DC0"/>
    <w:multiLevelType w:val="hybridMultilevel"/>
    <w:tmpl w:val="5B6E1956"/>
    <w:lvl w:ilvl="0" w:tplc="EB8E6FD6">
      <w:start w:val="1"/>
      <w:numFmt w:val="bullet"/>
      <w:lvlText w:val=""/>
      <w:lvlJc w:val="left"/>
      <w:pPr>
        <w:ind w:left="720" w:hanging="360"/>
      </w:pPr>
      <w:rPr>
        <w:rFonts w:ascii="Symbol" w:hAnsi="Symbol" w:hint="default"/>
      </w:rPr>
    </w:lvl>
    <w:lvl w:ilvl="1" w:tplc="DFF667EC" w:tentative="1">
      <w:start w:val="1"/>
      <w:numFmt w:val="bullet"/>
      <w:lvlText w:val="o"/>
      <w:lvlJc w:val="left"/>
      <w:pPr>
        <w:ind w:left="1440" w:hanging="360"/>
      </w:pPr>
      <w:rPr>
        <w:rFonts w:ascii="Courier New" w:hAnsi="Courier New" w:cs="Courier New" w:hint="default"/>
      </w:rPr>
    </w:lvl>
    <w:lvl w:ilvl="2" w:tplc="43E041A0" w:tentative="1">
      <w:start w:val="1"/>
      <w:numFmt w:val="bullet"/>
      <w:lvlText w:val=""/>
      <w:lvlJc w:val="left"/>
      <w:pPr>
        <w:ind w:left="2160" w:hanging="360"/>
      </w:pPr>
      <w:rPr>
        <w:rFonts w:ascii="Wingdings" w:hAnsi="Wingdings" w:hint="default"/>
      </w:rPr>
    </w:lvl>
    <w:lvl w:ilvl="3" w:tplc="030C2E7E" w:tentative="1">
      <w:start w:val="1"/>
      <w:numFmt w:val="bullet"/>
      <w:lvlText w:val=""/>
      <w:lvlJc w:val="left"/>
      <w:pPr>
        <w:ind w:left="2880" w:hanging="360"/>
      </w:pPr>
      <w:rPr>
        <w:rFonts w:ascii="Symbol" w:hAnsi="Symbol" w:hint="default"/>
      </w:rPr>
    </w:lvl>
    <w:lvl w:ilvl="4" w:tplc="1B34EC4A" w:tentative="1">
      <w:start w:val="1"/>
      <w:numFmt w:val="bullet"/>
      <w:lvlText w:val="o"/>
      <w:lvlJc w:val="left"/>
      <w:pPr>
        <w:ind w:left="3600" w:hanging="360"/>
      </w:pPr>
      <w:rPr>
        <w:rFonts w:ascii="Courier New" w:hAnsi="Courier New" w:cs="Courier New" w:hint="default"/>
      </w:rPr>
    </w:lvl>
    <w:lvl w:ilvl="5" w:tplc="5EDEF250" w:tentative="1">
      <w:start w:val="1"/>
      <w:numFmt w:val="bullet"/>
      <w:lvlText w:val=""/>
      <w:lvlJc w:val="left"/>
      <w:pPr>
        <w:ind w:left="4320" w:hanging="360"/>
      </w:pPr>
      <w:rPr>
        <w:rFonts w:ascii="Wingdings" w:hAnsi="Wingdings" w:hint="default"/>
      </w:rPr>
    </w:lvl>
    <w:lvl w:ilvl="6" w:tplc="A1744E74" w:tentative="1">
      <w:start w:val="1"/>
      <w:numFmt w:val="bullet"/>
      <w:lvlText w:val=""/>
      <w:lvlJc w:val="left"/>
      <w:pPr>
        <w:ind w:left="5040" w:hanging="360"/>
      </w:pPr>
      <w:rPr>
        <w:rFonts w:ascii="Symbol" w:hAnsi="Symbol" w:hint="default"/>
      </w:rPr>
    </w:lvl>
    <w:lvl w:ilvl="7" w:tplc="48347F52" w:tentative="1">
      <w:start w:val="1"/>
      <w:numFmt w:val="bullet"/>
      <w:lvlText w:val="o"/>
      <w:lvlJc w:val="left"/>
      <w:pPr>
        <w:ind w:left="5760" w:hanging="360"/>
      </w:pPr>
      <w:rPr>
        <w:rFonts w:ascii="Courier New" w:hAnsi="Courier New" w:cs="Courier New" w:hint="default"/>
      </w:rPr>
    </w:lvl>
    <w:lvl w:ilvl="8" w:tplc="12E07F28" w:tentative="1">
      <w:start w:val="1"/>
      <w:numFmt w:val="bullet"/>
      <w:lvlText w:val=""/>
      <w:lvlJc w:val="left"/>
      <w:pPr>
        <w:ind w:left="6480" w:hanging="360"/>
      </w:pPr>
      <w:rPr>
        <w:rFonts w:ascii="Wingdings" w:hAnsi="Wingdings" w:hint="default"/>
      </w:rPr>
    </w:lvl>
  </w:abstractNum>
  <w:abstractNum w:abstractNumId="43" w15:restartNumberingAfterBreak="0">
    <w:nsid w:val="76196F95"/>
    <w:multiLevelType w:val="hybridMultilevel"/>
    <w:tmpl w:val="CA1E79FC"/>
    <w:lvl w:ilvl="0" w:tplc="502E6E54">
      <w:start w:val="1"/>
      <w:numFmt w:val="decimal"/>
      <w:lvlText w:val="%1."/>
      <w:lvlJc w:val="left"/>
      <w:pPr>
        <w:ind w:left="720" w:hanging="360"/>
      </w:pPr>
    </w:lvl>
    <w:lvl w:ilvl="1" w:tplc="23F49A40">
      <w:start w:val="1"/>
      <w:numFmt w:val="lowerLetter"/>
      <w:lvlText w:val="%2."/>
      <w:lvlJc w:val="left"/>
      <w:pPr>
        <w:ind w:left="1440" w:hanging="360"/>
      </w:pPr>
    </w:lvl>
    <w:lvl w:ilvl="2" w:tplc="2C5AE8A0">
      <w:start w:val="1"/>
      <w:numFmt w:val="lowerRoman"/>
      <w:lvlText w:val="%3."/>
      <w:lvlJc w:val="right"/>
      <w:pPr>
        <w:ind w:left="2160" w:hanging="180"/>
      </w:pPr>
    </w:lvl>
    <w:lvl w:ilvl="3" w:tplc="F2FC5954">
      <w:start w:val="1"/>
      <w:numFmt w:val="decimal"/>
      <w:lvlText w:val="%4."/>
      <w:lvlJc w:val="left"/>
      <w:pPr>
        <w:ind w:left="2880" w:hanging="360"/>
      </w:pPr>
    </w:lvl>
    <w:lvl w:ilvl="4" w:tplc="4A064DD0">
      <w:start w:val="1"/>
      <w:numFmt w:val="lowerLetter"/>
      <w:lvlText w:val="%5."/>
      <w:lvlJc w:val="left"/>
      <w:pPr>
        <w:ind w:left="3600" w:hanging="360"/>
      </w:pPr>
    </w:lvl>
    <w:lvl w:ilvl="5" w:tplc="7F2C539A">
      <w:start w:val="1"/>
      <w:numFmt w:val="lowerRoman"/>
      <w:lvlText w:val="%6."/>
      <w:lvlJc w:val="right"/>
      <w:pPr>
        <w:ind w:left="4320" w:hanging="180"/>
      </w:pPr>
    </w:lvl>
    <w:lvl w:ilvl="6" w:tplc="C32CE57A">
      <w:start w:val="1"/>
      <w:numFmt w:val="decimal"/>
      <w:lvlText w:val="%7."/>
      <w:lvlJc w:val="left"/>
      <w:pPr>
        <w:ind w:left="5040" w:hanging="360"/>
      </w:pPr>
    </w:lvl>
    <w:lvl w:ilvl="7" w:tplc="229C3CF8">
      <w:start w:val="1"/>
      <w:numFmt w:val="lowerLetter"/>
      <w:lvlText w:val="%8."/>
      <w:lvlJc w:val="left"/>
      <w:pPr>
        <w:ind w:left="5760" w:hanging="360"/>
      </w:pPr>
    </w:lvl>
    <w:lvl w:ilvl="8" w:tplc="583C8B02">
      <w:start w:val="1"/>
      <w:numFmt w:val="lowerRoman"/>
      <w:lvlText w:val="%9."/>
      <w:lvlJc w:val="right"/>
      <w:pPr>
        <w:ind w:left="6480" w:hanging="180"/>
      </w:pPr>
    </w:lvl>
  </w:abstractNum>
  <w:abstractNum w:abstractNumId="44" w15:restartNumberingAfterBreak="0">
    <w:nsid w:val="7C6A53FB"/>
    <w:multiLevelType w:val="hybridMultilevel"/>
    <w:tmpl w:val="3724EB5E"/>
    <w:lvl w:ilvl="0" w:tplc="4ABC6148">
      <w:start w:val="1"/>
      <w:numFmt w:val="bullet"/>
      <w:lvlText w:val=""/>
      <w:lvlJc w:val="left"/>
      <w:pPr>
        <w:ind w:left="720" w:hanging="360"/>
      </w:pPr>
      <w:rPr>
        <w:rFonts w:ascii="Symbol" w:hAnsi="Symbol" w:hint="default"/>
      </w:rPr>
    </w:lvl>
    <w:lvl w:ilvl="1" w:tplc="7B4ECC14" w:tentative="1">
      <w:start w:val="1"/>
      <w:numFmt w:val="bullet"/>
      <w:lvlText w:val="o"/>
      <w:lvlJc w:val="left"/>
      <w:pPr>
        <w:ind w:left="1440" w:hanging="360"/>
      </w:pPr>
      <w:rPr>
        <w:rFonts w:ascii="Courier New" w:hAnsi="Courier New" w:cs="Courier New" w:hint="default"/>
      </w:rPr>
    </w:lvl>
    <w:lvl w:ilvl="2" w:tplc="D03C2F1E" w:tentative="1">
      <w:start w:val="1"/>
      <w:numFmt w:val="bullet"/>
      <w:lvlText w:val=""/>
      <w:lvlJc w:val="left"/>
      <w:pPr>
        <w:ind w:left="2160" w:hanging="360"/>
      </w:pPr>
      <w:rPr>
        <w:rFonts w:ascii="Wingdings" w:hAnsi="Wingdings" w:hint="default"/>
      </w:rPr>
    </w:lvl>
    <w:lvl w:ilvl="3" w:tplc="F8EE8E56" w:tentative="1">
      <w:start w:val="1"/>
      <w:numFmt w:val="bullet"/>
      <w:lvlText w:val=""/>
      <w:lvlJc w:val="left"/>
      <w:pPr>
        <w:ind w:left="2880" w:hanging="360"/>
      </w:pPr>
      <w:rPr>
        <w:rFonts w:ascii="Symbol" w:hAnsi="Symbol" w:hint="default"/>
      </w:rPr>
    </w:lvl>
    <w:lvl w:ilvl="4" w:tplc="F8FA438A" w:tentative="1">
      <w:start w:val="1"/>
      <w:numFmt w:val="bullet"/>
      <w:lvlText w:val="o"/>
      <w:lvlJc w:val="left"/>
      <w:pPr>
        <w:ind w:left="3600" w:hanging="360"/>
      </w:pPr>
      <w:rPr>
        <w:rFonts w:ascii="Courier New" w:hAnsi="Courier New" w:cs="Courier New" w:hint="default"/>
      </w:rPr>
    </w:lvl>
    <w:lvl w:ilvl="5" w:tplc="6242D30E" w:tentative="1">
      <w:start w:val="1"/>
      <w:numFmt w:val="bullet"/>
      <w:lvlText w:val=""/>
      <w:lvlJc w:val="left"/>
      <w:pPr>
        <w:ind w:left="4320" w:hanging="360"/>
      </w:pPr>
      <w:rPr>
        <w:rFonts w:ascii="Wingdings" w:hAnsi="Wingdings" w:hint="default"/>
      </w:rPr>
    </w:lvl>
    <w:lvl w:ilvl="6" w:tplc="6E94A35E" w:tentative="1">
      <w:start w:val="1"/>
      <w:numFmt w:val="bullet"/>
      <w:lvlText w:val=""/>
      <w:lvlJc w:val="left"/>
      <w:pPr>
        <w:ind w:left="5040" w:hanging="360"/>
      </w:pPr>
      <w:rPr>
        <w:rFonts w:ascii="Symbol" w:hAnsi="Symbol" w:hint="default"/>
      </w:rPr>
    </w:lvl>
    <w:lvl w:ilvl="7" w:tplc="D94A6622" w:tentative="1">
      <w:start w:val="1"/>
      <w:numFmt w:val="bullet"/>
      <w:lvlText w:val="o"/>
      <w:lvlJc w:val="left"/>
      <w:pPr>
        <w:ind w:left="5760" w:hanging="360"/>
      </w:pPr>
      <w:rPr>
        <w:rFonts w:ascii="Courier New" w:hAnsi="Courier New" w:cs="Courier New" w:hint="default"/>
      </w:rPr>
    </w:lvl>
    <w:lvl w:ilvl="8" w:tplc="B8004D26"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40"/>
  </w:num>
  <w:num w:numId="4">
    <w:abstractNumId w:val="31"/>
  </w:num>
  <w:num w:numId="5">
    <w:abstractNumId w:val="21"/>
  </w:num>
  <w:num w:numId="6">
    <w:abstractNumId w:val="11"/>
  </w:num>
  <w:num w:numId="7">
    <w:abstractNumId w:val="33"/>
  </w:num>
  <w:num w:numId="8">
    <w:abstractNumId w:val="37"/>
  </w:num>
  <w:num w:numId="9">
    <w:abstractNumId w:val="39"/>
  </w:num>
  <w:num w:numId="10">
    <w:abstractNumId w:val="25"/>
  </w:num>
  <w:num w:numId="11">
    <w:abstractNumId w:val="23"/>
  </w:num>
  <w:num w:numId="12">
    <w:abstractNumId w:val="15"/>
  </w:num>
  <w:num w:numId="13">
    <w:abstractNumId w:val="14"/>
  </w:num>
  <w:num w:numId="14">
    <w:abstractNumId w:val="30"/>
  </w:num>
  <w:num w:numId="15">
    <w:abstractNumId w:val="24"/>
  </w:num>
  <w:num w:numId="16">
    <w:abstractNumId w:val="27"/>
  </w:num>
  <w:num w:numId="17">
    <w:abstractNumId w:val="9"/>
  </w:num>
  <w:num w:numId="18">
    <w:abstractNumId w:val="3"/>
  </w:num>
  <w:num w:numId="19">
    <w:abstractNumId w:val="38"/>
  </w:num>
  <w:num w:numId="20">
    <w:abstractNumId w:val="2"/>
  </w:num>
  <w:num w:numId="21">
    <w:abstractNumId w:val="44"/>
  </w:num>
  <w:num w:numId="22">
    <w:abstractNumId w:val="17"/>
  </w:num>
  <w:num w:numId="23">
    <w:abstractNumId w:val="16"/>
  </w:num>
  <w:num w:numId="24">
    <w:abstractNumId w:val="6"/>
  </w:num>
  <w:num w:numId="25">
    <w:abstractNumId w:val="1"/>
  </w:num>
  <w:num w:numId="26">
    <w:abstractNumId w:val="42"/>
  </w:num>
  <w:num w:numId="27">
    <w:abstractNumId w:val="18"/>
  </w:num>
  <w:num w:numId="28">
    <w:abstractNumId w:val="29"/>
  </w:num>
  <w:num w:numId="29">
    <w:abstractNumId w:val="34"/>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12"/>
  </w:num>
  <w:num w:numId="33">
    <w:abstractNumId w:val="36"/>
  </w:num>
  <w:num w:numId="34">
    <w:abstractNumId w:val="4"/>
  </w:num>
  <w:num w:numId="35">
    <w:abstractNumId w:val="0"/>
    <w:lvlOverride w:ilvl="0">
      <w:lvl w:ilvl="0">
        <w:numFmt w:val="bullet"/>
        <w:lvlText w:val=""/>
        <w:legacy w:legacy="1" w:legacySpace="0" w:legacyIndent="360"/>
        <w:lvlJc w:val="left"/>
        <w:rPr>
          <w:rFonts w:ascii="Symbol" w:hAnsi="Symbol" w:hint="default"/>
        </w:rPr>
      </w:lvl>
    </w:lvlOverride>
  </w:num>
  <w:num w:numId="36">
    <w:abstractNumId w:val="41"/>
  </w:num>
  <w:num w:numId="37">
    <w:abstractNumId w:val="28"/>
  </w:num>
  <w:num w:numId="38">
    <w:abstractNumId w:val="19"/>
  </w:num>
  <w:num w:numId="39">
    <w:abstractNumId w:val="22"/>
  </w:num>
  <w:num w:numId="40">
    <w:abstractNumId w:val="7"/>
  </w:num>
  <w:num w:numId="41">
    <w:abstractNumId w:val="10"/>
  </w:num>
  <w:num w:numId="42">
    <w:abstractNumId w:val="26"/>
  </w:num>
  <w:num w:numId="43">
    <w:abstractNumId w:val="35"/>
  </w:num>
  <w:num w:numId="44">
    <w:abstractNumId w:val="32"/>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attachedTemplate r:id="rId1"/>
  <w:documentProtection w:edit="readOnly" w:enforcement="0"/>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C17"/>
    <w:rsid w:val="0062660D"/>
    <w:rsid w:val="006A2C17"/>
    <w:rsid w:val="00E62F5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8B352C-0C2C-4C7F-B7FA-587F10B3F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2"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 w:unhideWhenUsed="1"/>
    <w:lsdException w:name="line number" w:semiHidden="1" w:unhideWhenUsed="1"/>
    <w:lsdException w:name="page number" w:semiHidden="1" w:uiPriority="2"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2"/>
    <w:qFormat/>
    <w:rsid w:val="00875A22"/>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A07590"/>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45FB"/>
    <w:rPr>
      <w:rFonts w:eastAsia="Times New Roman" w:cs="Helvetica-Light"/>
      <w:b/>
      <w:bCs/>
      <w:sz w:val="40"/>
      <w:szCs w:val="28"/>
    </w:rPr>
  </w:style>
  <w:style w:type="character" w:customStyle="1" w:styleId="Heading2Char">
    <w:name w:val="Heading 2 Char"/>
    <w:link w:val="Heading2"/>
    <w:rsid w:val="002345FB"/>
    <w:rPr>
      <w:rFonts w:eastAsia="Times New Roman" w:cs="Helvetica-Light"/>
      <w:b/>
      <w:bCs/>
      <w:color w:val="000000"/>
      <w:sz w:val="32"/>
      <w:szCs w:val="26"/>
    </w:rPr>
  </w:style>
  <w:style w:type="character" w:customStyle="1" w:styleId="Heading3Char">
    <w:name w:val="Heading 3 Char"/>
    <w:link w:val="Heading3"/>
    <w:rsid w:val="002345FB"/>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sz w:val="22"/>
      <w:szCs w:val="22"/>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zCs w:val="20"/>
      <w:shd w:val="pct10" w:color="auto" w:fill="auto"/>
    </w:rPr>
  </w:style>
  <w:style w:type="character" w:customStyle="1" w:styleId="Heading7Char">
    <w:name w:val="Heading 7 Char"/>
    <w:link w:val="Heading7"/>
    <w:semiHidden/>
    <w:rsid w:val="0001341B"/>
    <w:rPr>
      <w:rFonts w:eastAsia="Times New Roman"/>
      <w:b/>
      <w:sz w:val="24"/>
      <w:szCs w:val="20"/>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2"/>
    <w:rsid w:val="00846AEA"/>
    <w:pPr>
      <w:tabs>
        <w:tab w:val="center" w:pos="4320"/>
        <w:tab w:val="right" w:pos="8640"/>
      </w:tabs>
      <w:spacing w:after="0"/>
    </w:pPr>
    <w:rPr>
      <w:color w:val="FFFFFF"/>
      <w:sz w:val="22"/>
      <w:szCs w:val="22"/>
    </w:rPr>
  </w:style>
  <w:style w:type="character" w:customStyle="1" w:styleId="HeaderChar">
    <w:name w:val="Header Char"/>
    <w:link w:val="Header"/>
    <w:uiPriority w:val="2"/>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basedOn w:val="Normal"/>
    <w:link w:val="ListParagraphChar"/>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uiPriority w:val="5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2"/>
    <w:rsid w:val="00EA41E9"/>
    <w:pPr>
      <w:spacing w:after="0"/>
    </w:pPr>
    <w:rPr>
      <w:sz w:val="20"/>
      <w:szCs w:val="20"/>
    </w:rPr>
  </w:style>
  <w:style w:type="character" w:customStyle="1" w:styleId="FootnoteTextChar">
    <w:name w:val="Footnote Text Char"/>
    <w:link w:val="FootnoteText"/>
    <w:uiPriority w:val="2"/>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2"/>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link w:val="TableHeadingTextChar"/>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link w:val="TableTextChar"/>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numPr>
        <w:numId w:val="2"/>
      </w:numPr>
      <w:tabs>
        <w:tab w:val="left" w:pos="567"/>
      </w:tabs>
      <w:spacing w:before="200" w:after="120"/>
      <w:ind w:left="567" w:hanging="567"/>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link w:val="BodyText"/>
    <w:rsid w:val="009028CB"/>
    <w:rPr>
      <w:rFonts w:eastAsia="Times New Roman" w:cs="Helvetica-Light"/>
      <w:sz w:val="24"/>
      <w:szCs w:val="24"/>
    </w:rPr>
  </w:style>
  <w:style w:type="paragraph" w:styleId="BalloonText">
    <w:name w:val="Balloon Text"/>
    <w:basedOn w:val="Normal"/>
    <w:link w:val="BalloonTextChar"/>
    <w:semiHidden/>
    <w:unhideWhenUsed/>
    <w:rsid w:val="005546BD"/>
    <w:pPr>
      <w:spacing w:after="0"/>
    </w:pPr>
    <w:rPr>
      <w:rFonts w:ascii="Tahoma" w:hAnsi="Tahoma" w:cs="Tahoma"/>
      <w:sz w:val="16"/>
      <w:szCs w:val="16"/>
    </w:rPr>
  </w:style>
  <w:style w:type="character" w:customStyle="1" w:styleId="BalloonTextChar">
    <w:name w:val="Balloon Text Char"/>
    <w:link w:val="BalloonText"/>
    <w:semiHidden/>
    <w:rsid w:val="005546BD"/>
    <w:rPr>
      <w:rFonts w:ascii="Tahoma" w:eastAsia="Calibri" w:hAnsi="Tahoma" w:cs="Tahoma"/>
      <w:color w:val="000000"/>
      <w:sz w:val="16"/>
      <w:szCs w:val="16"/>
      <w:lang w:eastAsia="en-US"/>
    </w:rPr>
  </w:style>
  <w:style w:type="table" w:customStyle="1" w:styleId="TableGrid1">
    <w:name w:val="Table Grid1"/>
    <w:basedOn w:val="TableNormal"/>
    <w:next w:val="TableGrid"/>
    <w:rsid w:val="006A56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C81186"/>
    <w:rPr>
      <w:rFonts w:eastAsia="Calibri" w:cs="Helvetica-Light"/>
      <w:color w:val="000000"/>
      <w:sz w:val="24"/>
      <w:szCs w:val="24"/>
      <w:lang w:eastAsia="en-US"/>
    </w:rPr>
  </w:style>
  <w:style w:type="paragraph" w:customStyle="1" w:styleId="Default">
    <w:name w:val="Default"/>
    <w:rsid w:val="001E0EBA"/>
    <w:pPr>
      <w:autoSpaceDE w:val="0"/>
      <w:autoSpaceDN w:val="0"/>
      <w:adjustRightInd w:val="0"/>
    </w:pPr>
    <w:rPr>
      <w:rFonts w:eastAsia="Times New Roman" w:cs="Arial"/>
      <w:color w:val="000000"/>
      <w:sz w:val="24"/>
      <w:szCs w:val="24"/>
    </w:rPr>
  </w:style>
  <w:style w:type="paragraph" w:customStyle="1" w:styleId="Pa10">
    <w:name w:val="Pa10"/>
    <w:basedOn w:val="Default"/>
    <w:next w:val="Default"/>
    <w:uiPriority w:val="99"/>
    <w:rsid w:val="001E0EBA"/>
    <w:pPr>
      <w:spacing w:line="231" w:lineRule="atLeast"/>
    </w:pPr>
    <w:rPr>
      <w:rFonts w:ascii="FS Lola" w:eastAsiaTheme="minorHAnsi" w:hAnsi="FS Lola" w:cstheme="minorBidi"/>
      <w:color w:val="auto"/>
      <w:lang w:eastAsia="en-US"/>
    </w:rPr>
  </w:style>
  <w:style w:type="table" w:customStyle="1" w:styleId="TableGrid2">
    <w:name w:val="Table Grid2"/>
    <w:basedOn w:val="TableNormal"/>
    <w:next w:val="TableGrid"/>
    <w:rsid w:val="00AB64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B64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2A18D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B04AF"/>
    <w:pPr>
      <w:autoSpaceDE/>
      <w:autoSpaceDN/>
      <w:adjustRightInd/>
      <w:spacing w:before="100" w:beforeAutospacing="1" w:after="100" w:afterAutospacing="1"/>
      <w:jc w:val="left"/>
    </w:pPr>
    <w:rPr>
      <w:rFonts w:ascii="Times New Roman" w:eastAsiaTheme="minorEastAsia" w:hAnsi="Times New Roman" w:cs="Times New Roman"/>
      <w:color w:val="auto"/>
      <w:lang w:eastAsia="en-GB"/>
    </w:rPr>
  </w:style>
  <w:style w:type="paragraph" w:customStyle="1" w:styleId="OutlineNum2">
    <w:name w:val="Outline Num 2"/>
    <w:basedOn w:val="Normal"/>
    <w:link w:val="OutlineNum2Char"/>
    <w:rsid w:val="004D4F0A"/>
    <w:pPr>
      <w:numPr>
        <w:ilvl w:val="1"/>
        <w:numId w:val="27"/>
      </w:numPr>
      <w:autoSpaceDE/>
      <w:autoSpaceDN/>
      <w:adjustRightInd/>
      <w:spacing w:after="240"/>
      <w:jc w:val="left"/>
      <w:outlineLvl w:val="1"/>
    </w:pPr>
    <w:rPr>
      <w:rFonts w:eastAsia="Times New Roman" w:cs="Times New Roman"/>
      <w:color w:val="auto"/>
      <w:sz w:val="22"/>
      <w:szCs w:val="20"/>
      <w:lang w:eastAsia="en-GB"/>
    </w:rPr>
  </w:style>
  <w:style w:type="paragraph" w:customStyle="1" w:styleId="OutlineNum3">
    <w:name w:val="Outline Num 3"/>
    <w:basedOn w:val="Normal"/>
    <w:rsid w:val="004D4F0A"/>
    <w:pPr>
      <w:numPr>
        <w:ilvl w:val="2"/>
        <w:numId w:val="27"/>
      </w:numPr>
      <w:autoSpaceDE/>
      <w:autoSpaceDN/>
      <w:adjustRightInd/>
      <w:spacing w:after="240"/>
      <w:jc w:val="left"/>
      <w:outlineLvl w:val="2"/>
    </w:pPr>
    <w:rPr>
      <w:rFonts w:eastAsia="Times New Roman" w:cs="Times New Roman"/>
      <w:color w:val="auto"/>
      <w:sz w:val="22"/>
      <w:szCs w:val="20"/>
      <w:lang w:eastAsia="en-GB"/>
    </w:rPr>
  </w:style>
  <w:style w:type="character" w:customStyle="1" w:styleId="OutlineNum2Char">
    <w:name w:val="Outline Num 2 Char"/>
    <w:basedOn w:val="DefaultParagraphFont"/>
    <w:link w:val="OutlineNum2"/>
    <w:rsid w:val="004D4F0A"/>
    <w:rPr>
      <w:rFonts w:eastAsia="Times New Roman"/>
      <w:sz w:val="22"/>
    </w:rPr>
  </w:style>
  <w:style w:type="character" w:customStyle="1" w:styleId="TableHeadingTextChar">
    <w:name w:val="Table Heading Text Char"/>
    <w:basedOn w:val="DefaultParagraphFont"/>
    <w:link w:val="TableHeadingText"/>
    <w:rsid w:val="005C6419"/>
    <w:rPr>
      <w:rFonts w:eastAsia="Times New Roman" w:cs="Arial"/>
      <w:b/>
      <w:sz w:val="18"/>
      <w:lang w:eastAsia="en-US"/>
    </w:rPr>
  </w:style>
  <w:style w:type="character" w:customStyle="1" w:styleId="TableTextChar">
    <w:name w:val="Table Text Char"/>
    <w:basedOn w:val="DefaultParagraphFont"/>
    <w:link w:val="TableText"/>
    <w:rsid w:val="005C6419"/>
    <w:rPr>
      <w:rFonts w:eastAsia="Times New Roman" w:cs="Arial"/>
      <w:lang w:eastAsia="en-US"/>
    </w:rPr>
  </w:style>
  <w:style w:type="paragraph" w:customStyle="1" w:styleId="AppendixHeading1">
    <w:name w:val="Appendix Heading 1"/>
    <w:basedOn w:val="Normal"/>
    <w:next w:val="Normal"/>
    <w:rsid w:val="007F277C"/>
    <w:pPr>
      <w:keepNext/>
      <w:numPr>
        <w:ilvl w:val="4"/>
        <w:numId w:val="28"/>
      </w:numPr>
      <w:autoSpaceDE/>
      <w:autoSpaceDN/>
      <w:adjustRightInd/>
      <w:spacing w:after="0" w:line="400" w:lineRule="atLeast"/>
      <w:jc w:val="left"/>
      <w:outlineLvl w:val="4"/>
    </w:pPr>
    <w:rPr>
      <w:rFonts w:eastAsia="Times New Roman" w:cs="Arial"/>
      <w:color w:val="002C77"/>
      <w:sz w:val="36"/>
      <w:szCs w:val="20"/>
    </w:rPr>
  </w:style>
  <w:style w:type="paragraph" w:customStyle="1" w:styleId="AppendixHeading2">
    <w:name w:val="Appendix Heading 2"/>
    <w:basedOn w:val="Normal"/>
    <w:next w:val="Normal"/>
    <w:rsid w:val="007F277C"/>
    <w:pPr>
      <w:keepNext/>
      <w:numPr>
        <w:ilvl w:val="5"/>
        <w:numId w:val="28"/>
      </w:numPr>
      <w:autoSpaceDE/>
      <w:autoSpaceDN/>
      <w:adjustRightInd/>
      <w:spacing w:after="0" w:line="320" w:lineRule="atLeast"/>
      <w:jc w:val="left"/>
      <w:outlineLvl w:val="5"/>
    </w:pPr>
    <w:rPr>
      <w:rFonts w:eastAsia="Times New Roman" w:cs="Arial"/>
      <w:b/>
      <w:color w:val="auto"/>
      <w:sz w:val="28"/>
      <w:szCs w:val="20"/>
    </w:rPr>
  </w:style>
  <w:style w:type="paragraph" w:customStyle="1" w:styleId="AppendixHeading3">
    <w:name w:val="Appendix Heading 3"/>
    <w:basedOn w:val="Normal"/>
    <w:next w:val="Normal"/>
    <w:rsid w:val="007F277C"/>
    <w:pPr>
      <w:keepNext/>
      <w:numPr>
        <w:ilvl w:val="6"/>
        <w:numId w:val="28"/>
      </w:numPr>
      <w:autoSpaceDE/>
      <w:autoSpaceDN/>
      <w:adjustRightInd/>
      <w:spacing w:after="0" w:line="320" w:lineRule="atLeast"/>
      <w:jc w:val="left"/>
      <w:outlineLvl w:val="6"/>
    </w:pPr>
    <w:rPr>
      <w:rFonts w:eastAsia="Times New Roman" w:cs="Arial"/>
      <w:b/>
      <w:i/>
      <w:color w:val="auto"/>
      <w:sz w:val="28"/>
      <w:szCs w:val="20"/>
    </w:rPr>
  </w:style>
  <w:style w:type="paragraph" w:styleId="ListNumber">
    <w:name w:val="List Number"/>
    <w:basedOn w:val="Normal"/>
    <w:rsid w:val="00230743"/>
    <w:pPr>
      <w:numPr>
        <w:ilvl w:val="5"/>
        <w:numId w:val="29"/>
      </w:numPr>
      <w:autoSpaceDE/>
      <w:autoSpaceDN/>
      <w:adjustRightInd/>
      <w:spacing w:after="0" w:line="260" w:lineRule="atLeast"/>
      <w:contextualSpacing/>
      <w:jc w:val="left"/>
      <w:outlineLvl w:val="5"/>
    </w:pPr>
    <w:rPr>
      <w:rFonts w:eastAsia="Times New Roman" w:cs="Arial"/>
      <w:color w:val="auto"/>
      <w:sz w:val="22"/>
      <w:szCs w:val="20"/>
    </w:rPr>
  </w:style>
  <w:style w:type="paragraph" w:styleId="ListNumber2">
    <w:name w:val="List Number 2"/>
    <w:basedOn w:val="Normal"/>
    <w:rsid w:val="00230743"/>
    <w:pPr>
      <w:numPr>
        <w:ilvl w:val="6"/>
        <w:numId w:val="29"/>
      </w:numPr>
      <w:autoSpaceDE/>
      <w:autoSpaceDN/>
      <w:adjustRightInd/>
      <w:spacing w:after="0" w:line="260" w:lineRule="atLeast"/>
      <w:contextualSpacing/>
      <w:jc w:val="left"/>
      <w:outlineLvl w:val="6"/>
    </w:pPr>
    <w:rPr>
      <w:rFonts w:eastAsia="Times New Roman" w:cs="Arial"/>
      <w:color w:val="auto"/>
      <w:sz w:val="22"/>
      <w:szCs w:val="20"/>
    </w:rPr>
  </w:style>
  <w:style w:type="paragraph" w:styleId="ListNumber3">
    <w:name w:val="List Number 3"/>
    <w:basedOn w:val="Normal"/>
    <w:rsid w:val="00230743"/>
    <w:pPr>
      <w:numPr>
        <w:ilvl w:val="7"/>
        <w:numId w:val="29"/>
      </w:numPr>
      <w:autoSpaceDE/>
      <w:autoSpaceDN/>
      <w:adjustRightInd/>
      <w:spacing w:after="0" w:line="260" w:lineRule="atLeast"/>
      <w:contextualSpacing/>
      <w:jc w:val="left"/>
      <w:outlineLvl w:val="7"/>
    </w:pPr>
    <w:rPr>
      <w:rFonts w:eastAsia="Times New Roman" w:cs="Arial"/>
      <w:color w:val="auto"/>
      <w:sz w:val="22"/>
      <w:szCs w:val="20"/>
    </w:rPr>
  </w:style>
  <w:style w:type="paragraph" w:styleId="ListNumber4">
    <w:name w:val="List Number 4"/>
    <w:basedOn w:val="Normal"/>
    <w:rsid w:val="00230743"/>
    <w:pPr>
      <w:numPr>
        <w:ilvl w:val="8"/>
        <w:numId w:val="29"/>
      </w:numPr>
      <w:autoSpaceDE/>
      <w:autoSpaceDN/>
      <w:adjustRightInd/>
      <w:spacing w:after="0" w:line="260" w:lineRule="atLeast"/>
      <w:contextualSpacing/>
      <w:jc w:val="left"/>
      <w:outlineLvl w:val="8"/>
    </w:pPr>
    <w:rPr>
      <w:rFonts w:eastAsia="Times New Roman" w:cs="Arial"/>
      <w:color w:val="auto"/>
      <w:sz w:val="22"/>
      <w:szCs w:val="20"/>
    </w:rPr>
  </w:style>
  <w:style w:type="paragraph" w:customStyle="1" w:styleId="Body">
    <w:name w:val="Body"/>
    <w:rsid w:val="00F775B3"/>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table" w:customStyle="1" w:styleId="TableGrid21">
    <w:name w:val="Table Grid21"/>
    <w:basedOn w:val="TableNormal"/>
    <w:next w:val="TableGrid"/>
    <w:rsid w:val="00E3253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E3253B"/>
    <w:pPr>
      <w:spacing w:after="0" w:line="240" w:lineRule="atLeast"/>
      <w:jc w:val="left"/>
    </w:pPr>
    <w:rPr>
      <w:rFonts w:ascii="Swiss 72 1 BT" w:eastAsiaTheme="minorHAnsi" w:hAnsi="Swiss 72 1 BT" w:cstheme="minorBidi"/>
      <w:color w:val="auto"/>
    </w:rPr>
  </w:style>
  <w:style w:type="table" w:customStyle="1" w:styleId="TableGrid31">
    <w:name w:val="Table Grid31"/>
    <w:basedOn w:val="TableNormal"/>
    <w:next w:val="TableGrid"/>
    <w:rsid w:val="000B10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0B10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1565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07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D7572"/>
  </w:style>
  <w:style w:type="table" w:customStyle="1" w:styleId="TableGrid6">
    <w:name w:val="Table Grid6"/>
    <w:basedOn w:val="TableNormal"/>
    <w:next w:val="TableGrid"/>
    <w:rsid w:val="00CD7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1">
    <w:name w:val="Table List 41"/>
    <w:basedOn w:val="TableNormal"/>
    <w:next w:val="TableList4"/>
    <w:rsid w:val="00CD757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11">
    <w:name w:val="Table Grid11"/>
    <w:basedOn w:val="TableNormal"/>
    <w:next w:val="TableGrid"/>
    <w:rsid w:val="00CD7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Normal"/>
    <w:next w:val="Normal"/>
    <w:rsid w:val="00CD7572"/>
    <w:pPr>
      <w:autoSpaceDE/>
      <w:autoSpaceDN/>
      <w:adjustRightInd/>
      <w:spacing w:after="60"/>
      <w:jc w:val="left"/>
    </w:pPr>
    <w:rPr>
      <w:rFonts w:eastAsia="Times New Roman" w:cs="Arial"/>
      <w:caps/>
      <w:color w:val="auto"/>
      <w:sz w:val="36"/>
      <w:szCs w:val="20"/>
      <w:lang w:val="en-US"/>
    </w:rPr>
  </w:style>
  <w:style w:type="character" w:styleId="CommentReference">
    <w:name w:val="annotation reference"/>
    <w:basedOn w:val="DefaultParagraphFont"/>
    <w:uiPriority w:val="99"/>
    <w:rsid w:val="00CD7572"/>
    <w:rPr>
      <w:sz w:val="16"/>
      <w:szCs w:val="16"/>
    </w:rPr>
  </w:style>
  <w:style w:type="paragraph" w:styleId="CommentSubject">
    <w:name w:val="annotation subject"/>
    <w:basedOn w:val="CommentText"/>
    <w:next w:val="CommentText"/>
    <w:link w:val="CommentSubjectChar"/>
    <w:semiHidden/>
    <w:unhideWhenUsed/>
    <w:rsid w:val="00CD7572"/>
    <w:pPr>
      <w:autoSpaceDE w:val="0"/>
      <w:autoSpaceDN w:val="0"/>
      <w:adjustRightInd w:val="0"/>
      <w:spacing w:after="120"/>
      <w:jc w:val="both"/>
    </w:pPr>
    <w:rPr>
      <w:rFonts w:eastAsia="Calibri" w:cs="Helvetica-Light"/>
      <w:b/>
      <w:bCs/>
      <w:color w:val="000000"/>
      <w:lang w:eastAsia="en-US"/>
    </w:rPr>
  </w:style>
  <w:style w:type="character" w:customStyle="1" w:styleId="CommentSubjectChar">
    <w:name w:val="Comment Subject Char"/>
    <w:basedOn w:val="CommentTextChar"/>
    <w:link w:val="CommentSubject"/>
    <w:semiHidden/>
    <w:rsid w:val="00CD7572"/>
    <w:rPr>
      <w:rFonts w:eastAsia="Calibri" w:cs="Helvetica-Light"/>
      <w:b/>
      <w:bCs/>
      <w:color w:val="00000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microsoft.com/office/2007/relationships/diagramDrawing" Target="diagrams/drawing1.xml"/><Relationship Id="rId26" Type="http://schemas.openxmlformats.org/officeDocument/2006/relationships/chart" Target="charts/chart4.xml"/><Relationship Id="rId39" Type="http://schemas.openxmlformats.org/officeDocument/2006/relationships/hyperlink" Target="https://www.yourpensionservice.org.uk/local_government/index.asp?siteid=5921&amp;pageid=33736&amp;e=e" TargetMode="External"/><Relationship Id="rId21" Type="http://schemas.openxmlformats.org/officeDocument/2006/relationships/hyperlink" Target="http://www.yourpensionservice.org.uk/web/viewdoc.asp?id=72142" TargetMode="External"/><Relationship Id="rId34" Type="http://schemas.openxmlformats.org/officeDocument/2006/relationships/chart" Target="charts/chart12.xml"/><Relationship Id="rId42" Type="http://schemas.openxmlformats.org/officeDocument/2006/relationships/header" Target="header3.xml"/><Relationship Id="rId47" Type="http://schemas.openxmlformats.org/officeDocument/2006/relationships/hyperlink" Target="http://www.yourpensionservice.org.uk/local_government/index.asp?siteid=5921&amp;pageid=46004&amp;e=e" TargetMode="External"/><Relationship Id="rId50" Type="http://schemas.openxmlformats.org/officeDocument/2006/relationships/image" Target="media/image4.jpeg"/><Relationship Id="rId55" Type="http://schemas.openxmlformats.org/officeDocument/2006/relationships/hyperlink" Target="mailto:AskPensions@localpensionspartnership.org.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www.yourpensionservice.org.uk/web/viewdoc.asp?id=64645" TargetMode="External"/><Relationship Id="rId29" Type="http://schemas.openxmlformats.org/officeDocument/2006/relationships/chart" Target="charts/chart7.xml"/><Relationship Id="rId41" Type="http://schemas.openxmlformats.org/officeDocument/2006/relationships/hyperlink" Target="http://www.yourpensionservice.org.uk/local_government/index.asp?siteid=5921&amp;pageid=33736&amp;e=e" TargetMode="External"/><Relationship Id="rId54" Type="http://schemas.openxmlformats.org/officeDocument/2006/relationships/hyperlink" Target="http://www.yourpensionservice.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rpensionservice.org.uk/local_government/?siteid=5921&amp;pageid=33736&amp;e=e" TargetMode="External"/><Relationship Id="rId24" Type="http://schemas.openxmlformats.org/officeDocument/2006/relationships/chart" Target="charts/chart3.xml"/><Relationship Id="rId32" Type="http://schemas.openxmlformats.org/officeDocument/2006/relationships/chart" Target="charts/chart10.xml"/><Relationship Id="rId37" Type="http://schemas.openxmlformats.org/officeDocument/2006/relationships/hyperlink" Target="http://www.yourpensionservice.org.uk/local_government/index.asp?siteid=5921&amp;pageid=33736&amp;e=e" TargetMode="External"/><Relationship Id="rId40" Type="http://schemas.openxmlformats.org/officeDocument/2006/relationships/hyperlink" Target="http://www.yourpensionservice.org.uk/local_government/index.asp?siteid=5921&amp;pageid=33736&amp;e=e" TargetMode="External"/><Relationship Id="rId45" Type="http://schemas.openxmlformats.org/officeDocument/2006/relationships/header" Target="header5.xml"/><Relationship Id="rId53" Type="http://schemas.openxmlformats.org/officeDocument/2006/relationships/header" Target="header7.xml"/><Relationship Id="rId58" Type="http://schemas.openxmlformats.org/officeDocument/2006/relationships/hyperlink" Target="mailto:info@localpensionspartnership.org.uk"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2.png"/><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hyperlink" Target="https://www.yourpensionservice.org.uk/local_government/index.asp?siteid=5921&amp;pageid=33736&amp;e=e" TargetMode="External"/><Relationship Id="rId57" Type="http://schemas.openxmlformats.org/officeDocument/2006/relationships/hyperlink" Target="mailto:abigail.leech@lancashire.gov.uk" TargetMode="Externa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yourpensionservice.org.uk/local_government/index.asp?siteid=5921&amp;pageid=33736&amp;e=e" TargetMode="External"/><Relationship Id="rId31" Type="http://schemas.openxmlformats.org/officeDocument/2006/relationships/chart" Target="charts/chart9.xml"/><Relationship Id="rId44" Type="http://schemas.openxmlformats.org/officeDocument/2006/relationships/footer" Target="footer2.xml"/><Relationship Id="rId52" Type="http://schemas.openxmlformats.org/officeDocument/2006/relationships/footer" Target="footer3.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hyperlink" Target="http://www.yourpensionservice.org.uk"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header" Target="header4.xml"/><Relationship Id="rId48" Type="http://schemas.openxmlformats.org/officeDocument/2006/relationships/hyperlink" Target="http://council.lancashire.gov.uk/ieListMeetings.aspx?CommitteeId=1175" TargetMode="External"/><Relationship Id="rId56" Type="http://schemas.openxmlformats.org/officeDocument/2006/relationships/hyperlink" Target="mailto:AskPensions@localpensionspartnership.org.uk" TargetMode="Externa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diagramColors" Target="diagrams/colors1.xml"/><Relationship Id="rId25" Type="http://schemas.openxmlformats.org/officeDocument/2006/relationships/hyperlink" Target="https://www.yourpensionservice.org.uk/local_government/index.asp?siteid=5921&amp;pageid=33736&amp;e=e" TargetMode="External"/><Relationship Id="rId33" Type="http://schemas.openxmlformats.org/officeDocument/2006/relationships/chart" Target="charts/chart11.xml"/><Relationship Id="rId38" Type="http://schemas.openxmlformats.org/officeDocument/2006/relationships/hyperlink" Target="https://www.yourpensionservice.org.uk/local_government/index.asp?siteid=5921&amp;pageid=33736&amp;e=e" TargetMode="External"/><Relationship Id="rId46" Type="http://schemas.openxmlformats.org/officeDocument/2006/relationships/image" Target="media/image3.png"/><Relationship Id="rId59" Type="http://schemas.openxmlformats.org/officeDocument/2006/relationships/hyperlink" Target="mailto:george.graham@lancashire.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Total membership as at 31 March 2016</a:t>
            </a:r>
          </a:p>
        </c:rich>
      </c:tx>
      <c:layout/>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'2016'!$H$9</c:f>
              <c:strCache>
                <c:ptCount val="1"/>
                <c:pt idx="0">
                  <c:v>Total membership</c:v>
                </c:pt>
              </c:strCache>
            </c:strRef>
          </c:tx>
          <c:spPr>
            <a:solidFill>
              <a:schemeClr val="accent4">
                <a:lumMod val="60000"/>
                <a:lumOff val="40000"/>
              </a:schemeClr>
            </a:solidFill>
          </c:spPr>
          <c:explosion val="25"/>
          <c:dPt>
            <c:idx val="0"/>
            <c:bubble3D val="0"/>
            <c:spPr>
              <a:solidFill>
                <a:srgbClr val="92D050"/>
              </a:solidFill>
            </c:spPr>
          </c:dPt>
          <c:dPt>
            <c:idx val="1"/>
            <c:bubble3D val="0"/>
            <c:spPr>
              <a:solidFill>
                <a:srgbClr val="7030A0"/>
              </a:solidFill>
            </c:spPr>
          </c:dPt>
          <c:cat>
            <c:strRef>
              <c:f>'2016'!$I$8:$J$8</c:f>
              <c:strCache>
                <c:ptCount val="2"/>
                <c:pt idx="0">
                  <c:v>Male</c:v>
                </c:pt>
                <c:pt idx="1">
                  <c:v>Female</c:v>
                </c:pt>
              </c:strCache>
            </c:strRef>
          </c:cat>
          <c:val>
            <c:numRef>
              <c:f>'2016'!$I$9:$J$9</c:f>
              <c:numCache>
                <c:formatCode>#,##0</c:formatCode>
                <c:ptCount val="2"/>
                <c:pt idx="0">
                  <c:v>45573</c:v>
                </c:pt>
                <c:pt idx="1">
                  <c:v>116893</c:v>
                </c:pt>
              </c:numCache>
            </c:numRef>
          </c:val>
        </c:ser>
        <c:dLbls>
          <c:showLegendKey val="0"/>
          <c:showVal val="0"/>
          <c:showCatName val="0"/>
          <c:showSerName val="0"/>
          <c:showPercent val="0"/>
          <c:showBubbleSize val="0"/>
          <c:showLeaderLines val="1"/>
        </c:dLbls>
      </c:pie3DChart>
      <c:spPr>
        <a:noFill/>
        <a:ln w="25400">
          <a:noFill/>
        </a:ln>
      </c:spPr>
    </c:plotArea>
    <c:legend>
      <c:legendPos val="r"/>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r>
              <a:rPr lang="en-US" sz="1400" b="1">
                <a:latin typeface="Arial" panose="020B0604020202020204" pitchFamily="34" charset="0"/>
                <a:cs typeface="Arial" panose="020B0604020202020204" pitchFamily="34" charset="0"/>
              </a:rPr>
              <a:t>Emerging markets local currency debt</a:t>
            </a:r>
          </a:p>
        </c:rich>
      </c:tx>
      <c:layout>
        <c:manualLayout>
          <c:xMode val="edge"/>
          <c:yMode val="edge"/>
          <c:x val="0.24415757066326144"/>
          <c:y val="3.5306225019744876E-2"/>
        </c:manualLayout>
      </c:layout>
      <c:overlay val="0"/>
      <c:spPr>
        <a:noFill/>
        <a:ln>
          <a:noFill/>
        </a:ln>
      </c:spPr>
    </c:title>
    <c:autoTitleDeleted val="0"/>
    <c:plotArea>
      <c:layout>
        <c:manualLayout>
          <c:layoutTarget val="inner"/>
          <c:xMode val="edge"/>
          <c:yMode val="edge"/>
          <c:x val="2.6636615100911792E-2"/>
          <c:y val="0.1319704185912931"/>
          <c:w val="0.95492265136768772"/>
          <c:h val="0.74137643208075255"/>
        </c:manualLayout>
      </c:layout>
      <c:barChart>
        <c:barDir val="col"/>
        <c:grouping val="clustered"/>
        <c:varyColors val="0"/>
        <c:ser>
          <c:idx val="0"/>
          <c:order val="0"/>
          <c:tx>
            <c:strRef>
              <c:f>'March 2016'!$C$186:$C$188</c:f>
              <c:strCache>
                <c:ptCount val="3"/>
                <c:pt idx="0">
                  <c:v>Emerging markets local currency debt</c:v>
                </c:pt>
              </c:strCache>
            </c:strRef>
          </c:tx>
          <c:spPr>
            <a:solidFill>
              <a:srgbClr val="8233D9"/>
            </a:solidFill>
            <a:ln>
              <a:noFill/>
            </a:ln>
            <a:effectLst>
              <a:outerShdw blurRad="76200" dir="18900000" sy="23000" kx="-1200000" algn="bl" rotWithShape="0">
                <a:prstClr val="black">
                  <a:alpha val="20000"/>
                </a:prstClr>
              </a:outerShdw>
            </a:effectLst>
          </c:spPr>
          <c:invertIfNegative val="0"/>
          <c:dPt>
            <c:idx val="0"/>
            <c:invertIfNegative val="0"/>
            <c:bubble3D val="0"/>
          </c:dPt>
          <c:dPt>
            <c:idx val="1"/>
            <c:invertIfNegative val="0"/>
            <c:bubble3D val="0"/>
            <c:spPr>
              <a:solidFill>
                <a:srgbClr val="00FF00"/>
              </a:solidFill>
              <a:ln>
                <a:noFill/>
              </a:ln>
              <a:effectLst>
                <a:outerShdw blurRad="76200" dir="18900000" sy="23000" kx="-1200000" algn="bl" rotWithShape="0">
                  <a:prstClr val="black">
                    <a:alpha val="20000"/>
                  </a:prstClr>
                </a:outerShdw>
              </a:effectLst>
            </c:spPr>
          </c:dPt>
          <c:dPt>
            <c:idx val="2"/>
            <c:invertIfNegative val="0"/>
            <c:bubble3D val="0"/>
          </c:dPt>
          <c:dPt>
            <c:idx val="3"/>
            <c:invertIfNegative val="0"/>
            <c:bubble3D val="0"/>
            <c:spPr>
              <a:solidFill>
                <a:srgbClr val="00FF00"/>
              </a:solidFill>
              <a:ln>
                <a:noFill/>
              </a:ln>
              <a:effectLst>
                <a:outerShdw blurRad="76200" dir="18900000" sy="23000" kx="-1200000" algn="bl" rotWithShape="0">
                  <a:prstClr val="black">
                    <a:alpha val="20000"/>
                  </a:prstClr>
                </a:outerShdw>
              </a:effectLst>
            </c:spPr>
          </c:dPt>
          <c:dLbls>
            <c:dLbl>
              <c:idx val="0"/>
              <c:spPr>
                <a:noFill/>
                <a:ln>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dLbl>
            <c:dLbl>
              <c:idx val="2"/>
              <c:spPr>
                <a:noFill/>
                <a:ln>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dLbl>
            <c:spPr>
              <a:noFill/>
              <a:ln>
                <a:noFill/>
              </a:ln>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multiLvlStrRef>
              <c:f>'March 2016'!$A$189:$B$211</c:f>
              <c:multiLvlStrCache>
                <c:ptCount val="4"/>
                <c:lvl>
                  <c:pt idx="0">
                    <c:v>Absolute</c:v>
                  </c:pt>
                  <c:pt idx="1">
                    <c:v>Benchmark</c:v>
                  </c:pt>
                  <c:pt idx="2">
                    <c:v>Absolute</c:v>
                  </c:pt>
                  <c:pt idx="3">
                    <c:v>Benchmark</c:v>
                  </c:pt>
                </c:lvl>
                <c:lvl>
                  <c:pt idx="0">
                    <c:v>12 months % p.a.</c:v>
                  </c:pt>
                  <c:pt idx="2">
                    <c:v>Inception % p.a.</c:v>
                  </c:pt>
                </c:lvl>
              </c:multiLvlStrCache>
            </c:multiLvlStrRef>
          </c:cat>
          <c:val>
            <c:numRef>
              <c:f>'March 2016'!$C$189:$C$211</c:f>
              <c:numCache>
                <c:formatCode>0.00_ ;[Red]\-0.00\ </c:formatCode>
                <c:ptCount val="4"/>
                <c:pt idx="0">
                  <c:v>0.28999999999999998</c:v>
                </c:pt>
                <c:pt idx="1">
                  <c:v>1.58</c:v>
                </c:pt>
                <c:pt idx="2">
                  <c:v>0.55000000000000004</c:v>
                </c:pt>
                <c:pt idx="3">
                  <c:v>1.1599999999999999</c:v>
                </c:pt>
              </c:numCache>
            </c:numRef>
          </c:val>
        </c:ser>
        <c:dLbls>
          <c:dLblPos val="inEnd"/>
          <c:showLegendKey val="0"/>
          <c:showVal val="1"/>
          <c:showCatName val="0"/>
          <c:showSerName val="0"/>
          <c:showPercent val="0"/>
          <c:showBubbleSize val="0"/>
        </c:dLbls>
        <c:gapWidth val="41"/>
        <c:axId val="298069928"/>
        <c:axId val="298070320"/>
      </c:barChart>
      <c:catAx>
        <c:axId val="298069928"/>
        <c:scaling>
          <c:orientation val="minMax"/>
        </c:scaling>
        <c:delete val="0"/>
        <c:axPos val="b"/>
        <c:numFmt formatCode="General" sourceLinked="1"/>
        <c:majorTickMark val="none"/>
        <c:minorTickMark val="none"/>
        <c:tickLblPos val="nextTo"/>
        <c:spPr>
          <a:noFill/>
          <a:ln>
            <a:noFill/>
          </a:ln>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298070320"/>
        <c:crosses val="autoZero"/>
        <c:auto val="1"/>
        <c:lblAlgn val="ctr"/>
        <c:lblOffset val="100"/>
        <c:noMultiLvlLbl val="0"/>
      </c:catAx>
      <c:valAx>
        <c:axId val="298070320"/>
        <c:scaling>
          <c:orientation val="minMax"/>
          <c:max val="2"/>
          <c:min val="0"/>
        </c:scaling>
        <c:delete val="1"/>
        <c:axPos val="l"/>
        <c:numFmt formatCode="0.00_ ;[Red]\-0.00\ " sourceLinked="1"/>
        <c:majorTickMark val="none"/>
        <c:minorTickMark val="none"/>
        <c:tickLblPos val="nextTo"/>
        <c:crossAx val="298069928"/>
        <c:crosses val="autoZero"/>
        <c:crossBetween val="between"/>
        <c:majorUnit val="0.5"/>
      </c:valAx>
      <c:spPr>
        <a:noFill/>
        <a:ln>
          <a:noFill/>
        </a:ln>
      </c:spPr>
    </c:plotArea>
    <c:plotVisOnly val="1"/>
    <c:dispBlanksAs val="gap"/>
    <c:showDLblsOverMax val="0"/>
  </c:chart>
  <c:spPr>
    <a:gradFill rotWithShape="1">
      <a:gsLst>
        <a:gs pos="0">
          <a:schemeClr val="lt1"/>
        </a:gs>
        <a:gs pos="68000">
          <a:schemeClr val="lt1">
            <a:lumMod val="85000"/>
          </a:schemeClr>
        </a:gs>
        <a:gs pos="100000">
          <a:schemeClr val="lt1"/>
        </a:gs>
      </a:gsLst>
      <a:lin ang="5400000" scaled="1"/>
    </a:gradFill>
    <a:ln w="9525">
      <a:solidFill>
        <a:schemeClr val="dk1">
          <a:lumMod val="15000"/>
          <a:lumOff val="85000"/>
        </a:schemeClr>
      </a:solidFill>
      <a:round/>
    </a:ln>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r>
              <a:rPr lang="en-US" sz="1400" b="1">
                <a:latin typeface="Arial" panose="020B0604020202020204" pitchFamily="34" charset="0"/>
                <a:cs typeface="Arial" panose="020B0604020202020204" pitchFamily="34" charset="0"/>
              </a:rPr>
              <a:t>Senior secured loans</a:t>
            </a:r>
          </a:p>
        </c:rich>
      </c:tx>
      <c:layout>
        <c:manualLayout>
          <c:xMode val="edge"/>
          <c:yMode val="edge"/>
          <c:x val="0.354317272032109"/>
          <c:y val="8.4224601997591089E-2"/>
        </c:manualLayout>
      </c:layout>
      <c:overlay val="0"/>
      <c:spPr>
        <a:noFill/>
        <a:ln>
          <a:noFill/>
        </a:ln>
      </c:spPr>
    </c:title>
    <c:autoTitleDeleted val="0"/>
    <c:plotArea>
      <c:layout/>
      <c:barChart>
        <c:barDir val="col"/>
        <c:grouping val="clustered"/>
        <c:varyColors val="0"/>
        <c:ser>
          <c:idx val="3"/>
          <c:order val="0"/>
          <c:tx>
            <c:strRef>
              <c:f>'March 2016'!$F$186:$F$188</c:f>
              <c:strCache>
                <c:ptCount val="3"/>
                <c:pt idx="0">
                  <c:v>Senior Secured loans</c:v>
                </c:pt>
              </c:strCache>
            </c:strRef>
          </c:tx>
          <c:spPr>
            <a:gradFill rotWithShape="0">
              <a:gsLst>
                <a:gs pos="0">
                  <a:schemeClr val="accent4"/>
                </a:gs>
                <a:gs pos="100000">
                  <a:schemeClr val="accent4">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solidFill>
                <a:srgbClr val="8233D9"/>
              </a:solidFill>
              <a:ln>
                <a:noFill/>
              </a:ln>
              <a:effectLst>
                <a:outerShdw blurRad="76200" dir="18900000" sy="23000" kx="-1200000" algn="bl" rotWithShape="0">
                  <a:prstClr val="black">
                    <a:alpha val="20000"/>
                  </a:prstClr>
                </a:outerShdw>
              </a:effectLst>
            </c:spPr>
          </c:dPt>
          <c:dPt>
            <c:idx val="1"/>
            <c:invertIfNegative val="0"/>
            <c:bubble3D val="0"/>
            <c:spPr>
              <a:solidFill>
                <a:srgbClr val="00FF00"/>
              </a:solidFill>
              <a:ln>
                <a:noFill/>
              </a:ln>
              <a:effectLst>
                <a:outerShdw blurRad="76200" dir="18900000" sy="23000" kx="-1200000" algn="bl" rotWithShape="0">
                  <a:prstClr val="black">
                    <a:alpha val="20000"/>
                  </a:prstClr>
                </a:outerShdw>
              </a:effectLst>
            </c:spPr>
          </c:dPt>
          <c:dPt>
            <c:idx val="2"/>
            <c:invertIfNegative val="0"/>
            <c:bubble3D val="0"/>
            <c:spPr>
              <a:solidFill>
                <a:srgbClr val="8233D9"/>
              </a:solidFill>
              <a:ln>
                <a:noFill/>
              </a:ln>
              <a:effectLst>
                <a:outerShdw blurRad="76200" dir="18900000" sy="23000" kx="-1200000" algn="bl" rotWithShape="0">
                  <a:prstClr val="black">
                    <a:alpha val="20000"/>
                  </a:prstClr>
                </a:outerShdw>
              </a:effectLst>
            </c:spPr>
          </c:dPt>
          <c:dPt>
            <c:idx val="3"/>
            <c:invertIfNegative val="0"/>
            <c:bubble3D val="0"/>
            <c:spPr>
              <a:solidFill>
                <a:srgbClr val="00FF00"/>
              </a:solidFill>
              <a:ln>
                <a:noFill/>
              </a:ln>
              <a:effectLst>
                <a:outerShdw blurRad="76200" dir="18900000" sy="23000" kx="-1200000" algn="bl" rotWithShape="0">
                  <a:prstClr val="black">
                    <a:alpha val="20000"/>
                  </a:prstClr>
                </a:outerShdw>
              </a:effectLst>
            </c:spPr>
          </c:dPt>
          <c:dLbls>
            <c:dLbl>
              <c:idx val="1"/>
              <c:spPr>
                <a:noFill/>
                <a:ln>
                  <a:noFill/>
                </a:ln>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dLbl>
            <c:dLbl>
              <c:idx val="3"/>
              <c:spPr>
                <a:noFill/>
                <a:ln>
                  <a:noFill/>
                </a:ln>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dLbl>
            <c:spPr>
              <a:noFill/>
              <a:ln>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multiLvlStrRef>
              <c:f>'March 2016'!$A$189:$B$211</c:f>
              <c:multiLvlStrCache>
                <c:ptCount val="4"/>
                <c:lvl>
                  <c:pt idx="0">
                    <c:v>Absolute</c:v>
                  </c:pt>
                  <c:pt idx="1">
                    <c:v>Benchmark</c:v>
                  </c:pt>
                  <c:pt idx="2">
                    <c:v>Absolute</c:v>
                  </c:pt>
                  <c:pt idx="3">
                    <c:v>Benchmark</c:v>
                  </c:pt>
                </c:lvl>
                <c:lvl>
                  <c:pt idx="0">
                    <c:v>12 months % p.a.</c:v>
                  </c:pt>
                  <c:pt idx="2">
                    <c:v>Inception % p.a.</c:v>
                  </c:pt>
                </c:lvl>
              </c:multiLvlStrCache>
            </c:multiLvlStrRef>
          </c:cat>
          <c:val>
            <c:numRef>
              <c:f>'March 2016'!$F$189:$F$211</c:f>
              <c:numCache>
                <c:formatCode>0.00_ ;[Red]\-0.00\ </c:formatCode>
                <c:ptCount val="4"/>
                <c:pt idx="0">
                  <c:v>6.2</c:v>
                </c:pt>
                <c:pt idx="1">
                  <c:v>5.05</c:v>
                </c:pt>
                <c:pt idx="2">
                  <c:v>8.52</c:v>
                </c:pt>
                <c:pt idx="3">
                  <c:v>5.05</c:v>
                </c:pt>
              </c:numCache>
            </c:numRef>
          </c:val>
        </c:ser>
        <c:dLbls>
          <c:dLblPos val="inEnd"/>
          <c:showLegendKey val="0"/>
          <c:showVal val="1"/>
          <c:showCatName val="0"/>
          <c:showSerName val="0"/>
          <c:showPercent val="0"/>
          <c:showBubbleSize val="0"/>
        </c:dLbls>
        <c:gapWidth val="41"/>
        <c:axId val="298071104"/>
        <c:axId val="298071496"/>
      </c:barChart>
      <c:catAx>
        <c:axId val="298071104"/>
        <c:scaling>
          <c:orientation val="minMax"/>
        </c:scaling>
        <c:delete val="0"/>
        <c:axPos val="b"/>
        <c:numFmt formatCode="General" sourceLinked="1"/>
        <c:majorTickMark val="none"/>
        <c:minorTickMark val="none"/>
        <c:tickLblPos val="nextTo"/>
        <c:spPr>
          <a:noFill/>
          <a:ln>
            <a:noFill/>
          </a:ln>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298071496"/>
        <c:crosses val="autoZero"/>
        <c:auto val="1"/>
        <c:lblAlgn val="ctr"/>
        <c:lblOffset val="100"/>
        <c:noMultiLvlLbl val="0"/>
      </c:catAx>
      <c:valAx>
        <c:axId val="298071496"/>
        <c:scaling>
          <c:orientation val="minMax"/>
          <c:max val="10"/>
          <c:min val="0"/>
        </c:scaling>
        <c:delete val="1"/>
        <c:axPos val="l"/>
        <c:numFmt formatCode="0.00_ ;[Red]\-0.00\ " sourceLinked="1"/>
        <c:majorTickMark val="none"/>
        <c:minorTickMark val="none"/>
        <c:tickLblPos val="nextTo"/>
        <c:crossAx val="298071104"/>
        <c:crosses val="autoZero"/>
        <c:crossBetween val="between"/>
        <c:majorUnit val="2"/>
      </c:valAx>
      <c:spPr>
        <a:noFill/>
        <a:ln>
          <a:noFill/>
        </a:ln>
      </c:spPr>
    </c:plotArea>
    <c:plotVisOnly val="1"/>
    <c:dispBlanksAs val="gap"/>
    <c:showDLblsOverMax val="0"/>
  </c:chart>
  <c:spPr>
    <a:gradFill rotWithShape="1">
      <a:gsLst>
        <a:gs pos="0">
          <a:schemeClr val="lt1"/>
        </a:gs>
        <a:gs pos="68000">
          <a:schemeClr val="lt1">
            <a:lumMod val="85000"/>
          </a:schemeClr>
        </a:gs>
        <a:gs pos="100000">
          <a:schemeClr val="lt1"/>
        </a:gs>
      </a:gsLst>
      <a:lin ang="5400000" scaled="1"/>
    </a:gradFill>
    <a:ln w="9525">
      <a:solidFill>
        <a:schemeClr val="dk1">
          <a:lumMod val="15000"/>
          <a:lumOff val="85000"/>
        </a:schemeClr>
      </a:solidFill>
      <a:round/>
    </a:ln>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r>
              <a:rPr lang="en-US" sz="1600">
                <a:latin typeface="Arial" panose="020B0604020202020204" pitchFamily="34" charset="0"/>
                <a:cs typeface="Arial" panose="020B0604020202020204" pitchFamily="34" charset="0"/>
              </a:rPr>
              <a:t>Credit opportunities</a:t>
            </a:r>
          </a:p>
        </c:rich>
      </c:tx>
      <c:layout/>
      <c:overlay val="0"/>
      <c:spPr>
        <a:noFill/>
        <a:ln>
          <a:noFill/>
        </a:ln>
      </c:spPr>
    </c:title>
    <c:autoTitleDeleted val="0"/>
    <c:plotArea>
      <c:layout>
        <c:manualLayout>
          <c:layoutTarget val="inner"/>
          <c:xMode val="edge"/>
          <c:yMode val="edge"/>
          <c:x val="1.1691348402182385E-2"/>
          <c:y val="0.1123032904148784"/>
          <c:w val="0.9571317225253313"/>
          <c:h val="0.69167821297015986"/>
        </c:manualLayout>
      </c:layout>
      <c:barChart>
        <c:barDir val="col"/>
        <c:grouping val="clustered"/>
        <c:varyColors val="0"/>
        <c:ser>
          <c:idx val="1"/>
          <c:order val="0"/>
          <c:tx>
            <c:strRef>
              <c:f>'March 2016'!$D$186:$D$188</c:f>
              <c:strCache>
                <c:ptCount val="3"/>
                <c:pt idx="0">
                  <c:v>Impaired credit and regulatory</c:v>
                </c:pt>
              </c:strCache>
            </c:strRef>
          </c:tx>
          <c:spPr>
            <a:solidFill>
              <a:srgbClr val="7030A0"/>
            </a:solidFill>
            <a:ln>
              <a:noFill/>
            </a:ln>
            <a:effectLst>
              <a:outerShdw blurRad="76200" dir="18900000" sy="23000" kx="-1200000" algn="bl" rotWithShape="0">
                <a:prstClr val="black">
                  <a:alpha val="20000"/>
                </a:prstClr>
              </a:outerShdw>
            </a:effectLst>
          </c:spPr>
          <c:invertIfNegative val="0"/>
          <c:dPt>
            <c:idx val="0"/>
            <c:invertIfNegative val="0"/>
            <c:bubble3D val="0"/>
            <c:spPr>
              <a:solidFill>
                <a:srgbClr val="8C3FC5"/>
              </a:solidFill>
              <a:ln>
                <a:noFill/>
              </a:ln>
              <a:effectLst>
                <a:outerShdw blurRad="76200" dir="18900000" sy="23000" kx="-1200000" algn="bl" rotWithShape="0">
                  <a:prstClr val="black">
                    <a:alpha val="20000"/>
                  </a:prstClr>
                </a:outerShdw>
              </a:effectLst>
            </c:spPr>
          </c:dPt>
          <c:dPt>
            <c:idx val="1"/>
            <c:invertIfNegative val="0"/>
            <c:bubble3D val="0"/>
            <c:spPr>
              <a:solidFill>
                <a:srgbClr val="51DA46"/>
              </a:solidFill>
              <a:ln>
                <a:noFill/>
              </a:ln>
              <a:effectLst>
                <a:outerShdw blurRad="76200" dir="18900000" sy="23000" kx="-1200000" algn="bl" rotWithShape="0">
                  <a:prstClr val="black">
                    <a:alpha val="20000"/>
                  </a:prstClr>
                </a:outerShdw>
              </a:effectLst>
            </c:spPr>
          </c:dPt>
          <c:dPt>
            <c:idx val="2"/>
            <c:invertIfNegative val="0"/>
            <c:bubble3D val="0"/>
            <c:spPr>
              <a:solidFill>
                <a:srgbClr val="8C3FC5"/>
              </a:solidFill>
              <a:ln>
                <a:noFill/>
              </a:ln>
              <a:effectLst>
                <a:outerShdw blurRad="76200" dir="18900000" sy="23000" kx="-1200000" algn="bl" rotWithShape="0">
                  <a:prstClr val="black">
                    <a:alpha val="20000"/>
                  </a:prstClr>
                </a:outerShdw>
              </a:effectLst>
            </c:spPr>
          </c:dPt>
          <c:dPt>
            <c:idx val="3"/>
            <c:invertIfNegative val="0"/>
            <c:bubble3D val="0"/>
            <c:spPr>
              <a:solidFill>
                <a:srgbClr val="51DA46"/>
              </a:solidFill>
              <a:ln>
                <a:noFill/>
              </a:ln>
              <a:effectLst>
                <a:outerShdw blurRad="76200" dir="18900000" sy="23000" kx="-1200000" algn="bl" rotWithShape="0">
                  <a:prstClr val="black">
                    <a:alpha val="20000"/>
                  </a:prstClr>
                </a:outerShdw>
              </a:effectLst>
            </c:spPr>
          </c:dPt>
          <c:dLbls>
            <c:dLbl>
              <c:idx val="1"/>
              <c:spPr>
                <a:noFill/>
                <a:ln>
                  <a:noFill/>
                </a:ln>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dLbl>
            <c:dLbl>
              <c:idx val="3"/>
              <c:spPr>
                <a:noFill/>
                <a:ln>
                  <a:noFill/>
                </a:ln>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dLbl>
            <c:spPr>
              <a:noFill/>
              <a:ln>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multiLvlStrRef>
              <c:f>'March 2016'!$A$189:$B$211</c:f>
              <c:multiLvlStrCache>
                <c:ptCount val="4"/>
                <c:lvl>
                  <c:pt idx="0">
                    <c:v>Absolute</c:v>
                  </c:pt>
                  <c:pt idx="1">
                    <c:v>Benchmark</c:v>
                  </c:pt>
                  <c:pt idx="2">
                    <c:v>Absolute</c:v>
                  </c:pt>
                  <c:pt idx="3">
                    <c:v>Benchmark</c:v>
                  </c:pt>
                </c:lvl>
                <c:lvl>
                  <c:pt idx="0">
                    <c:v>12 months % p.a.</c:v>
                  </c:pt>
                  <c:pt idx="2">
                    <c:v>Inception % p.a.</c:v>
                  </c:pt>
                </c:lvl>
              </c:multiLvlStrCache>
            </c:multiLvlStrRef>
          </c:cat>
          <c:val>
            <c:numRef>
              <c:f>'March 2016'!$D$189:$D$211</c:f>
              <c:numCache>
                <c:formatCode>0.00_ ;[Red]\-0.00\ </c:formatCode>
                <c:ptCount val="4"/>
                <c:pt idx="0">
                  <c:v>7.21</c:v>
                </c:pt>
                <c:pt idx="1">
                  <c:v>7</c:v>
                </c:pt>
                <c:pt idx="2">
                  <c:v>9.36</c:v>
                </c:pt>
                <c:pt idx="3">
                  <c:v>7</c:v>
                </c:pt>
              </c:numCache>
            </c:numRef>
          </c:val>
        </c:ser>
        <c:dLbls>
          <c:dLblPos val="inEnd"/>
          <c:showLegendKey val="0"/>
          <c:showVal val="1"/>
          <c:showCatName val="0"/>
          <c:showSerName val="0"/>
          <c:showPercent val="0"/>
          <c:showBubbleSize val="0"/>
        </c:dLbls>
        <c:gapWidth val="41"/>
        <c:axId val="298817864"/>
        <c:axId val="298818256"/>
      </c:barChart>
      <c:catAx>
        <c:axId val="298817864"/>
        <c:scaling>
          <c:orientation val="minMax"/>
        </c:scaling>
        <c:delete val="0"/>
        <c:axPos val="b"/>
        <c:numFmt formatCode="General" sourceLinked="1"/>
        <c:majorTickMark val="none"/>
        <c:minorTickMark val="none"/>
        <c:tickLblPos val="nextTo"/>
        <c:spPr>
          <a:noFill/>
          <a:ln>
            <a:noFill/>
          </a:ln>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298818256"/>
        <c:crosses val="autoZero"/>
        <c:auto val="1"/>
        <c:lblAlgn val="ctr"/>
        <c:lblOffset val="100"/>
        <c:noMultiLvlLbl val="0"/>
      </c:catAx>
      <c:valAx>
        <c:axId val="298818256"/>
        <c:scaling>
          <c:orientation val="minMax"/>
        </c:scaling>
        <c:delete val="1"/>
        <c:axPos val="l"/>
        <c:numFmt formatCode="0.00_ ;[Red]\-0.00\ " sourceLinked="1"/>
        <c:majorTickMark val="none"/>
        <c:minorTickMark val="none"/>
        <c:tickLblPos val="nextTo"/>
        <c:crossAx val="298817864"/>
        <c:crosses val="autoZero"/>
        <c:crossBetween val="between"/>
        <c:majorUnit val="2"/>
      </c:valAx>
      <c:spPr>
        <a:noFill/>
        <a:ln>
          <a:noFill/>
        </a:ln>
      </c:spPr>
    </c:plotArea>
    <c:plotVisOnly val="1"/>
    <c:dispBlanksAs val="gap"/>
    <c:showDLblsOverMax val="0"/>
  </c:chart>
  <c:spPr>
    <a:gradFill rotWithShape="1">
      <a:gsLst>
        <a:gs pos="0">
          <a:schemeClr val="lt1"/>
        </a:gs>
        <a:gs pos="68000">
          <a:schemeClr val="lt1">
            <a:lumMod val="85000"/>
          </a:schemeClr>
        </a:gs>
        <a:gs pos="100000">
          <a:schemeClr val="lt1"/>
        </a:gs>
      </a:gsLst>
      <a:lin ang="5400000" scaled="1"/>
    </a:gradFill>
    <a:ln w="9525">
      <a:solidFill>
        <a:schemeClr val="dk1">
          <a:lumMod val="15000"/>
          <a:lumOff val="85000"/>
        </a:schemeClr>
      </a:solidFill>
      <a:round/>
    </a:ln>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r>
              <a:rPr lang="en-US" sz="1600">
                <a:latin typeface="Arial" panose="020B0604020202020204" pitchFamily="34" charset="0"/>
                <a:cs typeface="Arial" panose="020B0604020202020204" pitchFamily="34" charset="0"/>
              </a:rPr>
              <a:t>Loans secured on real assets</a:t>
            </a:r>
          </a:p>
        </c:rich>
      </c:tx>
      <c:layout/>
      <c:overlay val="0"/>
      <c:spPr>
        <a:noFill/>
        <a:ln>
          <a:noFill/>
        </a:ln>
      </c:spPr>
    </c:title>
    <c:autoTitleDeleted val="0"/>
    <c:plotArea>
      <c:layout/>
      <c:barChart>
        <c:barDir val="col"/>
        <c:grouping val="clustered"/>
        <c:varyColors val="0"/>
        <c:ser>
          <c:idx val="2"/>
          <c:order val="0"/>
          <c:tx>
            <c:strRef>
              <c:f>'March 2016'!$E$186:$E$188</c:f>
              <c:strCache>
                <c:ptCount val="3"/>
                <c:pt idx="0">
                  <c:v>Long dated secured lending</c:v>
                </c:pt>
              </c:strCache>
            </c:strRef>
          </c:tx>
          <c:spPr>
            <a:gradFill rotWithShape="0">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solidFill>
                <a:srgbClr val="8C3FC5"/>
              </a:solidFill>
              <a:ln>
                <a:noFill/>
              </a:ln>
              <a:effectLst>
                <a:outerShdw blurRad="76200" dir="18900000" sy="23000" kx="-1200000" algn="bl" rotWithShape="0">
                  <a:prstClr val="black">
                    <a:alpha val="20000"/>
                  </a:prstClr>
                </a:outerShdw>
              </a:effectLst>
            </c:spPr>
          </c:dPt>
          <c:dPt>
            <c:idx val="1"/>
            <c:invertIfNegative val="0"/>
            <c:bubble3D val="0"/>
            <c:spPr>
              <a:solidFill>
                <a:srgbClr val="51DA46"/>
              </a:solidFill>
              <a:ln>
                <a:noFill/>
              </a:ln>
              <a:effectLst>
                <a:outerShdw blurRad="76200" dir="18900000" sy="23000" kx="-1200000" algn="bl" rotWithShape="0">
                  <a:prstClr val="black">
                    <a:alpha val="20000"/>
                  </a:prstClr>
                </a:outerShdw>
              </a:effectLst>
            </c:spPr>
          </c:dPt>
          <c:dPt>
            <c:idx val="2"/>
            <c:invertIfNegative val="0"/>
            <c:bubble3D val="0"/>
            <c:spPr>
              <a:solidFill>
                <a:srgbClr val="8C3FC5"/>
              </a:solidFill>
              <a:ln>
                <a:noFill/>
              </a:ln>
              <a:effectLst>
                <a:outerShdw blurRad="76200" dir="18900000" sy="23000" kx="-1200000" algn="bl" rotWithShape="0">
                  <a:prstClr val="black">
                    <a:alpha val="20000"/>
                  </a:prstClr>
                </a:outerShdw>
              </a:effectLst>
            </c:spPr>
          </c:dPt>
          <c:dPt>
            <c:idx val="3"/>
            <c:invertIfNegative val="0"/>
            <c:bubble3D val="0"/>
            <c:spPr>
              <a:solidFill>
                <a:srgbClr val="51DA46"/>
              </a:solidFill>
              <a:ln>
                <a:noFill/>
              </a:ln>
              <a:effectLst>
                <a:outerShdw blurRad="76200" dir="18900000" sy="23000" kx="-1200000" algn="bl" rotWithShape="0">
                  <a:prstClr val="black">
                    <a:alpha val="20000"/>
                  </a:prstClr>
                </a:outerShdw>
              </a:effectLst>
            </c:spPr>
          </c:dPt>
          <c:dLbls>
            <c:dLbl>
              <c:idx val="1"/>
              <c:spPr>
                <a:noFill/>
                <a:ln>
                  <a:noFill/>
                </a:ln>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dLbl>
            <c:dLbl>
              <c:idx val="3"/>
              <c:spPr>
                <a:noFill/>
                <a:ln>
                  <a:noFill/>
                </a:ln>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dLbl>
            <c:spPr>
              <a:noFill/>
              <a:ln>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multiLvlStrRef>
              <c:f>'March 2016'!$A$189:$B$211</c:f>
              <c:multiLvlStrCache>
                <c:ptCount val="4"/>
                <c:lvl>
                  <c:pt idx="0">
                    <c:v>Absolute</c:v>
                  </c:pt>
                  <c:pt idx="1">
                    <c:v>Benchmark</c:v>
                  </c:pt>
                  <c:pt idx="2">
                    <c:v>Absolute</c:v>
                  </c:pt>
                  <c:pt idx="3">
                    <c:v>Benchmark</c:v>
                  </c:pt>
                </c:lvl>
                <c:lvl>
                  <c:pt idx="0">
                    <c:v>12 months % p.a.</c:v>
                  </c:pt>
                  <c:pt idx="2">
                    <c:v>Inception % p.a.</c:v>
                  </c:pt>
                </c:lvl>
              </c:multiLvlStrCache>
            </c:multiLvlStrRef>
          </c:cat>
          <c:val>
            <c:numRef>
              <c:f>'March 2016'!$E$189:$E$211</c:f>
              <c:numCache>
                <c:formatCode>0.00_ ;[Red]\-0.00\ </c:formatCode>
                <c:ptCount val="4"/>
                <c:pt idx="0">
                  <c:v>7.35</c:v>
                </c:pt>
                <c:pt idx="1">
                  <c:v>3.06</c:v>
                </c:pt>
                <c:pt idx="2">
                  <c:v>11.03</c:v>
                </c:pt>
                <c:pt idx="3">
                  <c:v>3.24</c:v>
                </c:pt>
              </c:numCache>
            </c:numRef>
          </c:val>
        </c:ser>
        <c:dLbls>
          <c:dLblPos val="inEnd"/>
          <c:showLegendKey val="0"/>
          <c:showVal val="1"/>
          <c:showCatName val="0"/>
          <c:showSerName val="0"/>
          <c:showPercent val="0"/>
          <c:showBubbleSize val="0"/>
        </c:dLbls>
        <c:gapWidth val="41"/>
        <c:axId val="298819040"/>
        <c:axId val="298819432"/>
      </c:barChart>
      <c:catAx>
        <c:axId val="298819040"/>
        <c:scaling>
          <c:orientation val="minMax"/>
        </c:scaling>
        <c:delete val="0"/>
        <c:axPos val="b"/>
        <c:numFmt formatCode="General" sourceLinked="1"/>
        <c:majorTickMark val="none"/>
        <c:minorTickMark val="none"/>
        <c:tickLblPos val="nextTo"/>
        <c:spPr>
          <a:noFill/>
          <a:ln>
            <a:noFill/>
          </a:ln>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298819432"/>
        <c:crosses val="autoZero"/>
        <c:auto val="1"/>
        <c:lblAlgn val="ctr"/>
        <c:lblOffset val="100"/>
        <c:noMultiLvlLbl val="0"/>
      </c:catAx>
      <c:valAx>
        <c:axId val="298819432"/>
        <c:scaling>
          <c:orientation val="minMax"/>
        </c:scaling>
        <c:delete val="1"/>
        <c:axPos val="l"/>
        <c:numFmt formatCode="0.00_ ;[Red]\-0.00\ " sourceLinked="1"/>
        <c:majorTickMark val="none"/>
        <c:minorTickMark val="none"/>
        <c:tickLblPos val="nextTo"/>
        <c:crossAx val="298819040"/>
        <c:crosses val="autoZero"/>
        <c:crossBetween val="between"/>
      </c:valAx>
      <c:spPr>
        <a:noFill/>
        <a:ln>
          <a:noFill/>
        </a:ln>
      </c:spPr>
    </c:plotArea>
    <c:plotVisOnly val="1"/>
    <c:dispBlanksAs val="gap"/>
    <c:showDLblsOverMax val="0"/>
  </c:chart>
  <c:spPr>
    <a:gradFill rotWithShape="1">
      <a:gsLst>
        <a:gs pos="0">
          <a:schemeClr val="lt1"/>
        </a:gs>
        <a:gs pos="68000">
          <a:schemeClr val="lt1">
            <a:lumMod val="85000"/>
          </a:schemeClr>
        </a:gs>
        <a:gs pos="100000">
          <a:schemeClr val="lt1"/>
        </a:gs>
      </a:gsLst>
      <a:lin ang="5400000" scaled="1"/>
    </a:gradFill>
    <a:ln w="9525">
      <a:solidFill>
        <a:schemeClr val="dk1">
          <a:lumMod val="15000"/>
          <a:lumOff val="85000"/>
        </a:schemeClr>
      </a:solidFill>
      <a:round/>
    </a:ln>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buClrTx/>
              <a:buSzTx/>
              <a:buFontTx/>
              <a:buNone/>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600" b="1" i="0" baseline="0">
                <a:latin typeface="Arial" panose="020B0604020202020204" pitchFamily="34" charset="0"/>
                <a:cs typeface="Arial" panose="020B0604020202020204" pitchFamily="34" charset="0"/>
              </a:rPr>
              <a:t>Fund allocations sumary since 31 March 2010</a:t>
            </a:r>
            <a:endParaRPr lang="en-GB" sz="1600">
              <a:latin typeface="Arial" panose="020B0604020202020204" pitchFamily="34" charset="0"/>
              <a:cs typeface="Arial" panose="020B0604020202020204" pitchFamily="34" charset="0"/>
            </a:endParaRPr>
          </a:p>
        </c:rich>
      </c:tx>
      <c:layout>
        <c:manualLayout>
          <c:xMode val="edge"/>
          <c:yMode val="edge"/>
          <c:x val="0.20200959774949323"/>
          <c:y val="2.4439918533604887E-2"/>
        </c:manualLayout>
      </c:layout>
      <c:overlay val="0"/>
    </c:title>
    <c:autoTitleDeleted val="0"/>
    <c:plotArea>
      <c:layout>
        <c:manualLayout>
          <c:layoutTarget val="inner"/>
          <c:xMode val="edge"/>
          <c:yMode val="edge"/>
          <c:x val="8.539498516296419E-2"/>
          <c:y val="0.12644769403824521"/>
          <c:w val="0.89270183159549066"/>
          <c:h val="0.68808248968878893"/>
        </c:manualLayout>
      </c:layout>
      <c:lineChart>
        <c:grouping val="standard"/>
        <c:varyColors val="0"/>
        <c:ser>
          <c:idx val="0"/>
          <c:order val="0"/>
          <c:tx>
            <c:strRef>
              <c:f>'March 2016'!$I$236</c:f>
              <c:strCache>
                <c:ptCount val="1"/>
                <c:pt idx="0">
                  <c:v>Equities</c:v>
                </c:pt>
              </c:strCache>
            </c:strRef>
          </c:tx>
          <c:spPr>
            <a:ln>
              <a:solidFill>
                <a:srgbClr val="CC3300"/>
              </a:solidFill>
            </a:ln>
          </c:spPr>
          <c:marker>
            <c:spPr>
              <a:solidFill>
                <a:srgbClr val="CC3300"/>
              </a:solidFill>
            </c:spPr>
          </c:marker>
          <c:cat>
            <c:strRef>
              <c:f>'March 2016'!$J$235:$P$235</c:f>
              <c:strCache>
                <c:ptCount val="7"/>
                <c:pt idx="0">
                  <c:v>Mar
  2010</c:v>
                </c:pt>
                <c:pt idx="1">
                  <c:v>Mar
  2011</c:v>
                </c:pt>
                <c:pt idx="2">
                  <c:v>Mar
  2012</c:v>
                </c:pt>
                <c:pt idx="3">
                  <c:v>Mar
  2013</c:v>
                </c:pt>
                <c:pt idx="4">
                  <c:v>Mar
  2014</c:v>
                </c:pt>
                <c:pt idx="5">
                  <c:v>Mar
  2015</c:v>
                </c:pt>
                <c:pt idx="6">
                  <c:v>Mar
2016</c:v>
                </c:pt>
              </c:strCache>
            </c:strRef>
          </c:cat>
          <c:val>
            <c:numRef>
              <c:f>'March 2016'!$J$236:$P$236</c:f>
              <c:numCache>
                <c:formatCode>General</c:formatCode>
                <c:ptCount val="7"/>
                <c:pt idx="0">
                  <c:v>77</c:v>
                </c:pt>
                <c:pt idx="1">
                  <c:v>77</c:v>
                </c:pt>
                <c:pt idx="2">
                  <c:v>70</c:v>
                </c:pt>
                <c:pt idx="3">
                  <c:v>58</c:v>
                </c:pt>
                <c:pt idx="4">
                  <c:v>51</c:v>
                </c:pt>
                <c:pt idx="5">
                  <c:v>48</c:v>
                </c:pt>
                <c:pt idx="6">
                  <c:v>48.9</c:v>
                </c:pt>
              </c:numCache>
            </c:numRef>
          </c:val>
          <c:smooth val="0"/>
        </c:ser>
        <c:ser>
          <c:idx val="1"/>
          <c:order val="1"/>
          <c:tx>
            <c:strRef>
              <c:f>'March 2016'!$I$237</c:f>
              <c:strCache>
                <c:ptCount val="1"/>
                <c:pt idx="0">
                  <c:v>Property</c:v>
                </c:pt>
              </c:strCache>
            </c:strRef>
          </c:tx>
          <c:spPr>
            <a:ln>
              <a:solidFill>
                <a:srgbClr val="FF0000"/>
              </a:solidFill>
            </a:ln>
          </c:spPr>
          <c:marker>
            <c:spPr>
              <a:solidFill>
                <a:srgbClr val="FF0000"/>
              </a:solidFill>
            </c:spPr>
          </c:marker>
          <c:cat>
            <c:strRef>
              <c:f>'March 2016'!$J$235:$P$235</c:f>
              <c:strCache>
                <c:ptCount val="7"/>
                <c:pt idx="0">
                  <c:v>Mar
  2010</c:v>
                </c:pt>
                <c:pt idx="1">
                  <c:v>Mar
  2011</c:v>
                </c:pt>
                <c:pt idx="2">
                  <c:v>Mar
  2012</c:v>
                </c:pt>
                <c:pt idx="3">
                  <c:v>Mar
  2013</c:v>
                </c:pt>
                <c:pt idx="4">
                  <c:v>Mar
  2014</c:v>
                </c:pt>
                <c:pt idx="5">
                  <c:v>Mar
  2015</c:v>
                </c:pt>
                <c:pt idx="6">
                  <c:v>Mar
2016</c:v>
                </c:pt>
              </c:strCache>
            </c:strRef>
          </c:cat>
          <c:val>
            <c:numRef>
              <c:f>'March 2016'!$J$237:$P$237</c:f>
              <c:numCache>
                <c:formatCode>General</c:formatCode>
                <c:ptCount val="7"/>
                <c:pt idx="0">
                  <c:v>7</c:v>
                </c:pt>
                <c:pt idx="1">
                  <c:v>9</c:v>
                </c:pt>
                <c:pt idx="2">
                  <c:v>9</c:v>
                </c:pt>
                <c:pt idx="3">
                  <c:v>9</c:v>
                </c:pt>
                <c:pt idx="4">
                  <c:v>9</c:v>
                </c:pt>
                <c:pt idx="5">
                  <c:v>10</c:v>
                </c:pt>
                <c:pt idx="6">
                  <c:v>11.4</c:v>
                </c:pt>
              </c:numCache>
            </c:numRef>
          </c:val>
          <c:smooth val="0"/>
        </c:ser>
        <c:ser>
          <c:idx val="2"/>
          <c:order val="2"/>
          <c:tx>
            <c:strRef>
              <c:f>'March 2016'!$I$238</c:f>
              <c:strCache>
                <c:ptCount val="1"/>
                <c:pt idx="0">
                  <c:v>Credit Strategies</c:v>
                </c:pt>
              </c:strCache>
            </c:strRef>
          </c:tx>
          <c:spPr>
            <a:ln>
              <a:solidFill>
                <a:srgbClr val="51DA46"/>
              </a:solidFill>
            </a:ln>
          </c:spPr>
          <c:marker>
            <c:spPr>
              <a:solidFill>
                <a:srgbClr val="51DA46"/>
              </a:solidFill>
            </c:spPr>
          </c:marker>
          <c:cat>
            <c:strRef>
              <c:f>'March 2016'!$J$235:$P$235</c:f>
              <c:strCache>
                <c:ptCount val="7"/>
                <c:pt idx="0">
                  <c:v>Mar
  2010</c:v>
                </c:pt>
                <c:pt idx="1">
                  <c:v>Mar
  2011</c:v>
                </c:pt>
                <c:pt idx="2">
                  <c:v>Mar
  2012</c:v>
                </c:pt>
                <c:pt idx="3">
                  <c:v>Mar
  2013</c:v>
                </c:pt>
                <c:pt idx="4">
                  <c:v>Mar
  2014</c:v>
                </c:pt>
                <c:pt idx="5">
                  <c:v>Mar
  2015</c:v>
                </c:pt>
                <c:pt idx="6">
                  <c:v>Mar
2016</c:v>
                </c:pt>
              </c:strCache>
            </c:strRef>
          </c:cat>
          <c:val>
            <c:numRef>
              <c:f>'March 2016'!$J$238:$P$238</c:f>
              <c:numCache>
                <c:formatCode>General</c:formatCode>
                <c:ptCount val="7"/>
                <c:pt idx="0">
                  <c:v>14</c:v>
                </c:pt>
                <c:pt idx="1">
                  <c:v>14</c:v>
                </c:pt>
                <c:pt idx="2">
                  <c:v>18</c:v>
                </c:pt>
                <c:pt idx="3">
                  <c:v>28</c:v>
                </c:pt>
                <c:pt idx="4">
                  <c:v>29</c:v>
                </c:pt>
                <c:pt idx="5">
                  <c:v>35</c:v>
                </c:pt>
                <c:pt idx="6">
                  <c:v>27.2</c:v>
                </c:pt>
              </c:numCache>
            </c:numRef>
          </c:val>
          <c:smooth val="0"/>
        </c:ser>
        <c:ser>
          <c:idx val="3"/>
          <c:order val="3"/>
          <c:tx>
            <c:strRef>
              <c:f>'March 2016'!$I$239</c:f>
              <c:strCache>
                <c:ptCount val="1"/>
                <c:pt idx="0">
                  <c:v>Infrastructure</c:v>
                </c:pt>
              </c:strCache>
            </c:strRef>
          </c:tx>
          <c:spPr>
            <a:ln>
              <a:solidFill>
                <a:srgbClr val="0000FF"/>
              </a:solidFill>
            </a:ln>
          </c:spPr>
          <c:marker>
            <c:spPr>
              <a:solidFill>
                <a:srgbClr val="0000FF"/>
              </a:solidFill>
            </c:spPr>
          </c:marker>
          <c:cat>
            <c:strRef>
              <c:f>'March 2016'!$J$235:$P$235</c:f>
              <c:strCache>
                <c:ptCount val="7"/>
                <c:pt idx="0">
                  <c:v>Mar
  2010</c:v>
                </c:pt>
                <c:pt idx="1">
                  <c:v>Mar
  2011</c:v>
                </c:pt>
                <c:pt idx="2">
                  <c:v>Mar
  2012</c:v>
                </c:pt>
                <c:pt idx="3">
                  <c:v>Mar
  2013</c:v>
                </c:pt>
                <c:pt idx="4">
                  <c:v>Mar
  2014</c:v>
                </c:pt>
                <c:pt idx="5">
                  <c:v>Mar
  2015</c:v>
                </c:pt>
                <c:pt idx="6">
                  <c:v>Mar
2016</c:v>
                </c:pt>
              </c:strCache>
            </c:strRef>
          </c:cat>
          <c:val>
            <c:numRef>
              <c:f>'March 2016'!$J$239:$P$239</c:f>
              <c:numCache>
                <c:formatCode>General</c:formatCode>
                <c:ptCount val="7"/>
                <c:pt idx="0">
                  <c:v>0</c:v>
                </c:pt>
                <c:pt idx="1">
                  <c:v>0</c:v>
                </c:pt>
                <c:pt idx="2">
                  <c:v>0</c:v>
                </c:pt>
                <c:pt idx="3">
                  <c:v>3</c:v>
                </c:pt>
                <c:pt idx="4">
                  <c:v>6</c:v>
                </c:pt>
                <c:pt idx="5">
                  <c:v>6</c:v>
                </c:pt>
                <c:pt idx="6">
                  <c:v>9.5</c:v>
                </c:pt>
              </c:numCache>
            </c:numRef>
          </c:val>
          <c:smooth val="0"/>
        </c:ser>
        <c:ser>
          <c:idx val="4"/>
          <c:order val="4"/>
          <c:tx>
            <c:strRef>
              <c:f>'March 2016'!$I$240</c:f>
              <c:strCache>
                <c:ptCount val="1"/>
                <c:pt idx="0">
                  <c:v>Cash</c:v>
                </c:pt>
              </c:strCache>
            </c:strRef>
          </c:tx>
          <c:spPr>
            <a:ln>
              <a:solidFill>
                <a:srgbClr val="D52FB1"/>
              </a:solidFill>
            </a:ln>
          </c:spPr>
          <c:marker>
            <c:spPr>
              <a:solidFill>
                <a:srgbClr val="D52FB1"/>
              </a:solidFill>
            </c:spPr>
          </c:marker>
          <c:cat>
            <c:strRef>
              <c:f>'March 2016'!$J$235:$P$235</c:f>
              <c:strCache>
                <c:ptCount val="7"/>
                <c:pt idx="0">
                  <c:v>Mar
  2010</c:v>
                </c:pt>
                <c:pt idx="1">
                  <c:v>Mar
  2011</c:v>
                </c:pt>
                <c:pt idx="2">
                  <c:v>Mar
  2012</c:v>
                </c:pt>
                <c:pt idx="3">
                  <c:v>Mar
  2013</c:v>
                </c:pt>
                <c:pt idx="4">
                  <c:v>Mar
  2014</c:v>
                </c:pt>
                <c:pt idx="5">
                  <c:v>Mar
  2015</c:v>
                </c:pt>
                <c:pt idx="6">
                  <c:v>Mar
2016</c:v>
                </c:pt>
              </c:strCache>
            </c:strRef>
          </c:cat>
          <c:val>
            <c:numRef>
              <c:f>'March 2016'!$J$240:$P$240</c:f>
              <c:numCache>
                <c:formatCode>General</c:formatCode>
                <c:ptCount val="7"/>
                <c:pt idx="0">
                  <c:v>2</c:v>
                </c:pt>
                <c:pt idx="1">
                  <c:v>0</c:v>
                </c:pt>
                <c:pt idx="2">
                  <c:v>3</c:v>
                </c:pt>
                <c:pt idx="3">
                  <c:v>2</c:v>
                </c:pt>
                <c:pt idx="4">
                  <c:v>5</c:v>
                </c:pt>
                <c:pt idx="5">
                  <c:v>1</c:v>
                </c:pt>
                <c:pt idx="6">
                  <c:v>3</c:v>
                </c:pt>
              </c:numCache>
            </c:numRef>
          </c:val>
          <c:smooth val="0"/>
        </c:ser>
        <c:dLbls>
          <c:showLegendKey val="0"/>
          <c:showVal val="0"/>
          <c:showCatName val="0"/>
          <c:showSerName val="0"/>
          <c:showPercent val="0"/>
          <c:showBubbleSize val="0"/>
        </c:dLbls>
        <c:marker val="1"/>
        <c:smooth val="0"/>
        <c:axId val="298820216"/>
        <c:axId val="298820608"/>
      </c:lineChart>
      <c:catAx>
        <c:axId val="298820216"/>
        <c:scaling>
          <c:orientation val="minMax"/>
        </c:scaling>
        <c:delete val="0"/>
        <c:axPos val="b"/>
        <c:numFmt formatCode="General"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298820608"/>
        <c:crosses val="autoZero"/>
        <c:auto val="1"/>
        <c:lblAlgn val="ctr"/>
        <c:lblOffset val="100"/>
        <c:noMultiLvlLbl val="0"/>
      </c:catAx>
      <c:valAx>
        <c:axId val="298820608"/>
        <c:scaling>
          <c:orientation val="minMax"/>
          <c:max val="80"/>
        </c:scaling>
        <c:delete val="0"/>
        <c:axPos val="l"/>
        <c:majorGridlines/>
        <c:title>
          <c:tx>
            <c:rich>
              <a:bodyPr rot="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a:t>
                </a:r>
              </a:p>
            </c:rich>
          </c:tx>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298820216"/>
        <c:crosses val="autoZero"/>
        <c:crossBetween val="between"/>
      </c:valAx>
    </c:plotArea>
    <c:legend>
      <c:legendPos val="b"/>
      <c:layout/>
      <c:overlay val="0"/>
      <c:txPr>
        <a:bodyPr/>
        <a:lstStyle/>
        <a:p>
          <a:pPr>
            <a:defRPr sz="1200">
              <a:latin typeface="Arial" panose="020B0604020202020204" pitchFamily="34" charset="0"/>
              <a:cs typeface="Arial" panose="020B0604020202020204" pitchFamily="34" charset="0"/>
            </a:defRPr>
          </a:pPr>
          <a:endParaRPr lang="en-US"/>
        </a:p>
      </c:txPr>
    </c:legend>
    <c:plotVisOnly val="0"/>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600"/>
              <a:t>Member</a:t>
            </a:r>
            <a:r>
              <a:rPr lang="en-GB" sz="1600" baseline="0"/>
              <a:t> profile as at 31 March 2016</a:t>
            </a:r>
            <a:endParaRPr lang="en-GB" sz="1600"/>
          </a:p>
        </c:rich>
      </c:tx>
      <c:layout>
        <c:manualLayout>
          <c:xMode val="edge"/>
          <c:yMode val="edge"/>
          <c:x val="0.15858663701853515"/>
          <c:y val="1.955387729122416E-2"/>
        </c:manualLayout>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3.3019692654472348E-2"/>
          <c:y val="0.11275749622206314"/>
          <c:w val="0.72486757337151042"/>
          <c:h val="0.68716562491544231"/>
        </c:manualLayout>
      </c:layout>
      <c:bar3DChart>
        <c:barDir val="col"/>
        <c:grouping val="standard"/>
        <c:varyColors val="0"/>
        <c:ser>
          <c:idx val="0"/>
          <c:order val="0"/>
          <c:tx>
            <c:strRef>
              <c:f>Sheet1!$I$3</c:f>
              <c:strCache>
                <c:ptCount val="1"/>
                <c:pt idx="0">
                  <c:v>Male</c:v>
                </c:pt>
              </c:strCache>
            </c:strRef>
          </c:tx>
          <c:spPr>
            <a:solidFill>
              <a:srgbClr val="92D050"/>
            </a:solidFill>
          </c:spPr>
          <c:invertIfNegative val="0"/>
          <c:cat>
            <c:strRef>
              <c:f>Sheet1!$H$4:$H$7</c:f>
              <c:strCache>
                <c:ptCount val="4"/>
                <c:pt idx="0">
                  <c:v>Actives </c:v>
                </c:pt>
                <c:pt idx="1">
                  <c:v>Deferred </c:v>
                </c:pt>
                <c:pt idx="2">
                  <c:v>Pensioners</c:v>
                </c:pt>
                <c:pt idx="3">
                  <c:v>Spouses</c:v>
                </c:pt>
              </c:strCache>
            </c:strRef>
          </c:cat>
          <c:val>
            <c:numRef>
              <c:f>Sheet1!$I$4:$I$7</c:f>
              <c:numCache>
                <c:formatCode>#,##0</c:formatCode>
                <c:ptCount val="4"/>
                <c:pt idx="0">
                  <c:v>14184</c:v>
                </c:pt>
                <c:pt idx="1">
                  <c:v>14735</c:v>
                </c:pt>
                <c:pt idx="2">
                  <c:v>14874</c:v>
                </c:pt>
                <c:pt idx="3">
                  <c:v>1780</c:v>
                </c:pt>
              </c:numCache>
            </c:numRef>
          </c:val>
        </c:ser>
        <c:ser>
          <c:idx val="1"/>
          <c:order val="1"/>
          <c:tx>
            <c:strRef>
              <c:f>Sheet1!$J$3</c:f>
              <c:strCache>
                <c:ptCount val="1"/>
                <c:pt idx="0">
                  <c:v>Female</c:v>
                </c:pt>
              </c:strCache>
            </c:strRef>
          </c:tx>
          <c:spPr>
            <a:solidFill>
              <a:srgbClr val="7030A0"/>
            </a:solidFill>
          </c:spPr>
          <c:invertIfNegative val="0"/>
          <c:cat>
            <c:strRef>
              <c:f>Sheet1!$H$4:$H$7</c:f>
              <c:strCache>
                <c:ptCount val="4"/>
                <c:pt idx="0">
                  <c:v>Actives </c:v>
                </c:pt>
                <c:pt idx="1">
                  <c:v>Deferred </c:v>
                </c:pt>
                <c:pt idx="2">
                  <c:v>Pensioners</c:v>
                </c:pt>
                <c:pt idx="3">
                  <c:v>Spouses</c:v>
                </c:pt>
              </c:strCache>
            </c:strRef>
          </c:cat>
          <c:val>
            <c:numRef>
              <c:f>Sheet1!$J$4:$J$7</c:f>
              <c:numCache>
                <c:formatCode>#,##0</c:formatCode>
                <c:ptCount val="4"/>
                <c:pt idx="0">
                  <c:v>42064</c:v>
                </c:pt>
                <c:pt idx="1">
                  <c:v>46895</c:v>
                </c:pt>
                <c:pt idx="2">
                  <c:v>23259</c:v>
                </c:pt>
                <c:pt idx="3">
                  <c:v>4675</c:v>
                </c:pt>
              </c:numCache>
            </c:numRef>
          </c:val>
        </c:ser>
        <c:dLbls>
          <c:showLegendKey val="0"/>
          <c:showVal val="0"/>
          <c:showCatName val="0"/>
          <c:showSerName val="0"/>
          <c:showPercent val="0"/>
          <c:showBubbleSize val="0"/>
        </c:dLbls>
        <c:gapWidth val="150"/>
        <c:shape val="box"/>
        <c:axId val="294119200"/>
        <c:axId val="294118416"/>
        <c:axId val="295318888"/>
      </c:bar3DChart>
      <c:catAx>
        <c:axId val="294119200"/>
        <c:scaling>
          <c:orientation val="minMax"/>
        </c:scaling>
        <c:delete val="0"/>
        <c:axPos val="b"/>
        <c:numFmt formatCode="General" sourceLinked="1"/>
        <c:majorTickMark val="out"/>
        <c:minorTickMark val="none"/>
        <c:tickLblPos val="nextTo"/>
        <c:txPr>
          <a:bodyPr/>
          <a:lstStyle/>
          <a:p>
            <a:pPr>
              <a:defRPr sz="1200"/>
            </a:pPr>
            <a:endParaRPr lang="en-US"/>
          </a:p>
        </c:txPr>
        <c:crossAx val="294118416"/>
        <c:crosses val="autoZero"/>
        <c:auto val="1"/>
        <c:lblAlgn val="ctr"/>
        <c:lblOffset val="100"/>
        <c:noMultiLvlLbl val="0"/>
      </c:catAx>
      <c:valAx>
        <c:axId val="294118416"/>
        <c:scaling>
          <c:orientation val="minMax"/>
        </c:scaling>
        <c:delete val="1"/>
        <c:axPos val="l"/>
        <c:majorGridlines/>
        <c:numFmt formatCode="#,##0" sourceLinked="1"/>
        <c:majorTickMark val="out"/>
        <c:minorTickMark val="none"/>
        <c:tickLblPos val="nextTo"/>
        <c:crossAx val="294119200"/>
        <c:crosses val="autoZero"/>
        <c:crossBetween val="between"/>
      </c:valAx>
      <c:serAx>
        <c:axId val="295318888"/>
        <c:scaling>
          <c:orientation val="minMax"/>
        </c:scaling>
        <c:delete val="0"/>
        <c:axPos val="b"/>
        <c:majorTickMark val="out"/>
        <c:minorTickMark val="none"/>
        <c:tickLblPos val="nextTo"/>
        <c:crossAx val="294118416"/>
        <c:crosses val="autoZero"/>
      </c:serAx>
      <c:spPr>
        <a:noFill/>
        <a:ln w="25400">
          <a:noFill/>
        </a:ln>
      </c:spPr>
    </c:plotArea>
    <c:legend>
      <c:legendPos val="r"/>
      <c:layout>
        <c:manualLayout>
          <c:xMode val="edge"/>
          <c:yMode val="edge"/>
          <c:x val="0.78379371497481731"/>
          <c:y val="0.23033491385783864"/>
          <c:w val="0.16209202089584063"/>
          <c:h val="0.15563288921309903"/>
        </c:manualLayout>
      </c:layout>
      <c:overlay val="0"/>
      <c:txPr>
        <a:bodyPr/>
        <a:lstStyle/>
        <a:p>
          <a:pPr>
            <a:defRPr sz="1400"/>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400">
                <a:latin typeface="Arial" panose="020B0604020202020204" pitchFamily="34" charset="0"/>
                <a:cs typeface="Arial" panose="020B0604020202020204" pitchFamily="34" charset="0"/>
              </a:rPr>
              <a:t>Allocation as at 31 March 2016 (£6,027.3m)</a:t>
            </a:r>
          </a:p>
        </c:rich>
      </c:tx>
      <c:layout>
        <c:manualLayout>
          <c:xMode val="edge"/>
          <c:yMode val="edge"/>
          <c:x val="0.20359528487229858"/>
          <c:y val="4.0096878590336553E-2"/>
        </c:manualLayout>
      </c:layout>
      <c:overlay val="0"/>
      <c:spPr>
        <a:noFill/>
        <a:ln>
          <a:noFill/>
        </a:ln>
      </c:spPr>
    </c:title>
    <c:autoTitleDeleted val="0"/>
    <c:view3D>
      <c:rotX val="30"/>
      <c:rotY val="0"/>
      <c:rAngAx val="0"/>
    </c:view3D>
    <c:floor>
      <c:thickness val="0"/>
      <c:spPr>
        <a:noFill/>
        <a:ln>
          <a:noFill/>
        </a:ln>
      </c:spPr>
    </c:floor>
    <c:sideWall>
      <c:thickness val="0"/>
      <c:spPr>
        <a:noFill/>
        <a:ln>
          <a:noFill/>
        </a:ln>
      </c:spPr>
    </c:sideWall>
    <c:backWall>
      <c:thickness val="0"/>
      <c:spPr>
        <a:noFill/>
        <a:ln>
          <a:noFill/>
        </a:ln>
      </c:spPr>
    </c:backWall>
    <c:plotArea>
      <c:layout>
        <c:manualLayout>
          <c:layoutTarget val="inner"/>
          <c:xMode val="edge"/>
          <c:yMode val="edge"/>
          <c:x val="4.9850540396705202E-2"/>
          <c:y val="0.26527669956748362"/>
          <c:w val="0.84177692731558962"/>
          <c:h val="0.61695590868042904"/>
        </c:manualLayout>
      </c:layout>
      <c:pie3DChart>
        <c:varyColors val="1"/>
        <c:ser>
          <c:idx val="0"/>
          <c:order val="0"/>
          <c:dPt>
            <c:idx val="0"/>
            <c:bubble3D val="0"/>
            <c:spPr>
              <a:solidFill>
                <a:srgbClr val="CC00CC"/>
              </a:solidFill>
              <a:ln>
                <a:noFill/>
              </a:ln>
              <a:effectLst>
                <a:outerShdw blurRad="88900" sx="102000" sy="102000" algn="ctr" rotWithShape="0">
                  <a:prstClr val="black">
                    <a:alpha val="10000"/>
                  </a:prstClr>
                </a:outerShdw>
              </a:effectLst>
            </c:spPr>
          </c:dPt>
          <c:dPt>
            <c:idx val="1"/>
            <c:bubble3D val="0"/>
            <c:spPr>
              <a:solidFill>
                <a:srgbClr val="11C1FF"/>
              </a:solidFill>
              <a:ln>
                <a:noFill/>
              </a:ln>
              <a:effectLst>
                <a:outerShdw blurRad="88900" sx="102000" sy="102000" algn="ctr" rotWithShape="0">
                  <a:prstClr val="black">
                    <a:alpha val="10000"/>
                  </a:prstClr>
                </a:outerShdw>
              </a:effectLst>
            </c:spPr>
          </c:dPt>
          <c:dPt>
            <c:idx val="2"/>
            <c:bubble3D val="0"/>
            <c:spPr>
              <a:solidFill>
                <a:srgbClr val="EE0000"/>
              </a:solidFill>
              <a:ln>
                <a:noFill/>
              </a:ln>
              <a:effectLst>
                <a:outerShdw blurRad="88900" sx="102000" sy="102000" algn="ctr" rotWithShape="0">
                  <a:prstClr val="black">
                    <a:alpha val="10000"/>
                  </a:prstClr>
                </a:outerShdw>
              </a:effectLst>
            </c:spPr>
          </c:dPt>
          <c:dPt>
            <c:idx val="3"/>
            <c:bubble3D val="0"/>
            <c:spPr>
              <a:solidFill>
                <a:srgbClr val="00E668"/>
              </a:solidFill>
              <a:ln>
                <a:noFill/>
              </a:ln>
              <a:effectLst>
                <a:outerShdw blurRad="88900" sx="102000" sy="102000" algn="ctr" rotWithShape="0">
                  <a:prstClr val="black">
                    <a:alpha val="10000"/>
                  </a:prstClr>
                </a:outerShdw>
              </a:effectLst>
            </c:spPr>
          </c:dPt>
          <c:dPt>
            <c:idx val="4"/>
            <c:bubble3D val="0"/>
            <c:spPr>
              <a:solidFill>
                <a:srgbClr val="FFFF00"/>
              </a:solidFill>
              <a:ln>
                <a:noFill/>
              </a:ln>
              <a:effectLst>
                <a:outerShdw blurRad="88900" sx="102000" sy="102000" algn="ctr" rotWithShape="0">
                  <a:prstClr val="black">
                    <a:alpha val="10000"/>
                  </a:prstClr>
                </a:outerShdw>
              </a:effectLst>
            </c:spPr>
          </c:dPt>
          <c:dPt>
            <c:idx val="5"/>
            <c:bubble3D val="0"/>
            <c:spPr>
              <a:solidFill>
                <a:srgbClr val="9933FF"/>
              </a:solidFill>
              <a:ln>
                <a:noFill/>
              </a:ln>
              <a:effectLst>
                <a:outerShdw blurRad="88900" sx="102000" sy="102000" algn="ctr" rotWithShape="0">
                  <a:prstClr val="black">
                    <a:alpha val="10000"/>
                  </a:prstClr>
                </a:outerShdw>
              </a:effectLst>
            </c:spPr>
          </c:dPt>
          <c:dLbls>
            <c:dLbl>
              <c:idx val="0"/>
              <c:layout/>
              <c:tx>
                <c:rich>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a:solidFill>
                          <a:schemeClr val="bg1"/>
                        </a:solidFill>
                        <a:latin typeface="Arial" panose="020B0604020202020204" pitchFamily="34" charset="0"/>
                        <a:cs typeface="Arial" panose="020B0604020202020204" pitchFamily="34" charset="0"/>
                      </a:rPr>
                      <a:t>Public equity</a:t>
                    </a:r>
                  </a:p>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aseline="0">
                        <a:solidFill>
                          <a:schemeClr val="bg1"/>
                        </a:solidFill>
                        <a:latin typeface="Arial" panose="020B0604020202020204" pitchFamily="34" charset="0"/>
                        <a:cs typeface="Arial" panose="020B0604020202020204" pitchFamily="34" charset="0"/>
                      </a:rPr>
                      <a:t>(£2,599.4m)
43.1%</a:t>
                    </a:r>
                    <a:endParaRPr lang="en-US" sz="1100">
                      <a:solidFill>
                        <a:schemeClr val="bg1"/>
                      </a:solidFill>
                      <a:latin typeface="Arial" panose="020B0604020202020204" pitchFamily="34" charset="0"/>
                      <a:cs typeface="Arial" panose="020B0604020202020204" pitchFamily="34" charset="0"/>
                    </a:endParaRPr>
                  </a:p>
                </c:rich>
              </c:tx>
              <c:numFmt formatCode="General" sourceLinked="0"/>
              <c:spPr>
                <a:solidFill>
                  <a:srgbClr val="CC00CC"/>
                </a:solidFill>
                <a:ln>
                  <a:noFill/>
                </a:ln>
              </c:spPr>
              <c:dLblPos val="outEnd"/>
              <c:showLegendKey val="0"/>
              <c:showVal val="0"/>
              <c:showCatName val="1"/>
              <c:showSerName val="0"/>
              <c:showPercent val="1"/>
              <c:showBubbleSize val="0"/>
              <c:extLst>
                <c:ext xmlns:c15="http://schemas.microsoft.com/office/drawing/2012/chart" uri="{CE6537A1-D6FC-4f65-9D91-7224C49458BB}">
                  <c15:layout/>
                </c:ext>
              </c:extLst>
            </c:dLbl>
            <c:dLbl>
              <c:idx val="1"/>
              <c:layout/>
              <c:tx>
                <c:rich>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a:solidFill>
                          <a:sysClr val="windowText" lastClr="000000"/>
                        </a:solidFill>
                        <a:latin typeface="Arial" panose="020B0604020202020204" pitchFamily="34" charset="0"/>
                        <a:cs typeface="Arial" panose="020B0604020202020204" pitchFamily="34" charset="0"/>
                      </a:rPr>
                      <a:t>Private equity</a:t>
                    </a:r>
                  </a:p>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aseline="0">
                        <a:solidFill>
                          <a:sysClr val="windowText" lastClr="000000"/>
                        </a:solidFill>
                        <a:latin typeface="Arial" panose="020B0604020202020204" pitchFamily="34" charset="0"/>
                        <a:cs typeface="Arial" panose="020B0604020202020204" pitchFamily="34" charset="0"/>
                      </a:rPr>
                      <a:t>(£348.2m)
5.8%</a:t>
                    </a:r>
                    <a:endParaRPr lang="en-US" sz="1100">
                      <a:solidFill>
                        <a:sysClr val="windowText" lastClr="000000"/>
                      </a:solidFill>
                      <a:latin typeface="Arial" panose="020B0604020202020204" pitchFamily="34" charset="0"/>
                      <a:cs typeface="Arial" panose="020B0604020202020204" pitchFamily="34" charset="0"/>
                    </a:endParaRPr>
                  </a:p>
                </c:rich>
              </c:tx>
              <c:numFmt formatCode="General" sourceLinked="0"/>
              <c:spPr>
                <a:solidFill>
                  <a:srgbClr val="11C1FF"/>
                </a:solidFill>
                <a:ln>
                  <a:noFill/>
                </a:ln>
              </c:spPr>
              <c:dLblPos val="outEnd"/>
              <c:showLegendKey val="0"/>
              <c:showVal val="0"/>
              <c:showCatName val="1"/>
              <c:showSerName val="0"/>
              <c:showPercent val="1"/>
              <c:showBubbleSize val="0"/>
              <c:extLst>
                <c:ext xmlns:c15="http://schemas.microsoft.com/office/drawing/2012/chart" uri="{CE6537A1-D6FC-4f65-9D91-7224C49458BB}">
                  <c15:layout/>
                </c:ext>
              </c:extLst>
            </c:dLbl>
            <c:dLbl>
              <c:idx val="2"/>
              <c:layout/>
              <c:tx>
                <c:rich>
                  <a:bodyPr rot="0" spcFirstLastPara="1" vertOverflow="ellipsis" vert="horz" wrap="square" lIns="38100" tIns="19050" rIns="38100" bIns="19050" anchor="ctr" anchorCtr="1">
                    <a:spAutoFit/>
                  </a:bodyPr>
                  <a:lstStyle/>
                  <a:p>
                    <a:pPr>
                      <a:defRPr sz="1100" b="1" i="0" u="none" strike="noStrike" kern="1200" spc="0" baseline="0">
                        <a:solidFill>
                          <a:schemeClr val="accent1"/>
                        </a:solidFill>
                        <a:latin typeface="Arial" panose="020B0604020202020204" pitchFamily="34" charset="0"/>
                        <a:ea typeface="+mn-ea"/>
                        <a:cs typeface="Arial" panose="020B0604020202020204" pitchFamily="34" charset="0"/>
                      </a:defRPr>
                    </a:pPr>
                    <a:r>
                      <a:rPr lang="en-US" sz="1100">
                        <a:solidFill>
                          <a:schemeClr val="bg1"/>
                        </a:solidFill>
                        <a:latin typeface="Arial" panose="020B0604020202020204" pitchFamily="34" charset="0"/>
                        <a:cs typeface="Arial" panose="020B0604020202020204" pitchFamily="34" charset="0"/>
                      </a:rPr>
                      <a:t>Infrastructure</a:t>
                    </a:r>
                  </a:p>
                  <a:p>
                    <a:pPr>
                      <a:defRPr sz="1100" b="1" i="0" u="none" strike="noStrike" kern="1200" spc="0" baseline="0">
                        <a:solidFill>
                          <a:schemeClr val="accent1"/>
                        </a:solidFill>
                        <a:latin typeface="Arial" panose="020B0604020202020204" pitchFamily="34" charset="0"/>
                        <a:ea typeface="+mn-ea"/>
                        <a:cs typeface="Arial" panose="020B0604020202020204" pitchFamily="34" charset="0"/>
                      </a:defRPr>
                    </a:pPr>
                    <a:r>
                      <a:rPr lang="en-US" sz="1100" baseline="0">
                        <a:solidFill>
                          <a:schemeClr val="bg1"/>
                        </a:solidFill>
                        <a:latin typeface="Arial" panose="020B0604020202020204" pitchFamily="34" charset="0"/>
                        <a:cs typeface="Arial" panose="020B0604020202020204" pitchFamily="34" charset="0"/>
                      </a:rPr>
                      <a:t>(£569.5m)</a:t>
                    </a:r>
                  </a:p>
                  <a:p>
                    <a:pPr>
                      <a:defRPr sz="1100" b="1" i="0" u="none" strike="noStrike" kern="1200" spc="0" baseline="0">
                        <a:solidFill>
                          <a:schemeClr val="accent1"/>
                        </a:solidFill>
                        <a:latin typeface="Arial" panose="020B0604020202020204" pitchFamily="34" charset="0"/>
                        <a:ea typeface="+mn-ea"/>
                        <a:cs typeface="Arial" panose="020B0604020202020204" pitchFamily="34" charset="0"/>
                      </a:defRPr>
                    </a:pPr>
                    <a:r>
                      <a:rPr lang="en-US" sz="1100">
                        <a:solidFill>
                          <a:schemeClr val="bg1"/>
                        </a:solidFill>
                        <a:latin typeface="Arial" panose="020B0604020202020204" pitchFamily="34" charset="0"/>
                        <a:cs typeface="Arial" panose="020B0604020202020204" pitchFamily="34" charset="0"/>
                      </a:rPr>
                      <a:t>9.5%</a:t>
                    </a:r>
                  </a:p>
                </c:rich>
              </c:tx>
              <c:numFmt formatCode="General" sourceLinked="0"/>
              <c:spPr>
                <a:solidFill>
                  <a:srgbClr val="FF0000"/>
                </a:solidFill>
                <a:ln>
                  <a:noFill/>
                </a:ln>
              </c:spPr>
              <c:dLblPos val="outEnd"/>
              <c:showLegendKey val="0"/>
              <c:showVal val="0"/>
              <c:showCatName val="1"/>
              <c:showSerName val="0"/>
              <c:showPercent val="1"/>
              <c:showBubbleSize val="0"/>
              <c:extLst>
                <c:ext xmlns:c15="http://schemas.microsoft.com/office/drawing/2012/chart" uri="{CE6537A1-D6FC-4f65-9D91-7224C49458BB}">
                  <c15:layout/>
                </c:ext>
              </c:extLst>
            </c:dLbl>
            <c:dLbl>
              <c:idx val="3"/>
              <c:layout/>
              <c:tx>
                <c:rich>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aseline="0">
                        <a:solidFill>
                          <a:sysClr val="windowText" lastClr="000000"/>
                        </a:solidFill>
                        <a:latin typeface="Arial" panose="020B0604020202020204" pitchFamily="34" charset="0"/>
                        <a:cs typeface="Arial" panose="020B0604020202020204" pitchFamily="34" charset="0"/>
                      </a:rPr>
                      <a:t>Property</a:t>
                    </a:r>
                  </a:p>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aseline="0">
                        <a:solidFill>
                          <a:sysClr val="windowText" lastClr="000000"/>
                        </a:solidFill>
                        <a:latin typeface="Arial" panose="020B0604020202020204" pitchFamily="34" charset="0"/>
                        <a:cs typeface="Arial" panose="020B0604020202020204" pitchFamily="34" charset="0"/>
                      </a:rPr>
                      <a:t>(£688.6m)
11.4%</a:t>
                    </a:r>
                    <a:endParaRPr lang="en-US" sz="1100">
                      <a:solidFill>
                        <a:sysClr val="windowText" lastClr="000000"/>
                      </a:solidFill>
                      <a:latin typeface="Arial" panose="020B0604020202020204" pitchFamily="34" charset="0"/>
                      <a:cs typeface="Arial" panose="020B0604020202020204" pitchFamily="34" charset="0"/>
                    </a:endParaRPr>
                  </a:p>
                </c:rich>
              </c:tx>
              <c:numFmt formatCode="General" sourceLinked="0"/>
              <c:spPr>
                <a:solidFill>
                  <a:srgbClr val="00E668"/>
                </a:solidFill>
                <a:ln>
                  <a:noFill/>
                </a:ln>
              </c:spPr>
              <c:dLblPos val="outEnd"/>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7.6335877862595365E-3"/>
                  <c:y val="-2.4955436720142634E-2"/>
                </c:manualLayout>
              </c:layout>
              <c:tx>
                <c:rich>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a:solidFill>
                          <a:sysClr val="windowText" lastClr="000000"/>
                        </a:solidFill>
                        <a:latin typeface="Arial" panose="020B0604020202020204" pitchFamily="34" charset="0"/>
                        <a:cs typeface="Arial" panose="020B0604020202020204" pitchFamily="34" charset="0"/>
                      </a:rPr>
                      <a:t>Credit</a:t>
                    </a:r>
                  </a:p>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a:solidFill>
                          <a:sysClr val="windowText" lastClr="000000"/>
                        </a:solidFill>
                        <a:latin typeface="Arial" panose="020B0604020202020204" pitchFamily="34" charset="0"/>
                        <a:cs typeface="Arial" panose="020B0604020202020204" pitchFamily="34" charset="0"/>
                      </a:rPr>
                      <a:t>(1,537.8m)
25.5%</a:t>
                    </a:r>
                  </a:p>
                </c:rich>
              </c:tx>
              <c:numFmt formatCode="General" sourceLinked="0"/>
              <c:spPr>
                <a:solidFill>
                  <a:srgbClr val="FFFF00"/>
                </a:solidFill>
                <a:ln>
                  <a:noFill/>
                </a:ln>
              </c:spPr>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tx>
                <c:rich>
                  <a:bodyPr rot="0" spcFirstLastPara="1" vertOverflow="ellipsis" vert="horz" wrap="square" lIns="38100" tIns="19050" rIns="38100" bIns="19050" anchor="ctr" anchorCtr="1">
                    <a:spAutoFit/>
                  </a:bodyPr>
                  <a:lstStyle/>
                  <a:p>
                    <a:pPr>
                      <a:defRPr sz="1100" b="1" i="0" u="none" strike="noStrike" kern="1200" spc="0" baseline="0">
                        <a:solidFill>
                          <a:schemeClr val="bg1"/>
                        </a:solidFill>
                        <a:latin typeface="Arial" panose="020B0604020202020204" pitchFamily="34" charset="0"/>
                        <a:ea typeface="+mn-ea"/>
                        <a:cs typeface="Arial" panose="020B0604020202020204" pitchFamily="34" charset="0"/>
                      </a:defRPr>
                    </a:pPr>
                    <a:r>
                      <a:rPr lang="en-US" sz="1100">
                        <a:solidFill>
                          <a:schemeClr val="bg1"/>
                        </a:solidFill>
                        <a:latin typeface="Arial" panose="020B0604020202020204" pitchFamily="34" charset="0"/>
                        <a:cs typeface="Arial" panose="020B0604020202020204" pitchFamily="34" charset="0"/>
                      </a:rPr>
                      <a:t>Cash &amp; liquid</a:t>
                    </a:r>
                  </a:p>
                  <a:p>
                    <a:pPr>
                      <a:defRPr sz="1100" b="1" i="0" u="none" strike="noStrike" kern="1200" spc="0" baseline="0">
                        <a:solidFill>
                          <a:schemeClr val="bg1"/>
                        </a:solidFill>
                        <a:latin typeface="Arial" panose="020B0604020202020204" pitchFamily="34" charset="0"/>
                        <a:ea typeface="+mn-ea"/>
                        <a:cs typeface="Arial" panose="020B0604020202020204" pitchFamily="34" charset="0"/>
                      </a:defRPr>
                    </a:pPr>
                    <a:r>
                      <a:rPr lang="en-US" sz="1100">
                        <a:solidFill>
                          <a:schemeClr val="bg1"/>
                        </a:solidFill>
                        <a:latin typeface="Arial" panose="020B0604020202020204" pitchFamily="34" charset="0"/>
                        <a:cs typeface="Arial" panose="020B0604020202020204" pitchFamily="34" charset="0"/>
                      </a:rPr>
                      <a:t>(£283.8m)
4.7%</a:t>
                    </a:r>
                  </a:p>
                </c:rich>
              </c:tx>
              <c:numFmt formatCode="General" sourceLinked="0"/>
              <c:spPr>
                <a:solidFill>
                  <a:srgbClr val="9933FF"/>
                </a:solidFill>
                <a:ln>
                  <a:noFill/>
                </a:ln>
              </c:spPr>
              <c:dLblPos val="outEnd"/>
              <c:showLegendKey val="0"/>
              <c:showVal val="0"/>
              <c:showCatName val="1"/>
              <c:showSerName val="0"/>
              <c:showPercent val="1"/>
              <c:showBubbleSize val="0"/>
              <c:extLst>
                <c:ext xmlns:c15="http://schemas.microsoft.com/office/drawing/2012/chart" uri="{CE6537A1-D6FC-4f65-9D91-7224C49458BB}">
                  <c15:layout/>
                </c:ext>
              </c:extLst>
            </c:dLbl>
            <c:numFmt formatCode="General" sourceLinked="0"/>
            <c:spPr>
              <a:noFill/>
              <a:ln>
                <a:noFill/>
              </a:ln>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eparator>
</c:separator>
            <c:showLeaderLines val="1"/>
            <c:leaderLines>
              <c:spPr>
                <a:ln w="9525">
                  <a:solidFill>
                    <a:schemeClr val="tx1">
                      <a:lumMod val="35000"/>
                      <a:lumOff val="65000"/>
                    </a:schemeClr>
                  </a:solidFill>
                  <a:round/>
                </a:ln>
              </c:spPr>
            </c:leaderLines>
            <c:extLst>
              <c:ext xmlns:c15="http://schemas.microsoft.com/office/drawing/2012/chart" uri="{CE6537A1-D6FC-4f65-9D91-7224C49458BB}"/>
            </c:extLst>
          </c:dLbls>
          <c:cat>
            <c:strRef>
              <c:f>'[2]Chart Data'!$A$3:$A$8</c:f>
              <c:strCache>
                <c:ptCount val="6"/>
                <c:pt idx="0">
                  <c:v>PUBLIC EQUITIES (£2.599bn)</c:v>
                </c:pt>
                <c:pt idx="1">
                  <c:v>PRIVATE EQUITY (£348.2m)</c:v>
                </c:pt>
                <c:pt idx="2">
                  <c:v>INFRASTRUCTURE (£569.5m)</c:v>
                </c:pt>
                <c:pt idx="3">
                  <c:v>REAL ESTATE (£688.8m)</c:v>
                </c:pt>
                <c:pt idx="4">
                  <c:v>CREDIT (£1.538bn)</c:v>
                </c:pt>
                <c:pt idx="5">
                  <c:v>CASH &amp; LIQUIDS (£283.3m)</c:v>
                </c:pt>
              </c:strCache>
            </c:strRef>
          </c:cat>
          <c:val>
            <c:numRef>
              <c:f>'[2]Chart Data'!$D$3:$D$8</c:f>
              <c:numCache>
                <c:formatCode>General</c:formatCode>
                <c:ptCount val="6"/>
                <c:pt idx="0">
                  <c:v>2599495159.2899995</c:v>
                </c:pt>
                <c:pt idx="1">
                  <c:v>348207576.28999996</c:v>
                </c:pt>
                <c:pt idx="2">
                  <c:v>569548990.82999992</c:v>
                </c:pt>
                <c:pt idx="3">
                  <c:v>688796260.51999998</c:v>
                </c:pt>
                <c:pt idx="4">
                  <c:v>1537917885.6499999</c:v>
                </c:pt>
                <c:pt idx="5">
                  <c:v>283315429.49000001</c:v>
                </c:pt>
              </c:numCache>
            </c:numRef>
          </c:val>
        </c:ser>
        <c:ser>
          <c:idx val="1"/>
          <c:order val="1"/>
          <c:tx>
            <c:strRef>
              <c:f>'X:\County Treasurer\Treasury\Pension Fund Investments\Analyst Directory\Portfolio Rebalancing\2015-16\[2016 03 Portfolio Balance.xlsx]Chart Data'!$C$2</c:f>
              <c:strCache>
                <c:ptCount val="1"/>
                <c:pt idx="0">
                  <c:v>FUND ALLOCATION</c:v>
                </c:pt>
              </c:strCache>
            </c:strRef>
          </c:tx>
          <c:dPt>
            <c:idx val="0"/>
            <c:bubble3D val="0"/>
            <c:spPr>
              <a:solidFill>
                <a:schemeClr val="accent1"/>
              </a:solidFill>
              <a:ln>
                <a:noFill/>
              </a:ln>
              <a:effectLst>
                <a:outerShdw blurRad="88900" sx="102000" sy="102000" algn="ctr" rotWithShape="0">
                  <a:prstClr val="black">
                    <a:alpha val="10000"/>
                  </a:prstClr>
                </a:outerShdw>
              </a:effectLst>
            </c:spPr>
          </c:dPt>
          <c:dPt>
            <c:idx val="1"/>
            <c:bubble3D val="0"/>
            <c:spPr>
              <a:solidFill>
                <a:schemeClr val="accent2"/>
              </a:solidFill>
              <a:ln>
                <a:noFill/>
              </a:ln>
              <a:effectLst>
                <a:outerShdw blurRad="88900" sx="102000" sy="102000" algn="ctr" rotWithShape="0">
                  <a:prstClr val="black">
                    <a:alpha val="10000"/>
                  </a:prstClr>
                </a:outerShdw>
              </a:effectLst>
            </c:spPr>
          </c:dPt>
          <c:dPt>
            <c:idx val="2"/>
            <c:bubble3D val="0"/>
            <c:spPr>
              <a:solidFill>
                <a:schemeClr val="accent3"/>
              </a:solidFill>
              <a:ln>
                <a:noFill/>
              </a:ln>
              <a:effectLst>
                <a:outerShdw blurRad="88900" sx="102000" sy="102000" algn="ctr" rotWithShape="0">
                  <a:prstClr val="black">
                    <a:alpha val="10000"/>
                  </a:prstClr>
                </a:outerShdw>
              </a:effectLst>
            </c:spPr>
          </c:dPt>
          <c:dPt>
            <c:idx val="3"/>
            <c:bubble3D val="0"/>
            <c:spPr>
              <a:solidFill>
                <a:schemeClr val="accent4"/>
              </a:solidFill>
              <a:ln>
                <a:noFill/>
              </a:ln>
              <a:effectLst>
                <a:outerShdw blurRad="88900" sx="102000" sy="102000" algn="ctr" rotWithShape="0">
                  <a:prstClr val="black">
                    <a:alpha val="10000"/>
                  </a:prstClr>
                </a:outerShdw>
              </a:effectLst>
            </c:spPr>
          </c:dPt>
          <c:dPt>
            <c:idx val="4"/>
            <c:bubble3D val="0"/>
            <c:spPr>
              <a:solidFill>
                <a:schemeClr val="accent5"/>
              </a:solidFill>
              <a:ln>
                <a:noFill/>
              </a:ln>
              <a:effectLst>
                <a:outerShdw blurRad="88900" sx="102000" sy="102000" algn="ctr" rotWithShape="0">
                  <a:prstClr val="black">
                    <a:alpha val="10000"/>
                  </a:prstClr>
                </a:outerShdw>
              </a:effectLst>
            </c:spPr>
          </c:dPt>
          <c:dPt>
            <c:idx val="5"/>
            <c:bubble3D val="0"/>
            <c:spPr>
              <a:solidFill>
                <a:schemeClr val="accent6"/>
              </a:solidFill>
              <a:ln>
                <a:noFill/>
              </a:ln>
              <a:effectLst>
                <a:outerShdw blurRad="88900" sx="102000" sy="102000" algn="ctr" rotWithShape="0">
                  <a:prstClr val="black">
                    <a:alpha val="10000"/>
                  </a:prstClr>
                </a:outerShdw>
              </a:effectLst>
            </c:spPr>
          </c:dPt>
          <c:dLbls>
            <c:dLbl>
              <c:idx val="0"/>
              <c:spPr>
                <a:noFill/>
                <a:ln>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dLbl>
            <c:dLbl>
              <c:idx val="1"/>
              <c:spPr>
                <a:noFill/>
                <a:ln>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dLbl>
            <c:dLbl>
              <c:idx val="2"/>
              <c:spPr>
                <a:noFill/>
                <a:ln>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dLbl>
            <c:dLbl>
              <c:idx val="3"/>
              <c:spPr>
                <a:noFill/>
                <a:ln>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0"/>
              <c:showBubbleSize val="0"/>
            </c:dLbl>
            <c:dLbl>
              <c:idx val="4"/>
              <c:spPr>
                <a:noFill/>
                <a:ln>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0"/>
              <c:showBubbleSize val="0"/>
            </c:dLbl>
            <c:dLbl>
              <c:idx val="5"/>
              <c:spPr>
                <a:noFill/>
                <a:ln>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0"/>
              <c:showBubbleSize val="0"/>
            </c:dLbl>
            <c:spPr>
              <a:noFill/>
              <a:ln>
                <a:noFill/>
              </a:ln>
            </c:spPr>
            <c:dLblPos val="outEnd"/>
            <c:showLegendKey val="0"/>
            <c:showVal val="0"/>
            <c:showCatName val="1"/>
            <c:showSerName val="0"/>
            <c:showPercent val="0"/>
            <c:showBubbleSize val="0"/>
            <c:showLeaderLines val="1"/>
            <c:leaderLines>
              <c:spPr>
                <a:ln w="9525">
                  <a:solidFill>
                    <a:schemeClr val="tx1">
                      <a:lumMod val="35000"/>
                      <a:lumOff val="65000"/>
                    </a:schemeClr>
                  </a:solidFill>
                  <a:round/>
                </a:ln>
              </c:spPr>
            </c:leaderLines>
            <c:extLst>
              <c:ext xmlns:c15="http://schemas.microsoft.com/office/drawing/2012/chart" uri="{CE6537A1-D6FC-4f65-9D91-7224C49458BB}"/>
            </c:extLst>
          </c:dLbls>
          <c:cat>
            <c:strRef>
              <c:f>'[2]Chart Data'!$A$3:$A$8</c:f>
              <c:strCache>
                <c:ptCount val="6"/>
                <c:pt idx="0">
                  <c:v>PUBLIC EQUITIES (£2.599bn)</c:v>
                </c:pt>
                <c:pt idx="1">
                  <c:v>PRIVATE EQUITY (£348.2m)</c:v>
                </c:pt>
                <c:pt idx="2">
                  <c:v>INFRASTRUCTURE (£569.5m)</c:v>
                </c:pt>
                <c:pt idx="3">
                  <c:v>REAL ESTATE (£688.8m)</c:v>
                </c:pt>
                <c:pt idx="4">
                  <c:v>CREDIT (£1.538bn)</c:v>
                </c:pt>
                <c:pt idx="5">
                  <c:v>CASH &amp; LIQUIDS (£283.3m)</c:v>
                </c:pt>
              </c:strCache>
            </c:strRef>
          </c:cat>
          <c:val>
            <c:numRef>
              <c:f>'[2]Chart Data'!$C$3:$C$8</c:f>
              <c:numCache>
                <c:formatCode>General</c:formatCode>
                <c:ptCount val="6"/>
                <c:pt idx="0">
                  <c:v>0.43128817604667524</c:v>
                </c:pt>
                <c:pt idx="1">
                  <c:v>5.7771913876064181E-2</c:v>
                </c:pt>
                <c:pt idx="2">
                  <c:v>9.4495173244095149E-2</c:v>
                </c:pt>
                <c:pt idx="3">
                  <c:v>0.11427975997792587</c:v>
                </c:pt>
                <c:pt idx="4">
                  <c:v>0.25515946719158772</c:v>
                </c:pt>
                <c:pt idx="5">
                  <c:v>4.7005509663651947E-2</c:v>
                </c:pt>
              </c:numCache>
            </c:numRef>
          </c:val>
        </c:ser>
        <c:dLbls>
          <c:dLblPos val="outEnd"/>
          <c:showLegendKey val="0"/>
          <c:showVal val="0"/>
          <c:showCatName val="1"/>
          <c:showSerName val="0"/>
          <c:showPercent val="0"/>
          <c:showBubbleSize val="0"/>
          <c:showLeaderLines val="1"/>
        </c:dLbls>
      </c:pie3DChart>
      <c:spPr>
        <a:noFill/>
        <a:ln>
          <a:noFill/>
        </a:ln>
      </c:spPr>
    </c:plotArea>
    <c:plotVisOnly val="1"/>
    <c:dispBlanksAs val="gap"/>
    <c:showDLblsOverMax val="0"/>
  </c:chart>
  <c:spPr>
    <a:solidFill>
      <a:schemeClr val="bg1"/>
    </a:solidFill>
    <a:ln w="9525">
      <a:solidFill>
        <a:schemeClr val="tx1">
          <a:lumMod val="15000"/>
          <a:lumOff val="85000"/>
        </a:schemeClr>
      </a:solidFill>
      <a:round/>
    </a:ln>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GB" sz="1600">
                <a:latin typeface="Arial" panose="020B0604020202020204" pitchFamily="34" charset="0"/>
                <a:cs typeface="Arial" panose="020B0604020202020204" pitchFamily="34" charset="0"/>
              </a:rPr>
              <a:t>Total fund return as at 31 March 2016</a:t>
            </a:r>
          </a:p>
        </c:rich>
      </c:tx>
      <c:layout/>
      <c:overlay val="0"/>
      <c:spPr>
        <a:noFill/>
        <a:ln>
          <a:noFill/>
        </a:ln>
      </c:spPr>
    </c:title>
    <c:autoTitleDeleted val="0"/>
    <c:plotArea>
      <c:layout/>
      <c:barChart>
        <c:barDir val="col"/>
        <c:grouping val="clustered"/>
        <c:varyColors val="0"/>
        <c:ser>
          <c:idx val="0"/>
          <c:order val="0"/>
          <c:tx>
            <c:strRef>
              <c:f>'March 2016'!$H$24</c:f>
              <c:strCache>
                <c:ptCount val="1"/>
                <c:pt idx="0">
                  <c:v>Lancashire</c:v>
                </c:pt>
              </c:strCache>
            </c:strRef>
          </c:tx>
          <c:spPr>
            <a:solidFill>
              <a:srgbClr val="00FF00">
                <a:alpha val="85000"/>
              </a:srgbClr>
            </a:solidFill>
            <a:ln w="9525">
              <a:solidFill>
                <a:srgbClr val="00FF00">
                  <a:alpha val="49804"/>
                </a:srgbClr>
              </a:solidFill>
              <a:round/>
            </a:ln>
          </c:spPr>
          <c:invertIfNegative val="0"/>
          <c:dLbls>
            <c:spPr>
              <a:noFill/>
              <a:ln>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'March 2016'!$G$25:$G$27</c:f>
              <c:strCache>
                <c:ptCount val="3"/>
                <c:pt idx="0">
                  <c:v>Five years</c:v>
                </c:pt>
                <c:pt idx="1">
                  <c:v>Three years</c:v>
                </c:pt>
                <c:pt idx="2">
                  <c:v>One year</c:v>
                </c:pt>
              </c:strCache>
            </c:strRef>
          </c:cat>
          <c:val>
            <c:numRef>
              <c:f>'March 2016'!$H$25:$H$27</c:f>
              <c:numCache>
                <c:formatCode>0.00</c:formatCode>
                <c:ptCount val="3"/>
                <c:pt idx="0">
                  <c:v>8.19</c:v>
                </c:pt>
                <c:pt idx="1">
                  <c:v>7.88</c:v>
                </c:pt>
                <c:pt idx="2">
                  <c:v>4.3600000000000003</c:v>
                </c:pt>
              </c:numCache>
            </c:numRef>
          </c:val>
        </c:ser>
        <c:ser>
          <c:idx val="1"/>
          <c:order val="1"/>
          <c:tx>
            <c:strRef>
              <c:f>'March 2016'!$I$24</c:f>
              <c:strCache>
                <c:ptCount val="1"/>
                <c:pt idx="0">
                  <c:v>Benchmark</c:v>
                </c:pt>
              </c:strCache>
            </c:strRef>
          </c:tx>
          <c:spPr>
            <a:solidFill>
              <a:srgbClr val="E057F7">
                <a:alpha val="85000"/>
              </a:srgbClr>
            </a:solidFill>
            <a:ln w="9525">
              <a:solidFill>
                <a:schemeClr val="lt1">
                  <a:alpha val="50000"/>
                </a:schemeClr>
              </a:solidFill>
              <a:round/>
            </a:ln>
          </c:spPr>
          <c:invertIfNegative val="0"/>
          <c:dLbls>
            <c:spPr>
              <a:noFill/>
              <a:ln>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'March 2016'!$G$25:$G$27</c:f>
              <c:strCache>
                <c:ptCount val="3"/>
                <c:pt idx="0">
                  <c:v>Five years</c:v>
                </c:pt>
                <c:pt idx="1">
                  <c:v>Three years</c:v>
                </c:pt>
                <c:pt idx="2">
                  <c:v>One year</c:v>
                </c:pt>
              </c:strCache>
            </c:strRef>
          </c:cat>
          <c:val>
            <c:numRef>
              <c:f>'March 2016'!$I$25:$I$27</c:f>
              <c:numCache>
                <c:formatCode>0.00</c:formatCode>
                <c:ptCount val="3"/>
                <c:pt idx="0">
                  <c:v>7.37</c:v>
                </c:pt>
                <c:pt idx="1">
                  <c:v>6.79</c:v>
                </c:pt>
                <c:pt idx="2">
                  <c:v>3.59</c:v>
                </c:pt>
              </c:numCache>
            </c:numRef>
          </c:val>
        </c:ser>
        <c:ser>
          <c:idx val="2"/>
          <c:order val="2"/>
          <c:tx>
            <c:strRef>
              <c:f>'March 2016'!$J$24</c:f>
              <c:strCache>
                <c:ptCount val="1"/>
                <c:pt idx="0">
                  <c:v>Gilts + 1.6% (Actuarial)</c:v>
                </c:pt>
              </c:strCache>
            </c:strRef>
          </c:tx>
          <c:spPr>
            <a:solidFill>
              <a:srgbClr val="FFFF00">
                <a:alpha val="85000"/>
              </a:srgbClr>
            </a:solidFill>
            <a:ln w="9525">
              <a:solidFill>
                <a:schemeClr val="lt1">
                  <a:alpha val="50000"/>
                </a:schemeClr>
              </a:solidFill>
              <a:round/>
            </a:ln>
          </c:spPr>
          <c:invertIfNegative val="0"/>
          <c:dLbls>
            <c:spPr>
              <a:noFill/>
              <a:ln>
                <a:noFill/>
              </a:ln>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'March 2016'!$G$25:$G$27</c:f>
              <c:strCache>
                <c:ptCount val="3"/>
                <c:pt idx="0">
                  <c:v>Five years</c:v>
                </c:pt>
                <c:pt idx="1">
                  <c:v>Three years</c:v>
                </c:pt>
                <c:pt idx="2">
                  <c:v>One year</c:v>
                </c:pt>
              </c:strCache>
            </c:strRef>
          </c:cat>
          <c:val>
            <c:numRef>
              <c:f>'March 2016'!$J$25:$J$27</c:f>
              <c:numCache>
                <c:formatCode>0.00</c:formatCode>
                <c:ptCount val="3"/>
                <c:pt idx="0">
                  <c:v>8.93</c:v>
                </c:pt>
                <c:pt idx="1">
                  <c:v>6.62</c:v>
                </c:pt>
                <c:pt idx="2">
                  <c:v>4.88</c:v>
                </c:pt>
              </c:numCache>
            </c:numRef>
          </c:val>
        </c:ser>
        <c:dLbls>
          <c:dLblPos val="inEnd"/>
          <c:showLegendKey val="0"/>
          <c:showVal val="1"/>
          <c:showCatName val="0"/>
          <c:showSerName val="0"/>
          <c:showPercent val="0"/>
          <c:showBubbleSize val="0"/>
        </c:dLbls>
        <c:gapWidth val="65"/>
        <c:axId val="296811056"/>
        <c:axId val="296811448"/>
      </c:barChart>
      <c:catAx>
        <c:axId val="296811056"/>
        <c:scaling>
          <c:orientation val="minMax"/>
        </c:scaling>
        <c:delete val="0"/>
        <c:axPos val="b"/>
        <c:numFmt formatCode="General" sourceLinked="1"/>
        <c:majorTickMark val="none"/>
        <c:minorTickMark val="none"/>
        <c:tickLblPos val="nextTo"/>
        <c:spPr>
          <a:noFill/>
          <a:ln w="19050">
            <a:solidFill>
              <a:schemeClr val="dk1">
                <a:lumMod val="75000"/>
                <a:lumOff val="25000"/>
              </a:schemeClr>
            </a:solidFill>
            <a:round/>
          </a:ln>
        </c:spPr>
        <c:txPr>
          <a:bodyPr rot="0" spcFirstLastPara="1" vertOverflow="ellipsis" vert="horz" wrap="square" anchor="ctr" anchorCtr="1"/>
          <a:lstStyle/>
          <a:p>
            <a:pPr>
              <a:defRPr sz="12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296811448"/>
        <c:crosses val="autoZero"/>
        <c:auto val="1"/>
        <c:lblAlgn val="ctr"/>
        <c:lblOffset val="100"/>
        <c:noMultiLvlLbl val="0"/>
      </c:catAx>
      <c:valAx>
        <c:axId val="296811448"/>
        <c:scaling>
          <c:orientation val="minMax"/>
        </c:scaling>
        <c:delete val="1"/>
        <c:axPos val="l"/>
        <c:majorGridlines>
          <c:spPr>
            <a:ln w="9525">
              <a:gradFill rotWithShape="0">
                <a:gsLst>
                  <a:gs pos="0">
                    <a:schemeClr val="lt1">
                      <a:lumMod val="75000"/>
                      <a:alpha val="36000"/>
                    </a:schemeClr>
                  </a:gs>
                  <a:gs pos="100000">
                    <a:schemeClr val="dk1">
                      <a:lumMod val="95000"/>
                      <a:lumOff val="5000"/>
                      <a:alpha val="42000"/>
                    </a:schemeClr>
                  </a:gs>
                </a:gsLst>
                <a:lin ang="5400000" scaled="0"/>
              </a:gradFill>
              <a:round/>
            </a:ln>
          </c:spPr>
        </c:majorGridlines>
        <c:title>
          <c:tx>
            <c:rich>
              <a:bodyPr rot="-540000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GB" sz="1200">
                    <a:latin typeface="Arial" panose="020B0604020202020204" pitchFamily="34" charset="0"/>
                    <a:cs typeface="Arial" panose="020B0604020202020204" pitchFamily="34" charset="0"/>
                  </a:rPr>
                  <a:t>Annualised Rate of Return (%)</a:t>
                </a:r>
              </a:p>
            </c:rich>
          </c:tx>
          <c:layout/>
          <c:overlay val="0"/>
          <c:spPr>
            <a:noFill/>
            <a:ln>
              <a:noFill/>
            </a:ln>
          </c:spPr>
        </c:title>
        <c:numFmt formatCode="0.00" sourceLinked="1"/>
        <c:majorTickMark val="none"/>
        <c:minorTickMark val="none"/>
        <c:tickLblPos val="nextTo"/>
        <c:crossAx val="296811056"/>
        <c:crosses val="autoZero"/>
        <c:crossBetween val="between"/>
      </c:valAx>
      <c:spPr>
        <a:noFill/>
        <a:ln>
          <a:noFill/>
        </a:ln>
      </c:spPr>
    </c:plotArea>
    <c:legend>
      <c:legendPos val="b"/>
      <c:layout/>
      <c:overlay val="0"/>
      <c:spPr>
        <a:solidFill>
          <a:schemeClr val="lt1">
            <a:lumMod val="95000"/>
            <a:alpha val="39000"/>
          </a:schemeClr>
        </a:solidFill>
        <a:ln>
          <a:noFill/>
        </a:ln>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GB" sz="1400">
                <a:latin typeface="Arial" panose="020B0604020202020204" pitchFamily="34" charset="0"/>
                <a:cs typeface="Arial" panose="020B0604020202020204" pitchFamily="34" charset="0"/>
              </a:rPr>
              <a:t>Equity Manager - 12 month performance</a:t>
            </a:r>
          </a:p>
        </c:rich>
      </c:tx>
      <c:layout/>
      <c:overlay val="0"/>
      <c:spPr>
        <a:noFill/>
        <a:ln>
          <a:noFill/>
        </a:ln>
      </c:spPr>
    </c:title>
    <c:autoTitleDeleted val="0"/>
    <c:plotArea>
      <c:layout>
        <c:manualLayout>
          <c:layoutTarget val="inner"/>
          <c:xMode val="edge"/>
          <c:yMode val="edge"/>
          <c:x val="5.3005953597981444E-2"/>
          <c:y val="0.12059663533650063"/>
          <c:w val="0.93909549127416569"/>
          <c:h val="0.79135584427129524"/>
        </c:manualLayout>
      </c:layout>
      <c:barChart>
        <c:barDir val="col"/>
        <c:grouping val="clustered"/>
        <c:varyColors val="0"/>
        <c:ser>
          <c:idx val="7"/>
          <c:order val="0"/>
          <c:tx>
            <c:strRef>
              <c:f>'March 2016'!$A$80:$B$80</c:f>
              <c:strCache>
                <c:ptCount val="2"/>
                <c:pt idx="0">
                  <c:v>12 months % p.a.</c:v>
                </c:pt>
                <c:pt idx="1">
                  <c:v>Absolute</c:v>
                </c:pt>
              </c:strCache>
            </c:strRef>
          </c:tx>
          <c:spPr>
            <a:solidFill>
              <a:srgbClr val="00FF00">
                <a:alpha val="85000"/>
              </a:srgbClr>
            </a:solidFill>
            <a:ln w="9525">
              <a:solidFill>
                <a:schemeClr val="lt1">
                  <a:alpha val="50000"/>
                </a:schemeClr>
              </a:solidFill>
              <a:round/>
            </a:ln>
          </c:spPr>
          <c:invertIfNegative val="0"/>
          <c:dLbls>
            <c:spPr>
              <a:noFill/>
              <a:ln>
                <a:noFill/>
              </a:ln>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'March 2016'!$C$69:$I$72</c:f>
              <c:strCache>
                <c:ptCount val="7"/>
                <c:pt idx="0">
                  <c:v>Baillie Gifford</c:v>
                </c:pt>
                <c:pt idx="1">
                  <c:v>MFS</c:v>
                </c:pt>
                <c:pt idx="2">
                  <c:v>Natixis</c:v>
                </c:pt>
                <c:pt idx="3">
                  <c:v>Morgan Stanley </c:v>
                </c:pt>
                <c:pt idx="4">
                  <c:v>Robeco</c:v>
                </c:pt>
                <c:pt idx="5">
                  <c:v>Magellan</c:v>
                </c:pt>
                <c:pt idx="6">
                  <c:v>AGF</c:v>
                </c:pt>
              </c:strCache>
            </c:strRef>
          </c:cat>
          <c:val>
            <c:numRef>
              <c:f>'March 2016'!$C$80:$I$80</c:f>
              <c:numCache>
                <c:formatCode>0.00_ ;[Red]\-0.00\ </c:formatCode>
                <c:ptCount val="7"/>
                <c:pt idx="0">
                  <c:v>-0.11</c:v>
                </c:pt>
                <c:pt idx="1">
                  <c:v>4.75</c:v>
                </c:pt>
                <c:pt idx="2">
                  <c:v>-9.11</c:v>
                </c:pt>
                <c:pt idx="3">
                  <c:v>14.53</c:v>
                </c:pt>
                <c:pt idx="4">
                  <c:v>10.59</c:v>
                </c:pt>
                <c:pt idx="5">
                  <c:v>5.92</c:v>
                </c:pt>
                <c:pt idx="6">
                  <c:v>-11.75</c:v>
                </c:pt>
              </c:numCache>
            </c:numRef>
          </c:val>
        </c:ser>
        <c:ser>
          <c:idx val="8"/>
          <c:order val="1"/>
          <c:tx>
            <c:strRef>
              <c:f>'March 2016'!$A$81:$B$81</c:f>
              <c:strCache>
                <c:ptCount val="2"/>
                <c:pt idx="0">
                  <c:v>12 months % p.a.</c:v>
                </c:pt>
                <c:pt idx="1">
                  <c:v>Benchmark</c:v>
                </c:pt>
              </c:strCache>
            </c:strRef>
          </c:tx>
          <c:spPr>
            <a:solidFill>
              <a:srgbClr val="E057F7">
                <a:alpha val="85000"/>
              </a:srgbClr>
            </a:solidFill>
            <a:ln w="9525">
              <a:solidFill>
                <a:schemeClr val="lt1">
                  <a:alpha val="50000"/>
                </a:schemeClr>
              </a:solidFill>
              <a:round/>
            </a:ln>
          </c:spPr>
          <c:invertIfNegative val="0"/>
          <c:dLbls>
            <c:spPr>
              <a:noFill/>
              <a:ln>
                <a:noFill/>
              </a:ln>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'March 2016'!$C$69:$I$72</c:f>
              <c:strCache>
                <c:ptCount val="7"/>
                <c:pt idx="0">
                  <c:v>Baillie Gifford</c:v>
                </c:pt>
                <c:pt idx="1">
                  <c:v>MFS</c:v>
                </c:pt>
                <c:pt idx="2">
                  <c:v>Natixis</c:v>
                </c:pt>
                <c:pt idx="3">
                  <c:v>Morgan Stanley </c:v>
                </c:pt>
                <c:pt idx="4">
                  <c:v>Robeco</c:v>
                </c:pt>
                <c:pt idx="5">
                  <c:v>Magellan</c:v>
                </c:pt>
                <c:pt idx="6">
                  <c:v>AGF</c:v>
                </c:pt>
              </c:strCache>
            </c:strRef>
          </c:cat>
          <c:val>
            <c:numRef>
              <c:f>'March 2016'!$C$81:$I$81</c:f>
              <c:numCache>
                <c:formatCode>0.00_ ;[Red]\-0.00\ </c:formatCode>
                <c:ptCount val="7"/>
                <c:pt idx="0">
                  <c:v>0.28999999999999998</c:v>
                </c:pt>
                <c:pt idx="1">
                  <c:v>0.28999999999999998</c:v>
                </c:pt>
                <c:pt idx="2">
                  <c:v>0.28999999999999998</c:v>
                </c:pt>
                <c:pt idx="3">
                  <c:v>0.28999999999999998</c:v>
                </c:pt>
                <c:pt idx="4">
                  <c:v>0.28999999999999998</c:v>
                </c:pt>
                <c:pt idx="5">
                  <c:v>0.28999999999999998</c:v>
                </c:pt>
                <c:pt idx="6">
                  <c:v>-8.91</c:v>
                </c:pt>
              </c:numCache>
            </c:numRef>
          </c:val>
        </c:ser>
        <c:dLbls>
          <c:dLblPos val="inEnd"/>
          <c:showLegendKey val="0"/>
          <c:showVal val="1"/>
          <c:showCatName val="0"/>
          <c:showSerName val="0"/>
          <c:showPercent val="0"/>
          <c:showBubbleSize val="0"/>
        </c:dLbls>
        <c:gapWidth val="65"/>
        <c:axId val="296967320"/>
        <c:axId val="296967712"/>
      </c:barChart>
      <c:catAx>
        <c:axId val="296967320"/>
        <c:scaling>
          <c:orientation val="minMax"/>
        </c:scaling>
        <c:delete val="0"/>
        <c:axPos val="b"/>
        <c:numFmt formatCode="General" sourceLinked="1"/>
        <c:majorTickMark val="none"/>
        <c:minorTickMark val="none"/>
        <c:tickLblPos val="low"/>
        <c:spPr>
          <a:noFill/>
          <a:ln w="19050">
            <a:solidFill>
              <a:schemeClr val="dk1">
                <a:lumMod val="75000"/>
                <a:lumOff val="25000"/>
              </a:schemeClr>
            </a:solidFill>
            <a:round/>
          </a:ln>
        </c:spPr>
        <c:txPr>
          <a:bodyPr rot="0" spcFirstLastPara="1" vertOverflow="ellipsis" vert="horz" wrap="square" anchor="ctr" anchorCtr="1"/>
          <a:lstStyle/>
          <a:p>
            <a:pPr>
              <a:defRPr sz="11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296967712"/>
        <c:crosses val="autoZero"/>
        <c:auto val="1"/>
        <c:lblAlgn val="ctr"/>
        <c:lblOffset val="0"/>
        <c:noMultiLvlLbl val="0"/>
      </c:catAx>
      <c:valAx>
        <c:axId val="296967712"/>
        <c:scaling>
          <c:orientation val="minMax"/>
        </c:scaling>
        <c:delete val="1"/>
        <c:axPos val="l"/>
        <c:majorGridlines>
          <c:spPr>
            <a:ln w="9525">
              <a:gradFill rotWithShape="0">
                <a:gsLst>
                  <a:gs pos="0">
                    <a:schemeClr val="lt1">
                      <a:lumMod val="75000"/>
                      <a:alpha val="36000"/>
                    </a:schemeClr>
                  </a:gs>
                  <a:gs pos="100000">
                    <a:schemeClr val="dk1">
                      <a:lumMod val="95000"/>
                      <a:lumOff val="5000"/>
                      <a:alpha val="42000"/>
                    </a:schemeClr>
                  </a:gs>
                </a:gsLst>
                <a:lin ang="5400000" scaled="0"/>
              </a:gradFill>
              <a:round/>
            </a:ln>
          </c:spPr>
        </c:majorGridlines>
        <c:title>
          <c:tx>
            <c:rich>
              <a:bodyPr rot="-5400000" spcFirstLastPara="1" vertOverflow="ellipsis" vert="horz" wrap="square" anchor="ctr" anchorCtr="1"/>
              <a:lstStyle/>
              <a:p>
                <a:pPr>
                  <a:defRPr sz="11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US" sz="1100">
                    <a:latin typeface="Arial" panose="020B0604020202020204" pitchFamily="34" charset="0"/>
                    <a:cs typeface="Arial" panose="020B0604020202020204" pitchFamily="34" charset="0"/>
                  </a:rPr>
                  <a:t>% return</a:t>
                </a:r>
              </a:p>
            </c:rich>
          </c:tx>
          <c:layout/>
          <c:overlay val="0"/>
          <c:spPr>
            <a:noFill/>
            <a:ln>
              <a:noFill/>
            </a:ln>
          </c:spPr>
        </c:title>
        <c:numFmt formatCode="0.00_ ;[Red]\-0.00\ " sourceLinked="1"/>
        <c:majorTickMark val="none"/>
        <c:minorTickMark val="none"/>
        <c:tickLblPos val="nextTo"/>
        <c:crossAx val="296967320"/>
        <c:crosses val="autoZero"/>
        <c:crossBetween val="between"/>
      </c:valAx>
      <c:spPr>
        <a:noFill/>
        <a:ln>
          <a:noFill/>
        </a:ln>
      </c:spPr>
    </c:plotArea>
    <c:legend>
      <c:legendPos val="r"/>
      <c:layout>
        <c:manualLayout>
          <c:xMode val="edge"/>
          <c:yMode val="edge"/>
          <c:x val="0.6780604386367457"/>
          <c:y val="0.20537254893007897"/>
          <c:w val="0.31039888046308117"/>
          <c:h val="0.14593799868956656"/>
        </c:manualLayout>
      </c:layout>
      <c:overlay val="0"/>
      <c:spPr>
        <a:solidFill>
          <a:schemeClr val="lt1">
            <a:lumMod val="95000"/>
            <a:alpha val="39000"/>
          </a:schemeClr>
        </a:solidFill>
        <a:ln>
          <a:noFill/>
        </a:ln>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GB" sz="1400">
                <a:latin typeface="Arial" panose="020B0604020202020204" pitchFamily="34" charset="0"/>
                <a:cs typeface="Arial" panose="020B0604020202020204" pitchFamily="34" charset="0"/>
              </a:rPr>
              <a:t>Equity Manager - Performance since inception</a:t>
            </a:r>
          </a:p>
        </c:rich>
      </c:tx>
      <c:layout>
        <c:manualLayout>
          <c:xMode val="edge"/>
          <c:yMode val="edge"/>
          <c:x val="0.23540092101235807"/>
          <c:y val="1.9115890083632018E-2"/>
        </c:manualLayout>
      </c:layout>
      <c:overlay val="0"/>
      <c:spPr>
        <a:noFill/>
        <a:ln>
          <a:noFill/>
        </a:ln>
      </c:spPr>
    </c:title>
    <c:autoTitleDeleted val="0"/>
    <c:plotArea>
      <c:layout>
        <c:manualLayout>
          <c:layoutTarget val="inner"/>
          <c:xMode val="edge"/>
          <c:yMode val="edge"/>
          <c:x val="2.0404804878251307E-2"/>
          <c:y val="0.12235151601524923"/>
          <c:w val="0.96402123591324163"/>
          <c:h val="0.77928955713115045"/>
        </c:manualLayout>
      </c:layout>
      <c:barChart>
        <c:barDir val="col"/>
        <c:grouping val="clustered"/>
        <c:varyColors val="0"/>
        <c:ser>
          <c:idx val="19"/>
          <c:order val="0"/>
          <c:tx>
            <c:strRef>
              <c:f>'March 2016'!$A$92:$B$92</c:f>
              <c:strCache>
                <c:ptCount val="2"/>
                <c:pt idx="0">
                  <c:v>Inception % p.a.</c:v>
                </c:pt>
                <c:pt idx="1">
                  <c:v>Absolute</c:v>
                </c:pt>
              </c:strCache>
            </c:strRef>
          </c:tx>
          <c:spPr>
            <a:solidFill>
              <a:srgbClr val="00FF00">
                <a:alpha val="85000"/>
              </a:srgbClr>
            </a:solidFill>
            <a:ln w="9525">
              <a:solidFill>
                <a:schemeClr val="lt1">
                  <a:alpha val="50000"/>
                </a:schemeClr>
              </a:solidFill>
              <a:round/>
            </a:ln>
          </c:spPr>
          <c:invertIfNegative val="0"/>
          <c:dLbls>
            <c:spPr>
              <a:noFill/>
              <a:ln>
                <a:noFill/>
              </a:ln>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'March 2016'!$C$69:$I$72</c:f>
              <c:strCache>
                <c:ptCount val="7"/>
                <c:pt idx="0">
                  <c:v>Baillie Gifford</c:v>
                </c:pt>
                <c:pt idx="1">
                  <c:v>MFS</c:v>
                </c:pt>
                <c:pt idx="2">
                  <c:v>Natixis</c:v>
                </c:pt>
                <c:pt idx="3">
                  <c:v>Morgan Stanley </c:v>
                </c:pt>
                <c:pt idx="4">
                  <c:v>Robeco</c:v>
                </c:pt>
                <c:pt idx="5">
                  <c:v>Magellan</c:v>
                </c:pt>
                <c:pt idx="6">
                  <c:v>AGF</c:v>
                </c:pt>
              </c:strCache>
            </c:strRef>
          </c:cat>
          <c:val>
            <c:numRef>
              <c:f>'March 2016'!$C$92:$I$92</c:f>
              <c:numCache>
                <c:formatCode>0.00_ ;[Red]\-0.00\ </c:formatCode>
                <c:ptCount val="7"/>
                <c:pt idx="0">
                  <c:v>14.39</c:v>
                </c:pt>
                <c:pt idx="1">
                  <c:v>17.93</c:v>
                </c:pt>
                <c:pt idx="2">
                  <c:v>14.16</c:v>
                </c:pt>
                <c:pt idx="3">
                  <c:v>14.79</c:v>
                </c:pt>
                <c:pt idx="4">
                  <c:v>15.27</c:v>
                </c:pt>
                <c:pt idx="5">
                  <c:v>11.6</c:v>
                </c:pt>
                <c:pt idx="6">
                  <c:v>-1.39</c:v>
                </c:pt>
              </c:numCache>
            </c:numRef>
          </c:val>
        </c:ser>
        <c:ser>
          <c:idx val="20"/>
          <c:order val="1"/>
          <c:tx>
            <c:strRef>
              <c:f>'March 2016'!$A$93:$B$93</c:f>
              <c:strCache>
                <c:ptCount val="2"/>
                <c:pt idx="0">
                  <c:v>Inception % p.a.</c:v>
                </c:pt>
                <c:pt idx="1">
                  <c:v>Benchmark</c:v>
                </c:pt>
              </c:strCache>
            </c:strRef>
          </c:tx>
          <c:spPr>
            <a:solidFill>
              <a:srgbClr val="E057F7">
                <a:alpha val="85000"/>
              </a:srgbClr>
            </a:solidFill>
            <a:ln w="9525">
              <a:solidFill>
                <a:schemeClr val="lt1">
                  <a:alpha val="50000"/>
                </a:schemeClr>
              </a:solidFill>
              <a:round/>
            </a:ln>
          </c:spPr>
          <c:invertIfNegative val="0"/>
          <c:dLbls>
            <c:spPr>
              <a:noFill/>
              <a:ln>
                <a:noFill/>
              </a:ln>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'March 2016'!$C$69:$I$72</c:f>
              <c:strCache>
                <c:ptCount val="7"/>
                <c:pt idx="0">
                  <c:v>Baillie Gifford</c:v>
                </c:pt>
                <c:pt idx="1">
                  <c:v>MFS</c:v>
                </c:pt>
                <c:pt idx="2">
                  <c:v>Natixis</c:v>
                </c:pt>
                <c:pt idx="3">
                  <c:v>Morgan Stanley </c:v>
                </c:pt>
                <c:pt idx="4">
                  <c:v>Robeco</c:v>
                </c:pt>
                <c:pt idx="5">
                  <c:v>Magellan</c:v>
                </c:pt>
                <c:pt idx="6">
                  <c:v>AGF</c:v>
                </c:pt>
              </c:strCache>
            </c:strRef>
          </c:cat>
          <c:val>
            <c:numRef>
              <c:f>'March 2016'!$C$93:$I$93</c:f>
              <c:numCache>
                <c:formatCode>0.00_ ;[Red]\-0.00\ </c:formatCode>
                <c:ptCount val="7"/>
                <c:pt idx="0">
                  <c:v>13.16</c:v>
                </c:pt>
                <c:pt idx="1">
                  <c:v>13.16</c:v>
                </c:pt>
                <c:pt idx="2">
                  <c:v>13.16</c:v>
                </c:pt>
                <c:pt idx="3">
                  <c:v>13.16</c:v>
                </c:pt>
                <c:pt idx="4">
                  <c:v>13.16</c:v>
                </c:pt>
                <c:pt idx="5">
                  <c:v>8.64</c:v>
                </c:pt>
                <c:pt idx="6">
                  <c:v>-0.4</c:v>
                </c:pt>
              </c:numCache>
            </c:numRef>
          </c:val>
        </c:ser>
        <c:dLbls>
          <c:dLblPos val="inEnd"/>
          <c:showLegendKey val="0"/>
          <c:showVal val="1"/>
          <c:showCatName val="0"/>
          <c:showSerName val="0"/>
          <c:showPercent val="0"/>
          <c:showBubbleSize val="0"/>
        </c:dLbls>
        <c:gapWidth val="65"/>
        <c:axId val="296968496"/>
        <c:axId val="296968888"/>
      </c:barChart>
      <c:catAx>
        <c:axId val="296968496"/>
        <c:scaling>
          <c:orientation val="minMax"/>
        </c:scaling>
        <c:delete val="0"/>
        <c:axPos val="b"/>
        <c:numFmt formatCode="General" sourceLinked="1"/>
        <c:majorTickMark val="none"/>
        <c:minorTickMark val="none"/>
        <c:tickLblPos val="low"/>
        <c:spPr>
          <a:noFill/>
          <a:ln w="19050">
            <a:solidFill>
              <a:schemeClr val="dk1">
                <a:lumMod val="75000"/>
                <a:lumOff val="25000"/>
              </a:schemeClr>
            </a:solidFill>
            <a:round/>
          </a:ln>
        </c:spPr>
        <c:txPr>
          <a:bodyPr rot="0" spcFirstLastPara="1" vertOverflow="ellipsis" vert="horz" wrap="square" anchor="ctr" anchorCtr="1"/>
          <a:lstStyle/>
          <a:p>
            <a:pPr>
              <a:defRPr sz="105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296968888"/>
        <c:crosses val="autoZero"/>
        <c:auto val="1"/>
        <c:lblAlgn val="ctr"/>
        <c:lblOffset val="0"/>
        <c:noMultiLvlLbl val="0"/>
      </c:catAx>
      <c:valAx>
        <c:axId val="296968888"/>
        <c:scaling>
          <c:orientation val="minMax"/>
        </c:scaling>
        <c:delete val="1"/>
        <c:axPos val="l"/>
        <c:majorGridlines>
          <c:spPr>
            <a:ln w="9525">
              <a:gradFill rotWithShape="0">
                <a:gsLst>
                  <a:gs pos="0">
                    <a:schemeClr val="lt1">
                      <a:lumMod val="75000"/>
                      <a:alpha val="36000"/>
                    </a:schemeClr>
                  </a:gs>
                  <a:gs pos="100000">
                    <a:schemeClr val="dk1">
                      <a:lumMod val="95000"/>
                      <a:lumOff val="5000"/>
                      <a:alpha val="42000"/>
                    </a:schemeClr>
                  </a:gs>
                </a:gsLst>
                <a:lin ang="5400000" scaled="0"/>
              </a:gradFill>
              <a:round/>
            </a:ln>
          </c:spPr>
        </c:majorGridlines>
        <c:title>
          <c:tx>
            <c:rich>
              <a:bodyPr rot="-5400000" spcFirstLastPara="1" vertOverflow="ellipsis" vert="horz" wrap="square" anchor="ctr" anchorCtr="1"/>
              <a:lstStyle/>
              <a:p>
                <a:pPr>
                  <a:defRPr sz="105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US" sz="1050">
                    <a:latin typeface="Arial" panose="020B0604020202020204" pitchFamily="34" charset="0"/>
                    <a:cs typeface="Arial" panose="020B0604020202020204" pitchFamily="34" charset="0"/>
                  </a:rPr>
                  <a:t>% return</a:t>
                </a:r>
              </a:p>
            </c:rich>
          </c:tx>
          <c:layout/>
          <c:overlay val="0"/>
          <c:spPr>
            <a:noFill/>
            <a:ln>
              <a:noFill/>
            </a:ln>
          </c:spPr>
        </c:title>
        <c:numFmt formatCode="0.00_ ;[Red]\-0.00\ " sourceLinked="1"/>
        <c:majorTickMark val="none"/>
        <c:minorTickMark val="none"/>
        <c:tickLblPos val="nextTo"/>
        <c:crossAx val="296968496"/>
        <c:crosses val="autoZero"/>
        <c:crossBetween val="between"/>
      </c:valAx>
      <c:spPr>
        <a:noFill/>
        <a:ln>
          <a:noFill/>
        </a:ln>
      </c:spPr>
    </c:plotArea>
    <c:legend>
      <c:legendPos val="r"/>
      <c:layout>
        <c:manualLayout>
          <c:xMode val="edge"/>
          <c:yMode val="edge"/>
          <c:x val="0.76234890397112787"/>
          <c:y val="0.16806863969590008"/>
          <c:w val="0.22614692576715228"/>
          <c:h val="0.16482823784957912"/>
        </c:manualLayout>
      </c:layout>
      <c:overlay val="0"/>
      <c:spPr>
        <a:solidFill>
          <a:schemeClr val="lt1">
            <a:lumMod val="95000"/>
            <a:alpha val="39000"/>
          </a:schemeClr>
        </a:solidFill>
        <a:ln>
          <a:noFill/>
        </a:ln>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GB" sz="1400">
                <a:latin typeface="Arial" panose="020B0604020202020204" pitchFamily="34" charset="0"/>
                <a:cs typeface="Arial" panose="020B0604020202020204" pitchFamily="34" charset="0"/>
              </a:rPr>
              <a:t>One year performance by asset class to 31 March 2016</a:t>
            </a:r>
          </a:p>
        </c:rich>
      </c:tx>
      <c:layout/>
      <c:overlay val="0"/>
      <c:spPr>
        <a:noFill/>
        <a:ln>
          <a:noFill/>
        </a:ln>
      </c:spPr>
    </c:title>
    <c:autoTitleDeleted val="0"/>
    <c:plotArea>
      <c:layout>
        <c:manualLayout>
          <c:layoutTarget val="inner"/>
          <c:xMode val="edge"/>
          <c:yMode val="edge"/>
          <c:x val="0.22611557448456102"/>
          <c:y val="0.17528526341344985"/>
          <c:w val="0.69883364569749173"/>
          <c:h val="0.47877150825920978"/>
        </c:manualLayout>
      </c:layout>
      <c:barChart>
        <c:barDir val="bar"/>
        <c:grouping val="clustered"/>
        <c:varyColors val="0"/>
        <c:ser>
          <c:idx val="0"/>
          <c:order val="0"/>
          <c:tx>
            <c:strRef>
              <c:f>'March 2016'!$B$111</c:f>
              <c:strCache>
                <c:ptCount val="1"/>
                <c:pt idx="0">
                  <c:v>Benchmark</c:v>
                </c:pt>
              </c:strCache>
            </c:strRef>
          </c:tx>
          <c:spPr>
            <a:solidFill>
              <a:srgbClr val="92D050">
                <a:alpha val="85000"/>
              </a:srgbClr>
            </a:solidFill>
            <a:ln w="9525">
              <a:solidFill>
                <a:schemeClr val="lt1">
                  <a:alpha val="50000"/>
                </a:schemeClr>
              </a:solidFill>
              <a:round/>
            </a:ln>
          </c:spPr>
          <c:invertIfNegative val="0"/>
          <c:dLbls>
            <c:spPr>
              <a:noFill/>
              <a:ln>
                <a:noFill/>
              </a:ln>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'March 2016'!$A$112:$A$119</c:f>
              <c:strCache>
                <c:ptCount val="3"/>
                <c:pt idx="0">
                  <c:v>Infrastructure</c:v>
                </c:pt>
                <c:pt idx="1">
                  <c:v>Property</c:v>
                </c:pt>
                <c:pt idx="2">
                  <c:v>Private equity</c:v>
                </c:pt>
              </c:strCache>
            </c:strRef>
          </c:cat>
          <c:val>
            <c:numRef>
              <c:f>'March 2016'!$B$112:$B$119</c:f>
              <c:numCache>
                <c:formatCode>0.00</c:formatCode>
                <c:ptCount val="3"/>
                <c:pt idx="0">
                  <c:v>8</c:v>
                </c:pt>
                <c:pt idx="1">
                  <c:v>11.79</c:v>
                </c:pt>
                <c:pt idx="2">
                  <c:v>10</c:v>
                </c:pt>
              </c:numCache>
            </c:numRef>
          </c:val>
        </c:ser>
        <c:ser>
          <c:idx val="1"/>
          <c:order val="1"/>
          <c:tx>
            <c:strRef>
              <c:f>'March 2016'!$C$111</c:f>
              <c:strCache>
                <c:ptCount val="1"/>
                <c:pt idx="0">
                  <c:v>Lancashire</c:v>
                </c:pt>
              </c:strCache>
            </c:strRef>
          </c:tx>
          <c:spPr>
            <a:solidFill>
              <a:srgbClr val="E057F7">
                <a:alpha val="85000"/>
              </a:srgbClr>
            </a:solidFill>
            <a:ln w="9525">
              <a:solidFill>
                <a:schemeClr val="lt1">
                  <a:alpha val="50000"/>
                </a:schemeClr>
              </a:solidFill>
              <a:round/>
            </a:ln>
          </c:spPr>
          <c:invertIfNegative val="0"/>
          <c:dLbls>
            <c:spPr>
              <a:noFill/>
              <a:ln>
                <a:noFill/>
              </a:ln>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'March 2016'!$A$112:$A$119</c:f>
              <c:strCache>
                <c:ptCount val="3"/>
                <c:pt idx="0">
                  <c:v>Infrastructure</c:v>
                </c:pt>
                <c:pt idx="1">
                  <c:v>Property</c:v>
                </c:pt>
                <c:pt idx="2">
                  <c:v>Private equity</c:v>
                </c:pt>
              </c:strCache>
            </c:strRef>
          </c:cat>
          <c:val>
            <c:numRef>
              <c:f>'March 2016'!$C$112:$C$119</c:f>
              <c:numCache>
                <c:formatCode>0.00</c:formatCode>
                <c:ptCount val="3"/>
                <c:pt idx="0">
                  <c:v>0.04</c:v>
                </c:pt>
                <c:pt idx="1">
                  <c:v>9.58</c:v>
                </c:pt>
                <c:pt idx="2">
                  <c:v>22.72</c:v>
                </c:pt>
              </c:numCache>
            </c:numRef>
          </c:val>
        </c:ser>
        <c:dLbls>
          <c:dLblPos val="inEnd"/>
          <c:showLegendKey val="0"/>
          <c:showVal val="1"/>
          <c:showCatName val="0"/>
          <c:showSerName val="0"/>
          <c:showPercent val="0"/>
          <c:showBubbleSize val="0"/>
        </c:dLbls>
        <c:gapWidth val="65"/>
        <c:axId val="296969672"/>
        <c:axId val="296970064"/>
      </c:barChart>
      <c:catAx>
        <c:axId val="296969672"/>
        <c:scaling>
          <c:orientation val="minMax"/>
        </c:scaling>
        <c:delete val="0"/>
        <c:axPos val="l"/>
        <c:numFmt formatCode="General" sourceLinked="1"/>
        <c:majorTickMark val="none"/>
        <c:minorTickMark val="none"/>
        <c:tickLblPos val="nextTo"/>
        <c:spPr>
          <a:noFill/>
          <a:ln w="19050">
            <a:solidFill>
              <a:schemeClr val="dk1">
                <a:lumMod val="75000"/>
                <a:lumOff val="25000"/>
              </a:schemeClr>
            </a:solidFill>
            <a:round/>
          </a:ln>
        </c:spPr>
        <c:txPr>
          <a:bodyPr rot="0" spcFirstLastPara="1" vertOverflow="ellipsis" vert="horz" wrap="square" anchor="ctr" anchorCtr="1"/>
          <a:lstStyle/>
          <a:p>
            <a:pPr>
              <a:defRPr sz="11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296970064"/>
        <c:crosses val="autoZero"/>
        <c:auto val="1"/>
        <c:lblAlgn val="ctr"/>
        <c:lblOffset val="100"/>
        <c:noMultiLvlLbl val="0"/>
      </c:catAx>
      <c:valAx>
        <c:axId val="296970064"/>
        <c:scaling>
          <c:orientation val="minMax"/>
        </c:scaling>
        <c:delete val="0"/>
        <c:axPos val="b"/>
        <c:majorGridlines>
          <c:spPr>
            <a:ln w="9525">
              <a:gradFill rotWithShape="0">
                <a:gsLst>
                  <a:gs pos="0">
                    <a:schemeClr val="lt1">
                      <a:lumMod val="75000"/>
                      <a:alpha val="36000"/>
                    </a:schemeClr>
                  </a:gs>
                  <a:gs pos="100000">
                    <a:schemeClr val="dk1">
                      <a:lumMod val="95000"/>
                      <a:lumOff val="5000"/>
                      <a:alpha val="42000"/>
                    </a:schemeClr>
                  </a:gs>
                </a:gsLst>
                <a:lin ang="5400000" scaled="0"/>
              </a:gradFill>
              <a:round/>
            </a:ln>
          </c:spPr>
        </c:majorGridlines>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US" sz="1100">
                    <a:latin typeface="Arial" panose="020B0604020202020204" pitchFamily="34" charset="0"/>
                    <a:cs typeface="Arial" panose="020B0604020202020204" pitchFamily="34" charset="0"/>
                  </a:rPr>
                  <a:t>% return p.a</a:t>
                </a:r>
              </a:p>
            </c:rich>
          </c:tx>
          <c:layout/>
          <c:overlay val="0"/>
          <c:spPr>
            <a:noFill/>
            <a:ln>
              <a:noFill/>
            </a:ln>
          </c:spPr>
        </c:title>
        <c:numFmt formatCode="0.00" sourceLinked="1"/>
        <c:majorTickMark val="none"/>
        <c:minorTickMark val="none"/>
        <c:tickLblPos val="nextTo"/>
        <c:spPr>
          <a:noFill/>
          <a:ln>
            <a:noFill/>
          </a:ln>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296969672"/>
        <c:crosses val="autoZero"/>
        <c:crossBetween val="between"/>
      </c:valAx>
      <c:spPr>
        <a:noFill/>
        <a:ln>
          <a:noFill/>
        </a:ln>
      </c:spPr>
    </c:plotArea>
    <c:legend>
      <c:legendPos val="b"/>
      <c:layout/>
      <c:overlay val="0"/>
      <c:spPr>
        <a:solidFill>
          <a:schemeClr val="lt1">
            <a:lumMod val="95000"/>
            <a:alpha val="39000"/>
          </a:schemeClr>
        </a:solidFill>
        <a:ln>
          <a:noFill/>
        </a:ln>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GB" sz="1400">
                <a:latin typeface="Arial" panose="020B0604020202020204" pitchFamily="34" charset="0"/>
                <a:cs typeface="Arial" panose="020B0604020202020204" pitchFamily="34" charset="0"/>
              </a:rPr>
              <a:t>Manager performance since inception as at 31st March 2016</a:t>
            </a:r>
          </a:p>
        </c:rich>
      </c:tx>
      <c:layout>
        <c:manualLayout>
          <c:xMode val="edge"/>
          <c:yMode val="edge"/>
          <c:x val="0.16237935258092739"/>
          <c:y val="2.0761243772295799E-2"/>
        </c:manualLayout>
      </c:layout>
      <c:overlay val="0"/>
      <c:spPr>
        <a:noFill/>
        <a:ln>
          <a:noFill/>
        </a:ln>
      </c:spPr>
    </c:title>
    <c:autoTitleDeleted val="0"/>
    <c:plotArea>
      <c:layout>
        <c:manualLayout>
          <c:layoutTarget val="inner"/>
          <c:xMode val="edge"/>
          <c:yMode val="edge"/>
          <c:x val="9.9773228346456688E-2"/>
          <c:y val="0.10362117290983214"/>
          <c:w val="0.85745462668230299"/>
          <c:h val="0.60725264146590585"/>
        </c:manualLayout>
      </c:layout>
      <c:barChart>
        <c:barDir val="col"/>
        <c:grouping val="clustered"/>
        <c:varyColors val="0"/>
        <c:ser>
          <c:idx val="0"/>
          <c:order val="0"/>
          <c:tx>
            <c:strRef>
              <c:f>'March 2016'!$C$131</c:f>
              <c:strCache>
                <c:ptCount val="1"/>
                <c:pt idx="0">
                  <c:v>Lancashire</c:v>
                </c:pt>
              </c:strCache>
            </c:strRef>
          </c:tx>
          <c:spPr>
            <a:solidFill>
              <a:srgbClr val="00FF00">
                <a:alpha val="85000"/>
              </a:srgbClr>
            </a:solidFill>
            <a:ln w="9525">
              <a:solidFill>
                <a:schemeClr val="lt1">
                  <a:alpha val="50000"/>
                </a:schemeClr>
              </a:solidFill>
              <a:round/>
            </a:ln>
          </c:spPr>
          <c:invertIfNegative val="0"/>
          <c:dLbls>
            <c:dLbl>
              <c:idx val="0"/>
              <c:layout>
                <c:manualLayout>
                  <c:x val="0"/>
                  <c:y val="2.502833755949997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954811157079941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502833755949997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954811157079941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5.8394160583941602E-3"/>
                  <c:y val="2.502833755949997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
                  <c:y val="3.406788558209884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'March 2016'!$B$132:$B$143</c:f>
              <c:strCache>
                <c:ptCount val="12"/>
                <c:pt idx="0">
                  <c:v>Baillie Gifford</c:v>
                </c:pt>
                <c:pt idx="1">
                  <c:v>MFS</c:v>
                </c:pt>
                <c:pt idx="2">
                  <c:v>Morgan Stanley</c:v>
                </c:pt>
                <c:pt idx="3">
                  <c:v>NGAM</c:v>
                </c:pt>
                <c:pt idx="4">
                  <c:v>Robeco</c:v>
                </c:pt>
                <c:pt idx="5">
                  <c:v>Magellan</c:v>
                </c:pt>
                <c:pt idx="6">
                  <c:v>AGF</c:v>
                </c:pt>
                <c:pt idx="7">
                  <c:v>Capital Dynamics PE</c:v>
                </c:pt>
                <c:pt idx="8">
                  <c:v>Knight Frank</c:v>
                </c:pt>
                <c:pt idx="9">
                  <c:v>M&amp;G European</c:v>
                </c:pt>
                <c:pt idx="10">
                  <c:v>Infrastructure </c:v>
                </c:pt>
                <c:pt idx="11">
                  <c:v>Internal TM</c:v>
                </c:pt>
              </c:strCache>
            </c:strRef>
          </c:cat>
          <c:val>
            <c:numRef>
              <c:f>'[3]Manager return since inception'!$C$3:$C$14</c:f>
              <c:numCache>
                <c:formatCode>General</c:formatCode>
                <c:ptCount val="12"/>
                <c:pt idx="0">
                  <c:v>14.39</c:v>
                </c:pt>
                <c:pt idx="1">
                  <c:v>17.93</c:v>
                </c:pt>
                <c:pt idx="2">
                  <c:v>14.79</c:v>
                </c:pt>
                <c:pt idx="3">
                  <c:v>14.16</c:v>
                </c:pt>
                <c:pt idx="4">
                  <c:v>15.27</c:v>
                </c:pt>
                <c:pt idx="5">
                  <c:v>11.6</c:v>
                </c:pt>
                <c:pt idx="6">
                  <c:v>-1.39</c:v>
                </c:pt>
                <c:pt idx="7">
                  <c:v>10.58</c:v>
                </c:pt>
                <c:pt idx="8">
                  <c:v>8.84</c:v>
                </c:pt>
                <c:pt idx="9">
                  <c:v>1.77</c:v>
                </c:pt>
                <c:pt idx="10">
                  <c:v>15.48</c:v>
                </c:pt>
                <c:pt idx="11">
                  <c:v>11.04</c:v>
                </c:pt>
              </c:numCache>
            </c:numRef>
          </c:val>
        </c:ser>
        <c:ser>
          <c:idx val="1"/>
          <c:order val="1"/>
          <c:tx>
            <c:strRef>
              <c:f>'March 2016'!$D$131</c:f>
              <c:strCache>
                <c:ptCount val="1"/>
                <c:pt idx="0">
                  <c:v>Benchmark</c:v>
                </c:pt>
              </c:strCache>
            </c:strRef>
          </c:tx>
          <c:spPr>
            <a:solidFill>
              <a:srgbClr val="8233D9">
                <a:alpha val="84706"/>
              </a:srgbClr>
            </a:solidFill>
            <a:ln w="9525">
              <a:solidFill>
                <a:schemeClr val="lt1">
                  <a:alpha val="50000"/>
                </a:schemeClr>
              </a:solidFill>
              <a:round/>
            </a:ln>
          </c:spPr>
          <c:invertIfNegative val="0"/>
          <c:dLbls>
            <c:dLbl>
              <c:idx val="6"/>
              <c:layout>
                <c:manualLayout>
                  <c:x val="0"/>
                  <c:y val="-8.577570855414110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spPr>
                <a:noFill/>
                <a:ln>
                  <a:noFill/>
                </a:ln>
              </c:spPr>
              <c:txPr>
                <a:bodyPr rot="0" spcFirstLastPara="1" vertOverflow="ellipsis" vert="horz" wrap="square" lIns="38100" tIns="19050" rIns="38100" bIns="19050"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9"/>
              <c:layout>
                <c:manualLayout>
                  <c:x val="3.8929440389294406E-3"/>
                  <c:y val="6.11865296498954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'March 2016'!$B$132:$B$143</c:f>
              <c:strCache>
                <c:ptCount val="12"/>
                <c:pt idx="0">
                  <c:v>Baillie Gifford</c:v>
                </c:pt>
                <c:pt idx="1">
                  <c:v>MFS</c:v>
                </c:pt>
                <c:pt idx="2">
                  <c:v>Morgan Stanley</c:v>
                </c:pt>
                <c:pt idx="3">
                  <c:v>NGAM</c:v>
                </c:pt>
                <c:pt idx="4">
                  <c:v>Robeco</c:v>
                </c:pt>
                <c:pt idx="5">
                  <c:v>Magellan</c:v>
                </c:pt>
                <c:pt idx="6">
                  <c:v>AGF</c:v>
                </c:pt>
                <c:pt idx="7">
                  <c:v>Capital Dynamics PE</c:v>
                </c:pt>
                <c:pt idx="8">
                  <c:v>Knight Frank</c:v>
                </c:pt>
                <c:pt idx="9">
                  <c:v>M&amp;G European</c:v>
                </c:pt>
                <c:pt idx="10">
                  <c:v>Infrastructure </c:v>
                </c:pt>
                <c:pt idx="11">
                  <c:v>Internal TM</c:v>
                </c:pt>
              </c:strCache>
            </c:strRef>
          </c:cat>
          <c:val>
            <c:numRef>
              <c:f>'[3]Manager return since inception'!$D$3:$D$14</c:f>
              <c:numCache>
                <c:formatCode>General</c:formatCode>
                <c:ptCount val="12"/>
                <c:pt idx="0">
                  <c:v>13.16</c:v>
                </c:pt>
                <c:pt idx="1">
                  <c:v>13.16</c:v>
                </c:pt>
                <c:pt idx="2">
                  <c:v>13.16</c:v>
                </c:pt>
                <c:pt idx="3">
                  <c:v>13.16</c:v>
                </c:pt>
                <c:pt idx="4">
                  <c:v>13.16</c:v>
                </c:pt>
                <c:pt idx="5">
                  <c:v>8.64</c:v>
                </c:pt>
                <c:pt idx="6">
                  <c:v>-0.4</c:v>
                </c:pt>
                <c:pt idx="7">
                  <c:v>5.84</c:v>
                </c:pt>
                <c:pt idx="8">
                  <c:v>8.7799999999999994</c:v>
                </c:pt>
                <c:pt idx="9">
                  <c:v>1.77</c:v>
                </c:pt>
                <c:pt idx="10">
                  <c:v>8</c:v>
                </c:pt>
                <c:pt idx="11">
                  <c:v>0.43</c:v>
                </c:pt>
              </c:numCache>
            </c:numRef>
          </c:val>
        </c:ser>
        <c:dLbls>
          <c:dLblPos val="inEnd"/>
          <c:showLegendKey val="0"/>
          <c:showVal val="1"/>
          <c:showCatName val="0"/>
          <c:showSerName val="0"/>
          <c:showPercent val="0"/>
          <c:showBubbleSize val="0"/>
        </c:dLbls>
        <c:gapWidth val="65"/>
        <c:axId val="296966928"/>
        <c:axId val="298067968"/>
      </c:barChart>
      <c:catAx>
        <c:axId val="296966928"/>
        <c:scaling>
          <c:orientation val="minMax"/>
        </c:scaling>
        <c:delete val="0"/>
        <c:axPos val="b"/>
        <c:numFmt formatCode="General" sourceLinked="1"/>
        <c:majorTickMark val="none"/>
        <c:minorTickMark val="none"/>
        <c:tickLblPos val="low"/>
        <c:spPr>
          <a:noFill/>
          <a:ln w="19050">
            <a:solidFill>
              <a:schemeClr val="dk1">
                <a:lumMod val="75000"/>
                <a:lumOff val="25000"/>
              </a:schemeClr>
            </a:solidFill>
            <a:round/>
          </a:ln>
        </c:spPr>
        <c:txPr>
          <a:bodyPr rot="5400000" spcFirstLastPara="1" vertOverflow="ellipsis" wrap="square" anchor="ctr" anchorCtr="1"/>
          <a:lstStyle/>
          <a:p>
            <a:pPr>
              <a:defRPr sz="11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298067968"/>
        <c:crosses val="autoZero"/>
        <c:auto val="1"/>
        <c:lblAlgn val="ctr"/>
        <c:lblOffset val="250"/>
        <c:tickLblSkip val="1"/>
        <c:tickMarkSkip val="1"/>
        <c:noMultiLvlLbl val="0"/>
      </c:catAx>
      <c:valAx>
        <c:axId val="298067968"/>
        <c:scaling>
          <c:orientation val="minMax"/>
          <c:max val="20"/>
          <c:min val="-2"/>
        </c:scaling>
        <c:delete val="1"/>
        <c:axPos val="l"/>
        <c:majorGridlines>
          <c:spPr>
            <a:ln w="9525">
              <a:gradFill rotWithShape="0">
                <a:gsLst>
                  <a:gs pos="0">
                    <a:schemeClr val="lt1">
                      <a:lumMod val="75000"/>
                      <a:alpha val="36000"/>
                    </a:schemeClr>
                  </a:gs>
                  <a:gs pos="100000">
                    <a:schemeClr val="dk1">
                      <a:lumMod val="95000"/>
                      <a:lumOff val="5000"/>
                      <a:alpha val="42000"/>
                    </a:schemeClr>
                  </a:gs>
                </a:gsLst>
                <a:lin ang="5400000" scaled="0"/>
              </a:gradFill>
              <a:round/>
            </a:ln>
          </c:spPr>
        </c:majorGridlines>
        <c:title>
          <c:tx>
            <c:rich>
              <a:bodyPr rot="-5400000" spcFirstLastPara="1" vertOverflow="ellipsis" vert="horz" wrap="square" anchor="ctr" anchorCtr="1"/>
              <a:lstStyle/>
              <a:p>
                <a:pPr>
                  <a:defRPr sz="11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GB" sz="1100">
                    <a:latin typeface="Arial" panose="020B0604020202020204" pitchFamily="34" charset="0"/>
                    <a:cs typeface="Arial" panose="020B0604020202020204" pitchFamily="34" charset="0"/>
                  </a:rPr>
                  <a:t>Return % p.a.</a:t>
                </a:r>
              </a:p>
            </c:rich>
          </c:tx>
          <c:layout>
            <c:manualLayout>
              <c:xMode val="edge"/>
              <c:yMode val="edge"/>
              <c:x val="2.8997730728568778E-2"/>
              <c:y val="0.33527148007194474"/>
            </c:manualLayout>
          </c:layout>
          <c:overlay val="0"/>
          <c:spPr>
            <a:noFill/>
            <a:ln>
              <a:noFill/>
            </a:ln>
          </c:spPr>
        </c:title>
        <c:numFmt formatCode="General" sourceLinked="0"/>
        <c:majorTickMark val="none"/>
        <c:minorTickMark val="none"/>
        <c:tickLblPos val="nextTo"/>
        <c:crossAx val="296966928"/>
        <c:crosses val="autoZero"/>
        <c:crossBetween val="between"/>
        <c:majorUnit val="2"/>
        <c:minorUnit val="1"/>
      </c:valAx>
      <c:spPr>
        <a:noFill/>
        <a:ln>
          <a:noFill/>
        </a:ln>
      </c:spPr>
    </c:plotArea>
    <c:legend>
      <c:legendPos val="b"/>
      <c:layout>
        <c:manualLayout>
          <c:xMode val="edge"/>
          <c:yMode val="edge"/>
          <c:x val="0.5000813073548287"/>
          <c:y val="9.7927665821433404E-2"/>
          <c:w val="0.30737996436576814"/>
          <c:h val="3.9601107082323152E-2"/>
        </c:manualLayout>
      </c:layout>
      <c:overlay val="0"/>
      <c:spPr>
        <a:solidFill>
          <a:schemeClr val="lt1">
            <a:lumMod val="95000"/>
            <a:alpha val="39000"/>
          </a:schemeClr>
        </a:solidFill>
        <a:ln>
          <a:noFill/>
        </a:ln>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GB" sz="1400">
                <a:latin typeface="Arial" panose="020B0604020202020204" pitchFamily="34" charset="0"/>
                <a:cs typeface="Arial" panose="020B0604020202020204" pitchFamily="34" charset="0"/>
              </a:rPr>
              <a:t>Lancashire County Pension Fund</a:t>
            </a:r>
          </a:p>
        </c:rich>
      </c:tx>
      <c:layout/>
      <c:overlay val="0"/>
      <c:spPr>
        <a:noFill/>
        <a:ln>
          <a:noFill/>
        </a:ln>
      </c:spPr>
    </c:title>
    <c:autoTitleDeleted val="0"/>
    <c:plotArea>
      <c:layout>
        <c:manualLayout>
          <c:layoutTarget val="inner"/>
          <c:xMode val="edge"/>
          <c:yMode val="edge"/>
          <c:x val="3.0864197530864196E-3"/>
          <c:y val="0.11483491215718783"/>
          <c:w val="0.83599496937882756"/>
          <c:h val="0.80400503297737935"/>
        </c:manualLayout>
      </c:layout>
      <c:barChart>
        <c:barDir val="col"/>
        <c:grouping val="stacked"/>
        <c:varyColors val="0"/>
        <c:ser>
          <c:idx val="0"/>
          <c:order val="0"/>
          <c:tx>
            <c:strRef>
              <c:f>'March 2016'!$L$165</c:f>
              <c:strCache>
                <c:ptCount val="1"/>
                <c:pt idx="0">
                  <c:v>Emerging market debt</c:v>
                </c:pt>
              </c:strCache>
            </c:strRef>
          </c:tx>
          <c:spPr>
            <a:solidFill>
              <a:srgbClr val="00FF00">
                <a:alpha val="85000"/>
              </a:srgbClr>
            </a:solidFill>
            <a:ln w="9525">
              <a:solidFill>
                <a:schemeClr val="lt1">
                  <a:alpha val="50000"/>
                </a:schemeClr>
              </a:solidFill>
              <a:round/>
            </a:ln>
          </c:spPr>
          <c:invertIfNegative val="0"/>
          <c:dLbls>
            <c:spPr>
              <a:noFill/>
              <a:ln>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Lit>
              <c:ptCount val="1"/>
              <c:pt idx="0">
                <c:v>£m</c:v>
              </c:pt>
            </c:strLit>
          </c:cat>
          <c:val>
            <c:numRef>
              <c:f>'March 2016'!$M$165</c:f>
              <c:numCache>
                <c:formatCode>General</c:formatCode>
                <c:ptCount val="1"/>
                <c:pt idx="0">
                  <c:v>402.1</c:v>
                </c:pt>
              </c:numCache>
            </c:numRef>
          </c:val>
        </c:ser>
        <c:ser>
          <c:idx val="1"/>
          <c:order val="1"/>
          <c:tx>
            <c:strRef>
              <c:f>'March 2016'!$L$166</c:f>
              <c:strCache>
                <c:ptCount val="1"/>
                <c:pt idx="0">
                  <c:v>Impaired credit</c:v>
                </c:pt>
              </c:strCache>
            </c:strRef>
          </c:tx>
          <c:spPr>
            <a:solidFill>
              <a:srgbClr val="8233D9">
                <a:alpha val="85000"/>
              </a:srgbClr>
            </a:solidFill>
            <a:ln w="9525">
              <a:solidFill>
                <a:schemeClr val="lt1">
                  <a:alpha val="50000"/>
                </a:schemeClr>
              </a:solidFill>
              <a:round/>
            </a:ln>
          </c:spPr>
          <c:invertIfNegative val="0"/>
          <c:dLbls>
            <c:spPr>
              <a:noFill/>
              <a:ln>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Lit>
              <c:ptCount val="1"/>
              <c:pt idx="0">
                <c:v>£m</c:v>
              </c:pt>
            </c:strLit>
          </c:cat>
          <c:val>
            <c:numRef>
              <c:f>'March 2016'!$M$166</c:f>
              <c:numCache>
                <c:formatCode>General</c:formatCode>
                <c:ptCount val="1"/>
                <c:pt idx="0">
                  <c:v>406.1</c:v>
                </c:pt>
              </c:numCache>
            </c:numRef>
          </c:val>
        </c:ser>
        <c:ser>
          <c:idx val="2"/>
          <c:order val="2"/>
          <c:tx>
            <c:strRef>
              <c:f>'March 2016'!$L$167</c:f>
              <c:strCache>
                <c:ptCount val="1"/>
                <c:pt idx="0">
                  <c:v>Senior secured Loans</c:v>
                </c:pt>
              </c:strCache>
            </c:strRef>
          </c:tx>
          <c:spPr>
            <a:solidFill>
              <a:srgbClr val="0099FF">
                <a:alpha val="85000"/>
              </a:srgbClr>
            </a:solidFill>
            <a:ln w="9525">
              <a:solidFill>
                <a:schemeClr val="lt1">
                  <a:alpha val="50000"/>
                </a:schemeClr>
              </a:solidFill>
              <a:round/>
            </a:ln>
          </c:spPr>
          <c:invertIfNegative val="0"/>
          <c:dLbls>
            <c:spPr>
              <a:noFill/>
              <a:ln>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Lit>
              <c:ptCount val="1"/>
              <c:pt idx="0">
                <c:v>£m</c:v>
              </c:pt>
            </c:strLit>
          </c:cat>
          <c:val>
            <c:numRef>
              <c:f>'March 2016'!$M$167</c:f>
              <c:numCache>
                <c:formatCode>0.0</c:formatCode>
                <c:ptCount val="1"/>
                <c:pt idx="0">
                  <c:v>337</c:v>
                </c:pt>
              </c:numCache>
            </c:numRef>
          </c:val>
        </c:ser>
        <c:ser>
          <c:idx val="3"/>
          <c:order val="3"/>
          <c:tx>
            <c:strRef>
              <c:f>'March 2016'!$L$168</c:f>
              <c:strCache>
                <c:ptCount val="1"/>
                <c:pt idx="0">
                  <c:v>Loans secured on real assets</c:v>
                </c:pt>
              </c:strCache>
            </c:strRef>
          </c:tx>
          <c:spPr>
            <a:solidFill>
              <a:srgbClr val="FF33CC">
                <a:alpha val="85000"/>
              </a:srgbClr>
            </a:solidFill>
            <a:ln w="9525">
              <a:solidFill>
                <a:schemeClr val="lt1">
                  <a:alpha val="50000"/>
                </a:schemeClr>
              </a:solidFill>
              <a:round/>
            </a:ln>
          </c:spPr>
          <c:invertIfNegative val="0"/>
          <c:dLbls>
            <c:spPr>
              <a:noFill/>
              <a:ln>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Lit>
              <c:ptCount val="1"/>
              <c:pt idx="0">
                <c:v>£m</c:v>
              </c:pt>
            </c:strLit>
          </c:cat>
          <c:val>
            <c:numRef>
              <c:f>'March 2016'!$M$168</c:f>
              <c:numCache>
                <c:formatCode>General</c:formatCode>
                <c:ptCount val="1"/>
                <c:pt idx="0">
                  <c:v>392.6</c:v>
                </c:pt>
              </c:numCache>
            </c:numRef>
          </c:val>
        </c:ser>
        <c:dLbls>
          <c:dLblPos val="ctr"/>
          <c:showLegendKey val="0"/>
          <c:showVal val="1"/>
          <c:showCatName val="0"/>
          <c:showSerName val="0"/>
          <c:showPercent val="0"/>
          <c:showBubbleSize val="0"/>
        </c:dLbls>
        <c:gapWidth val="150"/>
        <c:overlap val="100"/>
        <c:axId val="298068752"/>
        <c:axId val="298069144"/>
      </c:barChart>
      <c:catAx>
        <c:axId val="298068752"/>
        <c:scaling>
          <c:orientation val="minMax"/>
        </c:scaling>
        <c:delete val="0"/>
        <c:axPos val="b"/>
        <c:numFmt formatCode="General" sourceLinked="1"/>
        <c:majorTickMark val="none"/>
        <c:minorTickMark val="none"/>
        <c:tickLblPos val="nextTo"/>
        <c:spPr>
          <a:noFill/>
          <a:ln w="19050">
            <a:solidFill>
              <a:schemeClr val="dk1">
                <a:lumMod val="75000"/>
                <a:lumOff val="25000"/>
              </a:schemeClr>
            </a:solidFill>
            <a:round/>
          </a:ln>
        </c:spPr>
        <c:txPr>
          <a:bodyPr rot="0" spcFirstLastPara="1" vertOverflow="ellipsis" vert="horz" wrap="square" anchor="ctr" anchorCtr="1"/>
          <a:lstStyle/>
          <a:p>
            <a:pPr>
              <a:defRPr sz="11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298069144"/>
        <c:crosses val="autoZero"/>
        <c:auto val="1"/>
        <c:lblAlgn val="ctr"/>
        <c:lblOffset val="100"/>
        <c:noMultiLvlLbl val="0"/>
      </c:catAx>
      <c:valAx>
        <c:axId val="298069144"/>
        <c:scaling>
          <c:orientation val="minMax"/>
        </c:scaling>
        <c:delete val="1"/>
        <c:axPos val="l"/>
        <c:majorGridlines>
          <c:spPr>
            <a:ln w="9525">
              <a:gradFill rotWithShape="0">
                <a:gsLst>
                  <a:gs pos="0">
                    <a:schemeClr val="lt1">
                      <a:lumMod val="75000"/>
                      <a:alpha val="36000"/>
                    </a:schemeClr>
                  </a:gs>
                  <a:gs pos="100000">
                    <a:schemeClr val="dk1">
                      <a:lumMod val="95000"/>
                      <a:lumOff val="5000"/>
                      <a:alpha val="42000"/>
                    </a:schemeClr>
                  </a:gs>
                </a:gsLst>
                <a:lin ang="5400000" scaled="0"/>
              </a:gradFill>
              <a:round/>
            </a:ln>
          </c:spPr>
        </c:majorGridlines>
        <c:numFmt formatCode="General" sourceLinked="1"/>
        <c:majorTickMark val="none"/>
        <c:minorTickMark val="none"/>
        <c:tickLblPos val="nextTo"/>
        <c:crossAx val="298068752"/>
        <c:crosses val="autoZero"/>
        <c:crossBetween val="between"/>
      </c:valAx>
      <c:spPr>
        <a:noFill/>
        <a:ln>
          <a:noFill/>
        </a:ln>
      </c:spPr>
    </c:plotArea>
    <c:legend>
      <c:legendPos val="b"/>
      <c:layout>
        <c:manualLayout>
          <c:xMode val="edge"/>
          <c:yMode val="edge"/>
          <c:x val="0.66035031146261169"/>
          <c:y val="0.34718191633081047"/>
          <c:w val="0.32066448445930135"/>
          <c:h val="0.45899180944090534"/>
        </c:manualLayout>
      </c:layout>
      <c:overlay val="0"/>
      <c:spPr>
        <a:solidFill>
          <a:schemeClr val="lt1">
            <a:lumMod val="95000"/>
            <a:alpha val="39000"/>
          </a:schemeClr>
        </a:solidFill>
        <a:ln>
          <a:noFill/>
        </a:ln>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7437E1-5565-4665-ABD2-B55CBE018D6C}"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GB"/>
        </a:p>
      </dgm:t>
    </dgm:pt>
    <dgm:pt modelId="{AAC02890-1DCA-4F4F-88BC-84D967B72189}">
      <dgm:prSet phldrT="[Text]" custT="1"/>
      <dgm:spPr>
        <a:xfrm rot="5400000">
          <a:off x="2414159" y="77407"/>
          <a:ext cx="1186160" cy="1031959"/>
        </a:xfrm>
        <a:prstGeom prst="hexagon">
          <a:avLst>
            <a:gd name="adj" fmla="val 25000"/>
            <a:gd name="vf" fmla="val 115470"/>
          </a:avLst>
        </a:prstGeom>
        <a:solidFill>
          <a:srgbClr val="92D050"/>
        </a:solidFill>
        <a:ln w="12700">
          <a:solidFill>
            <a:sysClr val="window" lastClr="FFFFFF">
              <a:hueOff val="0"/>
              <a:satOff val="0"/>
              <a:lumOff val="0"/>
              <a:alphaOff val="0"/>
            </a:sysClr>
          </a:solidFill>
          <a:miter lim="800000"/>
        </a:ln>
      </dgm:spPr>
      <dgm:t>
        <a:bodyPr/>
        <a:lstStyle/>
        <a:p>
          <a:r>
            <a:rPr lang="en-GB" sz="1200">
              <a:solidFill>
                <a:sysClr val="windowText" lastClr="000000"/>
              </a:solidFill>
              <a:latin typeface="Arial" panose="020B0604020202020204" pitchFamily="34" charset="0"/>
              <a:ea typeface="+mn-ea"/>
              <a:cs typeface="Arial" panose="020B0604020202020204" pitchFamily="34" charset="0"/>
            </a:rPr>
            <a:t>Members aged from 16 to 103</a:t>
          </a:r>
        </a:p>
      </dgm:t>
    </dgm:pt>
    <dgm:pt modelId="{CE747B65-2924-442B-906A-70F976AE72BB}" type="parTrans" cxnId="{698E2ACE-0333-4C2A-BBBE-D8F38B12A338}">
      <dgm:prSet/>
      <dgm:spPr/>
      <dgm:t>
        <a:bodyPr/>
        <a:lstStyle/>
        <a:p>
          <a:endParaRPr lang="en-GB"/>
        </a:p>
      </dgm:t>
    </dgm:pt>
    <dgm:pt modelId="{91566C99-0390-4F6C-AB5D-1377EA79E242}" type="sibTrans" cxnId="{698E2ACE-0333-4C2A-BBBE-D8F38B12A338}">
      <dgm:prSet/>
      <dgm:spPr>
        <a:xfrm rot="5400000">
          <a:off x="1299643" y="77407"/>
          <a:ext cx="1186160" cy="1031959"/>
        </a:xfrm>
        <a:prstGeom prst="hexagon">
          <a:avLst>
            <a:gd name="adj" fmla="val 25000"/>
            <a:gd name="vf" fmla="val 115470"/>
          </a:avLst>
        </a:prstGeom>
        <a:solidFill>
          <a:srgbClr val="7030A0"/>
        </a:solidFill>
        <a:ln w="12700">
          <a:solidFill>
            <a:sysClr val="window" lastClr="FFFFFF">
              <a:hueOff val="0"/>
              <a:satOff val="0"/>
              <a:lumOff val="0"/>
              <a:alphaOff val="0"/>
            </a:sysClr>
          </a:solidFill>
          <a:miter lim="800000"/>
        </a:ln>
      </dgm:spPr>
      <dgm:t>
        <a:bodyPr/>
        <a:lstStyle/>
        <a:p>
          <a:endParaRPr lang="en-GB">
            <a:gradFill rotWithShape="0">
              <a:gsLst>
                <a:gs pos="4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atin typeface="Calibri"/>
            <a:ea typeface="+mn-ea"/>
            <a:cs typeface="+mn-cs"/>
          </a:endParaRPr>
        </a:p>
      </dgm:t>
    </dgm:pt>
    <dgm:pt modelId="{A9798BE5-E4B2-4BE1-B411-A765642B32F0}">
      <dgm:prSet phldrT="[Text]"/>
      <dgm:spPr>
        <a:xfrm>
          <a:off x="3554533" y="237539"/>
          <a:ext cx="1323754" cy="711696"/>
        </a:xfrm>
        <a:noFill/>
        <a:ln>
          <a:noFill/>
        </a:ln>
      </dgm:spPr>
      <dgm:t>
        <a:bodyPr/>
        <a:lstStyle/>
        <a:p>
          <a:endParaRPr lang="en-GB">
            <a:solidFill>
              <a:sysClr val="windowText" lastClr="000000">
                <a:hueOff val="0"/>
                <a:satOff val="0"/>
                <a:lumOff val="0"/>
                <a:alphaOff val="0"/>
              </a:sysClr>
            </a:solidFill>
            <a:latin typeface="Calibri"/>
            <a:ea typeface="+mn-ea"/>
            <a:cs typeface="+mn-cs"/>
          </a:endParaRPr>
        </a:p>
      </dgm:t>
    </dgm:pt>
    <dgm:pt modelId="{644FD205-341E-4F86-947C-97C0F58A60DA}" type="parTrans" cxnId="{8C81589F-E1D8-42B9-8364-D184366993AA}">
      <dgm:prSet/>
      <dgm:spPr/>
      <dgm:t>
        <a:bodyPr/>
        <a:lstStyle/>
        <a:p>
          <a:endParaRPr lang="en-GB"/>
        </a:p>
      </dgm:t>
    </dgm:pt>
    <dgm:pt modelId="{63806876-664C-4891-A5B9-84765A09E170}" type="sibTrans" cxnId="{8C81589F-E1D8-42B9-8364-D184366993AA}">
      <dgm:prSet/>
      <dgm:spPr/>
      <dgm:t>
        <a:bodyPr/>
        <a:lstStyle/>
        <a:p>
          <a:endParaRPr lang="en-GB"/>
        </a:p>
      </dgm:t>
    </dgm:pt>
    <dgm:pt modelId="{3BE87FC1-BA17-4EAA-BAE0-D68643DBF1B1}">
      <dgm:prSet phldrT="[Text]" custT="1"/>
      <dgm:spPr>
        <a:xfrm rot="5400000">
          <a:off x="1854766" y="1084220"/>
          <a:ext cx="1186160" cy="1031959"/>
        </a:xfrm>
        <a:prstGeom prst="hexagon">
          <a:avLst>
            <a:gd name="adj" fmla="val 25000"/>
            <a:gd name="vf" fmla="val 115470"/>
          </a:avLst>
        </a:prstGeom>
        <a:solidFill>
          <a:srgbClr val="92D050"/>
        </a:solidFill>
        <a:ln w="12700">
          <a:solidFill>
            <a:sysClr val="window" lastClr="FFFFFF">
              <a:hueOff val="0"/>
              <a:satOff val="0"/>
              <a:lumOff val="0"/>
              <a:alphaOff val="0"/>
            </a:sysClr>
          </a:solidFill>
          <a:miter lim="800000"/>
        </a:ln>
      </dgm:spPr>
      <dgm:t>
        <a:bodyPr/>
        <a:lstStyle/>
        <a:p>
          <a:r>
            <a:rPr lang="en-GB" sz="1200">
              <a:solidFill>
                <a:sysClr val="windowText" lastClr="000000"/>
              </a:solidFill>
              <a:latin typeface="Arial" panose="020B0604020202020204" pitchFamily="34" charset="0"/>
              <a:ea typeface="+mn-ea"/>
              <a:cs typeface="Arial" panose="020B0604020202020204" pitchFamily="34" charset="0"/>
            </a:rPr>
            <a:t>Average spouses pension £2,789.18</a:t>
          </a:r>
        </a:p>
      </dgm:t>
    </dgm:pt>
    <dgm:pt modelId="{2EFB23D5-B9AE-4F2C-9514-CC1719A0EAF4}" type="parTrans" cxnId="{B7F8F207-6813-4DBC-8DCC-A7713542B44C}">
      <dgm:prSet/>
      <dgm:spPr/>
      <dgm:t>
        <a:bodyPr/>
        <a:lstStyle/>
        <a:p>
          <a:endParaRPr lang="en-GB"/>
        </a:p>
      </dgm:t>
    </dgm:pt>
    <dgm:pt modelId="{E9AFCAF5-1425-45B5-BF21-30E98F5B53DD}" type="sibTrans" cxnId="{B7F8F207-6813-4DBC-8DCC-A7713542B44C}">
      <dgm:prSet/>
      <dgm:spPr>
        <a:xfrm rot="5400000">
          <a:off x="2969282" y="1084220"/>
          <a:ext cx="1186160" cy="1031959"/>
        </a:xfrm>
        <a:prstGeom prst="hexagon">
          <a:avLst>
            <a:gd name="adj" fmla="val 25000"/>
            <a:gd name="vf" fmla="val 115470"/>
          </a:avLst>
        </a:prstGeom>
        <a:solidFill>
          <a:srgbClr val="7030A0"/>
        </a:solidFill>
        <a:ln w="12700">
          <a:solidFill>
            <a:sysClr val="window" lastClr="FFFFFF">
              <a:hueOff val="0"/>
              <a:satOff val="0"/>
              <a:lumOff val="0"/>
              <a:alphaOff val="0"/>
            </a:sysClr>
          </a:solidFill>
          <a:miter lim="800000"/>
        </a:ln>
      </dgm:spPr>
      <dgm:t>
        <a:bodyPr/>
        <a:lstStyle/>
        <a:p>
          <a:endParaRPr lang="en-GB">
            <a:solidFill>
              <a:sysClr val="window" lastClr="FFFFFF"/>
            </a:solidFill>
            <a:latin typeface="Calibri"/>
            <a:ea typeface="+mn-ea"/>
            <a:cs typeface="+mn-cs"/>
          </a:endParaRPr>
        </a:p>
      </dgm:t>
    </dgm:pt>
    <dgm:pt modelId="{0F4AB2DC-5FA2-4220-936B-7DB4E9B87E10}">
      <dgm:prSet phldrT="[Text]"/>
      <dgm:spPr>
        <a:xfrm>
          <a:off x="608111" y="1244351"/>
          <a:ext cx="1281052" cy="711696"/>
        </a:xfrm>
        <a:prstGeom prst="rect">
          <a:avLst/>
        </a:prstGeom>
        <a:noFill/>
        <a:ln>
          <a:noFill/>
        </a:ln>
      </dgm:spPr>
      <dgm:t>
        <a:bodyPr/>
        <a:lstStyle/>
        <a:p>
          <a:endParaRPr lang="en-GB">
            <a:solidFill>
              <a:sysClr val="windowText" lastClr="000000">
                <a:hueOff val="0"/>
                <a:satOff val="0"/>
                <a:lumOff val="0"/>
                <a:alphaOff val="0"/>
              </a:sysClr>
            </a:solidFill>
            <a:latin typeface="Calibri"/>
            <a:ea typeface="+mn-ea"/>
            <a:cs typeface="+mn-cs"/>
          </a:endParaRPr>
        </a:p>
      </dgm:t>
    </dgm:pt>
    <dgm:pt modelId="{B973F15C-0BBD-4333-B252-D75AA49665B3}" type="parTrans" cxnId="{47F44B4C-F92D-4E9A-9424-CA5B3E6A11CE}">
      <dgm:prSet/>
      <dgm:spPr/>
      <dgm:t>
        <a:bodyPr/>
        <a:lstStyle/>
        <a:p>
          <a:endParaRPr lang="en-GB"/>
        </a:p>
      </dgm:t>
    </dgm:pt>
    <dgm:pt modelId="{31B186EB-F679-4300-84A4-B5E55948A850}" type="sibTrans" cxnId="{47F44B4C-F92D-4E9A-9424-CA5B3E6A11CE}">
      <dgm:prSet/>
      <dgm:spPr/>
      <dgm:t>
        <a:bodyPr/>
        <a:lstStyle/>
        <a:p>
          <a:endParaRPr lang="en-GB"/>
        </a:p>
      </dgm:t>
    </dgm:pt>
    <dgm:pt modelId="{987FF4E1-11E5-4A55-BF68-C8E6E98505DB}">
      <dgm:prSet phldrT="[Text]" custT="1"/>
      <dgm:spPr>
        <a:xfrm rot="5400000">
          <a:off x="2414159" y="77407"/>
          <a:ext cx="1186160" cy="1031959"/>
        </a:xfrm>
        <a:solidFill>
          <a:srgbClr val="92D050"/>
        </a:solidFill>
        <a:ln w="12700">
          <a:solidFill>
            <a:sysClr val="window" lastClr="FFFFFF">
              <a:hueOff val="0"/>
              <a:satOff val="0"/>
              <a:lumOff val="0"/>
              <a:alphaOff val="0"/>
            </a:sysClr>
          </a:solidFill>
          <a:miter lim="800000"/>
        </a:ln>
      </dgm:spPr>
      <dgm:t>
        <a:bodyPr/>
        <a:lstStyle/>
        <a:p>
          <a:r>
            <a:rPr lang="en-GB" sz="1200">
              <a:solidFill>
                <a:sysClr val="windowText" lastClr="000000"/>
              </a:solidFill>
              <a:latin typeface="Arial" panose="020B0604020202020204" pitchFamily="34" charset="0"/>
              <a:ea typeface="+mn-ea"/>
              <a:cs typeface="Arial" panose="020B0604020202020204" pitchFamily="34" charset="0"/>
            </a:rPr>
            <a:t>Average pension in payment £5,056.82</a:t>
          </a:r>
        </a:p>
      </dgm:t>
    </dgm:pt>
    <dgm:pt modelId="{549C7FF6-6765-4247-98D7-173E011A3542}" type="parTrans" cxnId="{39DB51B8-A5E8-420F-BC57-3E737696D151}">
      <dgm:prSet/>
      <dgm:spPr/>
      <dgm:t>
        <a:bodyPr/>
        <a:lstStyle/>
        <a:p>
          <a:endParaRPr lang="en-GB"/>
        </a:p>
      </dgm:t>
    </dgm:pt>
    <dgm:pt modelId="{91C8E5AF-9661-40DF-A218-4FA97A4C1058}" type="sibTrans" cxnId="{39DB51B8-A5E8-420F-BC57-3E737696D151}">
      <dgm:prSet/>
      <dgm:spPr>
        <a:solidFill>
          <a:srgbClr val="7030A0"/>
        </a:solidFill>
      </dgm:spPr>
      <dgm:t>
        <a:bodyPr/>
        <a:lstStyle/>
        <a:p>
          <a:endParaRPr lang="en-GB"/>
        </a:p>
      </dgm:t>
    </dgm:pt>
    <dgm:pt modelId="{A21C7745-9080-4237-AF6B-C9992F47EC6F}" type="pres">
      <dgm:prSet presAssocID="{C37437E1-5565-4665-ABD2-B55CBE018D6C}" presName="Name0" presStyleCnt="0">
        <dgm:presLayoutVars>
          <dgm:chMax/>
          <dgm:chPref/>
          <dgm:dir/>
          <dgm:animLvl val="lvl"/>
        </dgm:presLayoutVars>
      </dgm:prSet>
      <dgm:spPr/>
      <dgm:t>
        <a:bodyPr/>
        <a:lstStyle/>
        <a:p>
          <a:endParaRPr lang="en-GB"/>
        </a:p>
      </dgm:t>
    </dgm:pt>
    <dgm:pt modelId="{91130E3D-7F91-41B3-87D1-0D19BC779E4C}" type="pres">
      <dgm:prSet presAssocID="{AAC02890-1DCA-4F4F-88BC-84D967B72189}" presName="composite" presStyleCnt="0"/>
      <dgm:spPr/>
    </dgm:pt>
    <dgm:pt modelId="{C668189B-262D-4CC2-B53F-E7B1DE7EBD8B}" type="pres">
      <dgm:prSet presAssocID="{AAC02890-1DCA-4F4F-88BC-84D967B72189}" presName="Parent1" presStyleLbl="node1" presStyleIdx="0" presStyleCnt="6" custScaleX="124710" custLinFactNeighborX="11585" custLinFactNeighborY="916">
        <dgm:presLayoutVars>
          <dgm:chMax val="1"/>
          <dgm:chPref val="1"/>
          <dgm:bulletEnabled val="1"/>
        </dgm:presLayoutVars>
      </dgm:prSet>
      <dgm:spPr/>
      <dgm:t>
        <a:bodyPr/>
        <a:lstStyle/>
        <a:p>
          <a:endParaRPr lang="en-GB"/>
        </a:p>
      </dgm:t>
    </dgm:pt>
    <dgm:pt modelId="{B3CCDEE8-18AD-490E-94FC-911D8A8E54DA}" type="pres">
      <dgm:prSet presAssocID="{AAC02890-1DCA-4F4F-88BC-84D967B72189}" presName="Childtext1" presStyleLbl="revTx" presStyleIdx="0" presStyleCnt="3">
        <dgm:presLayoutVars>
          <dgm:chMax val="0"/>
          <dgm:chPref val="0"/>
          <dgm:bulletEnabled val="1"/>
        </dgm:presLayoutVars>
      </dgm:prSet>
      <dgm:spPr/>
      <dgm:t>
        <a:bodyPr/>
        <a:lstStyle/>
        <a:p>
          <a:endParaRPr lang="en-GB"/>
        </a:p>
      </dgm:t>
    </dgm:pt>
    <dgm:pt modelId="{298AC29A-5E41-4D2D-9C93-1B7E87C481F9}" type="pres">
      <dgm:prSet presAssocID="{AAC02890-1DCA-4F4F-88BC-84D967B72189}" presName="BalanceSpacing" presStyleCnt="0"/>
      <dgm:spPr/>
    </dgm:pt>
    <dgm:pt modelId="{E0488126-B863-4FA2-9A38-586F6748DD24}" type="pres">
      <dgm:prSet presAssocID="{AAC02890-1DCA-4F4F-88BC-84D967B72189}" presName="BalanceSpacing1" presStyleCnt="0"/>
      <dgm:spPr/>
    </dgm:pt>
    <dgm:pt modelId="{9380FED0-5D58-4866-A095-9F53FC55FFFA}" type="pres">
      <dgm:prSet presAssocID="{91566C99-0390-4F6C-AB5D-1377EA79E242}" presName="Accent1Text" presStyleLbl="node1" presStyleIdx="1" presStyleCnt="6" custScaleX="119354" custLinFactNeighborX="-5173" custLinFactNeighborY="-1846"/>
      <dgm:spPr/>
      <dgm:t>
        <a:bodyPr/>
        <a:lstStyle/>
        <a:p>
          <a:endParaRPr lang="en-GB"/>
        </a:p>
      </dgm:t>
    </dgm:pt>
    <dgm:pt modelId="{0FB3D43F-0824-40F2-BD20-5A92F3B15965}" type="pres">
      <dgm:prSet presAssocID="{91566C99-0390-4F6C-AB5D-1377EA79E242}" presName="spaceBetweenRectangles" presStyleCnt="0"/>
      <dgm:spPr/>
    </dgm:pt>
    <dgm:pt modelId="{71F3DB16-6154-4325-8D1A-C18B5ADD0F8D}" type="pres">
      <dgm:prSet presAssocID="{987FF4E1-11E5-4A55-BF68-C8E6E98505DB}" presName="composite" presStyleCnt="0"/>
      <dgm:spPr/>
    </dgm:pt>
    <dgm:pt modelId="{0D299D68-5F57-4DAA-B7DA-E7A1769245AC}" type="pres">
      <dgm:prSet presAssocID="{987FF4E1-11E5-4A55-BF68-C8E6E98505DB}" presName="Parent1" presStyleLbl="node1" presStyleIdx="2" presStyleCnt="6" custAng="0" custScaleX="129173" custScaleY="103810" custLinFactNeighborX="3159" custLinFactNeighborY="-6414">
        <dgm:presLayoutVars>
          <dgm:chMax val="1"/>
          <dgm:chPref val="1"/>
          <dgm:bulletEnabled val="1"/>
        </dgm:presLayoutVars>
      </dgm:prSet>
      <dgm:spPr>
        <a:prstGeom prst="hexagon">
          <a:avLst>
            <a:gd name="adj" fmla="val 25000"/>
            <a:gd name="vf" fmla="val 115470"/>
          </a:avLst>
        </a:prstGeom>
      </dgm:spPr>
      <dgm:t>
        <a:bodyPr/>
        <a:lstStyle/>
        <a:p>
          <a:endParaRPr lang="en-GB"/>
        </a:p>
      </dgm:t>
    </dgm:pt>
    <dgm:pt modelId="{DF718F04-D26A-457F-B24C-A3E5F5AADF9D}" type="pres">
      <dgm:prSet presAssocID="{987FF4E1-11E5-4A55-BF68-C8E6E98505DB}" presName="Childtext1" presStyleLbl="revTx" presStyleIdx="1" presStyleCnt="3">
        <dgm:presLayoutVars>
          <dgm:chMax val="0"/>
          <dgm:chPref val="0"/>
          <dgm:bulletEnabled val="1"/>
        </dgm:presLayoutVars>
      </dgm:prSet>
      <dgm:spPr>
        <a:prstGeom prst="rect">
          <a:avLst/>
        </a:prstGeom>
      </dgm:spPr>
      <dgm:t>
        <a:bodyPr/>
        <a:lstStyle/>
        <a:p>
          <a:endParaRPr lang="en-GB"/>
        </a:p>
      </dgm:t>
    </dgm:pt>
    <dgm:pt modelId="{A179EB2D-A34C-4DF1-A8B2-FDDA587CD686}" type="pres">
      <dgm:prSet presAssocID="{987FF4E1-11E5-4A55-BF68-C8E6E98505DB}" presName="BalanceSpacing" presStyleCnt="0"/>
      <dgm:spPr/>
    </dgm:pt>
    <dgm:pt modelId="{6976676C-76C4-4E41-8729-8381623B5642}" type="pres">
      <dgm:prSet presAssocID="{987FF4E1-11E5-4A55-BF68-C8E6E98505DB}" presName="BalanceSpacing1" presStyleCnt="0"/>
      <dgm:spPr/>
    </dgm:pt>
    <dgm:pt modelId="{1C42C20C-4027-4E49-9697-13DBAD6A53F7}" type="pres">
      <dgm:prSet presAssocID="{91C8E5AF-9661-40DF-A218-4FA97A4C1058}" presName="Accent1Text" presStyleLbl="node1" presStyleIdx="3" presStyleCnt="6" custScaleX="124986" custLinFactNeighborX="25058" custLinFactNeighborY="-10051"/>
      <dgm:spPr/>
      <dgm:t>
        <a:bodyPr/>
        <a:lstStyle/>
        <a:p>
          <a:endParaRPr lang="en-GB"/>
        </a:p>
      </dgm:t>
    </dgm:pt>
    <dgm:pt modelId="{D640D67C-C314-4AE9-8578-F2CF1928096B}" type="pres">
      <dgm:prSet presAssocID="{91C8E5AF-9661-40DF-A218-4FA97A4C1058}" presName="spaceBetweenRectangles" presStyleCnt="0"/>
      <dgm:spPr/>
    </dgm:pt>
    <dgm:pt modelId="{E2322AD5-381E-4860-9536-9AB4E307544D}" type="pres">
      <dgm:prSet presAssocID="{3BE87FC1-BA17-4EAA-BAE0-D68643DBF1B1}" presName="composite" presStyleCnt="0"/>
      <dgm:spPr/>
    </dgm:pt>
    <dgm:pt modelId="{55BA1957-3959-4952-9675-081F58A51091}" type="pres">
      <dgm:prSet presAssocID="{3BE87FC1-BA17-4EAA-BAE0-D68643DBF1B1}" presName="Parent1" presStyleLbl="node1" presStyleIdx="4" presStyleCnt="6" custScaleX="141561" custLinFactNeighborX="21064" custLinFactNeighborY="-15577">
        <dgm:presLayoutVars>
          <dgm:chMax val="1"/>
          <dgm:chPref val="1"/>
          <dgm:bulletEnabled val="1"/>
        </dgm:presLayoutVars>
      </dgm:prSet>
      <dgm:spPr/>
      <dgm:t>
        <a:bodyPr/>
        <a:lstStyle/>
        <a:p>
          <a:endParaRPr lang="en-GB"/>
        </a:p>
      </dgm:t>
    </dgm:pt>
    <dgm:pt modelId="{29FBBE38-48D6-4FBA-BD63-A7BBDF4535CF}" type="pres">
      <dgm:prSet presAssocID="{3BE87FC1-BA17-4EAA-BAE0-D68643DBF1B1}" presName="Childtext1" presStyleLbl="revTx" presStyleIdx="2" presStyleCnt="3">
        <dgm:presLayoutVars>
          <dgm:chMax val="0"/>
          <dgm:chPref val="0"/>
          <dgm:bulletEnabled val="1"/>
        </dgm:presLayoutVars>
      </dgm:prSet>
      <dgm:spPr/>
      <dgm:t>
        <a:bodyPr/>
        <a:lstStyle/>
        <a:p>
          <a:endParaRPr lang="en-GB"/>
        </a:p>
      </dgm:t>
    </dgm:pt>
    <dgm:pt modelId="{55FB4B8E-842F-4753-B106-92DBBA44F79A}" type="pres">
      <dgm:prSet presAssocID="{3BE87FC1-BA17-4EAA-BAE0-D68643DBF1B1}" presName="BalanceSpacing" presStyleCnt="0"/>
      <dgm:spPr/>
    </dgm:pt>
    <dgm:pt modelId="{3EC8604B-43C4-403D-9907-439A9478FF75}" type="pres">
      <dgm:prSet presAssocID="{3BE87FC1-BA17-4EAA-BAE0-D68643DBF1B1}" presName="BalanceSpacing1" presStyleCnt="0"/>
      <dgm:spPr/>
    </dgm:pt>
    <dgm:pt modelId="{EA55A358-915C-4E09-B1C0-1E9096D0330D}" type="pres">
      <dgm:prSet presAssocID="{E9AFCAF5-1425-45B5-BF21-30E98F5B53DD}" presName="Accent1Text" presStyleLbl="node1" presStyleIdx="5" presStyleCnt="6" custScaleX="124800" custLinFactNeighborX="-7372" custLinFactNeighborY="-14660"/>
      <dgm:spPr/>
      <dgm:t>
        <a:bodyPr/>
        <a:lstStyle/>
        <a:p>
          <a:endParaRPr lang="en-GB"/>
        </a:p>
      </dgm:t>
    </dgm:pt>
  </dgm:ptLst>
  <dgm:cxnLst>
    <dgm:cxn modelId="{F1189441-2AC4-4DCF-ABAB-98FDA0C93BA5}" type="presOf" srcId="{91C8E5AF-9661-40DF-A218-4FA97A4C1058}" destId="{1C42C20C-4027-4E49-9697-13DBAD6A53F7}" srcOrd="0" destOrd="0" presId="urn:microsoft.com/office/officeart/2008/layout/AlternatingHexagons"/>
    <dgm:cxn modelId="{280EA52A-5B70-4254-994A-19DF72313D98}" type="presOf" srcId="{91566C99-0390-4F6C-AB5D-1377EA79E242}" destId="{9380FED0-5D58-4866-A095-9F53FC55FFFA}" srcOrd="0" destOrd="0" presId="urn:microsoft.com/office/officeart/2008/layout/AlternatingHexagons"/>
    <dgm:cxn modelId="{7B601964-E0FB-4ADA-97FB-25438422EDE8}" type="presOf" srcId="{C37437E1-5565-4665-ABD2-B55CBE018D6C}" destId="{A21C7745-9080-4237-AF6B-C9992F47EC6F}" srcOrd="0" destOrd="0" presId="urn:microsoft.com/office/officeart/2008/layout/AlternatingHexagons"/>
    <dgm:cxn modelId="{440F0E32-C72C-4053-9FA8-F39AE8C72FC1}" type="presOf" srcId="{A9798BE5-E4B2-4BE1-B411-A765642B32F0}" destId="{DF718F04-D26A-457F-B24C-A3E5F5AADF9D}" srcOrd="0" destOrd="0" presId="urn:microsoft.com/office/officeart/2008/layout/AlternatingHexagons"/>
    <dgm:cxn modelId="{DFEFED17-CB06-4EDF-BD98-D14DD1E937A4}" type="presOf" srcId="{3BE87FC1-BA17-4EAA-BAE0-D68643DBF1B1}" destId="{55BA1957-3959-4952-9675-081F58A51091}" srcOrd="0" destOrd="0" presId="urn:microsoft.com/office/officeart/2008/layout/AlternatingHexagons"/>
    <dgm:cxn modelId="{39DB51B8-A5E8-420F-BC57-3E737696D151}" srcId="{C37437E1-5565-4665-ABD2-B55CBE018D6C}" destId="{987FF4E1-11E5-4A55-BF68-C8E6E98505DB}" srcOrd="1" destOrd="0" parTransId="{549C7FF6-6765-4247-98D7-173E011A3542}" sibTransId="{91C8E5AF-9661-40DF-A218-4FA97A4C1058}"/>
    <dgm:cxn modelId="{698E2ACE-0333-4C2A-BBBE-D8F38B12A338}" srcId="{C37437E1-5565-4665-ABD2-B55CBE018D6C}" destId="{AAC02890-1DCA-4F4F-88BC-84D967B72189}" srcOrd="0" destOrd="0" parTransId="{CE747B65-2924-442B-906A-70F976AE72BB}" sibTransId="{91566C99-0390-4F6C-AB5D-1377EA79E242}"/>
    <dgm:cxn modelId="{8C81589F-E1D8-42B9-8364-D184366993AA}" srcId="{987FF4E1-11E5-4A55-BF68-C8E6E98505DB}" destId="{A9798BE5-E4B2-4BE1-B411-A765642B32F0}" srcOrd="0" destOrd="0" parTransId="{644FD205-341E-4F86-947C-97C0F58A60DA}" sibTransId="{63806876-664C-4891-A5B9-84765A09E170}"/>
    <dgm:cxn modelId="{7B6A28C1-7735-4CB9-9DA7-F58407F880D0}" type="presOf" srcId="{987FF4E1-11E5-4A55-BF68-C8E6E98505DB}" destId="{0D299D68-5F57-4DAA-B7DA-E7A1769245AC}" srcOrd="0" destOrd="0" presId="urn:microsoft.com/office/officeart/2008/layout/AlternatingHexagons"/>
    <dgm:cxn modelId="{92327396-205C-47AD-9A3D-0E2295CA0571}" type="presOf" srcId="{E9AFCAF5-1425-45B5-BF21-30E98F5B53DD}" destId="{EA55A358-915C-4E09-B1C0-1E9096D0330D}" srcOrd="0" destOrd="0" presId="urn:microsoft.com/office/officeart/2008/layout/AlternatingHexagons"/>
    <dgm:cxn modelId="{78BFACE2-F097-42E7-8553-83B2EB907CB4}" type="presOf" srcId="{0F4AB2DC-5FA2-4220-936B-7DB4E9B87E10}" destId="{29FBBE38-48D6-4FBA-BD63-A7BBDF4535CF}" srcOrd="0" destOrd="0" presId="urn:microsoft.com/office/officeart/2008/layout/AlternatingHexagons"/>
    <dgm:cxn modelId="{47F44B4C-F92D-4E9A-9424-CA5B3E6A11CE}" srcId="{3BE87FC1-BA17-4EAA-BAE0-D68643DBF1B1}" destId="{0F4AB2DC-5FA2-4220-936B-7DB4E9B87E10}" srcOrd="0" destOrd="0" parTransId="{B973F15C-0BBD-4333-B252-D75AA49665B3}" sibTransId="{31B186EB-F679-4300-84A4-B5E55948A850}"/>
    <dgm:cxn modelId="{911A7959-EFD7-4AE0-8378-6D6592D0ED0E}" type="presOf" srcId="{AAC02890-1DCA-4F4F-88BC-84D967B72189}" destId="{C668189B-262D-4CC2-B53F-E7B1DE7EBD8B}" srcOrd="0" destOrd="0" presId="urn:microsoft.com/office/officeart/2008/layout/AlternatingHexagons"/>
    <dgm:cxn modelId="{B7F8F207-6813-4DBC-8DCC-A7713542B44C}" srcId="{C37437E1-5565-4665-ABD2-B55CBE018D6C}" destId="{3BE87FC1-BA17-4EAA-BAE0-D68643DBF1B1}" srcOrd="2" destOrd="0" parTransId="{2EFB23D5-B9AE-4F2C-9514-CC1719A0EAF4}" sibTransId="{E9AFCAF5-1425-45B5-BF21-30E98F5B53DD}"/>
    <dgm:cxn modelId="{400A9CCB-4691-44DA-9A53-6D680C59AF05}" type="presParOf" srcId="{A21C7745-9080-4237-AF6B-C9992F47EC6F}" destId="{91130E3D-7F91-41B3-87D1-0D19BC779E4C}" srcOrd="0" destOrd="0" presId="urn:microsoft.com/office/officeart/2008/layout/AlternatingHexagons"/>
    <dgm:cxn modelId="{38ECB27A-C4D5-4119-922A-3497526C02B7}" type="presParOf" srcId="{91130E3D-7F91-41B3-87D1-0D19BC779E4C}" destId="{C668189B-262D-4CC2-B53F-E7B1DE7EBD8B}" srcOrd="0" destOrd="0" presId="urn:microsoft.com/office/officeart/2008/layout/AlternatingHexagons"/>
    <dgm:cxn modelId="{52739D10-0452-470F-80B3-33B4790E0636}" type="presParOf" srcId="{91130E3D-7F91-41B3-87D1-0D19BC779E4C}" destId="{B3CCDEE8-18AD-490E-94FC-911D8A8E54DA}" srcOrd="1" destOrd="0" presId="urn:microsoft.com/office/officeart/2008/layout/AlternatingHexagons"/>
    <dgm:cxn modelId="{C2D5955A-C3C1-48AC-94BA-428A84622C34}" type="presParOf" srcId="{91130E3D-7F91-41B3-87D1-0D19BC779E4C}" destId="{298AC29A-5E41-4D2D-9C93-1B7E87C481F9}" srcOrd="2" destOrd="0" presId="urn:microsoft.com/office/officeart/2008/layout/AlternatingHexagons"/>
    <dgm:cxn modelId="{661B3FF4-6C7E-4BBC-B74A-DF9C4B48764A}" type="presParOf" srcId="{91130E3D-7F91-41B3-87D1-0D19BC779E4C}" destId="{E0488126-B863-4FA2-9A38-586F6748DD24}" srcOrd="3" destOrd="0" presId="urn:microsoft.com/office/officeart/2008/layout/AlternatingHexagons"/>
    <dgm:cxn modelId="{6FB21C64-A69C-4EDD-8356-08927988AF49}" type="presParOf" srcId="{91130E3D-7F91-41B3-87D1-0D19BC779E4C}" destId="{9380FED0-5D58-4866-A095-9F53FC55FFFA}" srcOrd="4" destOrd="0" presId="urn:microsoft.com/office/officeart/2008/layout/AlternatingHexagons"/>
    <dgm:cxn modelId="{A9779987-F7A5-4B55-A9DB-FAFC3E3EABE2}" type="presParOf" srcId="{A21C7745-9080-4237-AF6B-C9992F47EC6F}" destId="{0FB3D43F-0824-40F2-BD20-5A92F3B15965}" srcOrd="1" destOrd="0" presId="urn:microsoft.com/office/officeart/2008/layout/AlternatingHexagons"/>
    <dgm:cxn modelId="{225454B8-F1F2-42D0-B1F5-6647E9CFDEFD}" type="presParOf" srcId="{A21C7745-9080-4237-AF6B-C9992F47EC6F}" destId="{71F3DB16-6154-4325-8D1A-C18B5ADD0F8D}" srcOrd="2" destOrd="0" presId="urn:microsoft.com/office/officeart/2008/layout/AlternatingHexagons"/>
    <dgm:cxn modelId="{099C3039-C1DD-4F41-96BB-AD20B5A4CD0A}" type="presParOf" srcId="{71F3DB16-6154-4325-8D1A-C18B5ADD0F8D}" destId="{0D299D68-5F57-4DAA-B7DA-E7A1769245AC}" srcOrd="0" destOrd="0" presId="urn:microsoft.com/office/officeart/2008/layout/AlternatingHexagons"/>
    <dgm:cxn modelId="{2318D162-13F0-43DC-BDC4-35FB59ED108F}" type="presParOf" srcId="{71F3DB16-6154-4325-8D1A-C18B5ADD0F8D}" destId="{DF718F04-D26A-457F-B24C-A3E5F5AADF9D}" srcOrd="1" destOrd="0" presId="urn:microsoft.com/office/officeart/2008/layout/AlternatingHexagons"/>
    <dgm:cxn modelId="{5CB221E9-2298-4547-AE93-DD89F42CE529}" type="presParOf" srcId="{71F3DB16-6154-4325-8D1A-C18B5ADD0F8D}" destId="{A179EB2D-A34C-4DF1-A8B2-FDDA587CD686}" srcOrd="2" destOrd="0" presId="urn:microsoft.com/office/officeart/2008/layout/AlternatingHexagons"/>
    <dgm:cxn modelId="{8E327E16-54E7-4A9F-AD67-1D1C56BE211B}" type="presParOf" srcId="{71F3DB16-6154-4325-8D1A-C18B5ADD0F8D}" destId="{6976676C-76C4-4E41-8729-8381623B5642}" srcOrd="3" destOrd="0" presId="urn:microsoft.com/office/officeart/2008/layout/AlternatingHexagons"/>
    <dgm:cxn modelId="{247C4068-0508-4D50-AEE4-86816D8A123D}" type="presParOf" srcId="{71F3DB16-6154-4325-8D1A-C18B5ADD0F8D}" destId="{1C42C20C-4027-4E49-9697-13DBAD6A53F7}" srcOrd="4" destOrd="0" presId="urn:microsoft.com/office/officeart/2008/layout/AlternatingHexagons"/>
    <dgm:cxn modelId="{916252FA-2AEB-4326-A9E9-163F99B08BA5}" type="presParOf" srcId="{A21C7745-9080-4237-AF6B-C9992F47EC6F}" destId="{D640D67C-C314-4AE9-8578-F2CF1928096B}" srcOrd="3" destOrd="0" presId="urn:microsoft.com/office/officeart/2008/layout/AlternatingHexagons"/>
    <dgm:cxn modelId="{42A6FB32-39A6-42AE-827E-2078F8F03DBA}" type="presParOf" srcId="{A21C7745-9080-4237-AF6B-C9992F47EC6F}" destId="{E2322AD5-381E-4860-9536-9AB4E307544D}" srcOrd="4" destOrd="0" presId="urn:microsoft.com/office/officeart/2008/layout/AlternatingHexagons"/>
    <dgm:cxn modelId="{07CE0D2F-0F6E-4C7E-8756-E86FC4885E2D}" type="presParOf" srcId="{E2322AD5-381E-4860-9536-9AB4E307544D}" destId="{55BA1957-3959-4952-9675-081F58A51091}" srcOrd="0" destOrd="0" presId="urn:microsoft.com/office/officeart/2008/layout/AlternatingHexagons"/>
    <dgm:cxn modelId="{4B41E049-8FA9-4A8C-8A73-77710F0F6BC8}" type="presParOf" srcId="{E2322AD5-381E-4860-9536-9AB4E307544D}" destId="{29FBBE38-48D6-4FBA-BD63-A7BBDF4535CF}" srcOrd="1" destOrd="0" presId="urn:microsoft.com/office/officeart/2008/layout/AlternatingHexagons"/>
    <dgm:cxn modelId="{82E7C291-58B9-4238-9CBB-6186A9C59501}" type="presParOf" srcId="{E2322AD5-381E-4860-9536-9AB4E307544D}" destId="{55FB4B8E-842F-4753-B106-92DBBA44F79A}" srcOrd="2" destOrd="0" presId="urn:microsoft.com/office/officeart/2008/layout/AlternatingHexagons"/>
    <dgm:cxn modelId="{6E3EDD1A-5254-4F33-B558-8F3AE2B32391}" type="presParOf" srcId="{E2322AD5-381E-4860-9536-9AB4E307544D}" destId="{3EC8604B-43C4-403D-9907-439A9478FF75}" srcOrd="3" destOrd="0" presId="urn:microsoft.com/office/officeart/2008/layout/AlternatingHexagons"/>
    <dgm:cxn modelId="{FC1B5FA2-1A76-4A53-BCEC-4DCE2659951F}" type="presParOf" srcId="{E2322AD5-381E-4860-9536-9AB4E307544D}" destId="{EA55A358-915C-4E09-B1C0-1E9096D0330D}" srcOrd="4" destOrd="0" presId="urn:microsoft.com/office/officeart/2008/layout/AlternatingHexagon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68189B-262D-4CC2-B53F-E7B1DE7EBD8B}">
      <dsp:nvSpPr>
        <dsp:cNvPr id="0" name=""/>
        <dsp:cNvSpPr/>
      </dsp:nvSpPr>
      <dsp:spPr>
        <a:xfrm rot="5400000">
          <a:off x="3076432" y="-37620"/>
          <a:ext cx="1153157" cy="1251149"/>
        </a:xfrm>
        <a:prstGeom prst="hexagon">
          <a:avLst>
            <a:gd name="adj" fmla="val 25000"/>
            <a:gd name="vf" fmla="val 11547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Arial" panose="020B0604020202020204" pitchFamily="34" charset="0"/>
              <a:ea typeface="+mn-ea"/>
              <a:cs typeface="Arial" panose="020B0604020202020204" pitchFamily="34" charset="0"/>
            </a:rPr>
            <a:t>Members aged from 16 to 103</a:t>
          </a:r>
        </a:p>
      </dsp:txBody>
      <dsp:txXfrm rot="-5400000">
        <a:off x="3235961" y="203569"/>
        <a:ext cx="834099" cy="768771"/>
      </dsp:txXfrm>
    </dsp:sp>
    <dsp:sp modelId="{B3CCDEE8-18AD-490E-94FC-911D8A8E54DA}">
      <dsp:nvSpPr>
        <dsp:cNvPr id="0" name=""/>
        <dsp:cNvSpPr/>
      </dsp:nvSpPr>
      <dsp:spPr>
        <a:xfrm>
          <a:off x="4068852" y="231444"/>
          <a:ext cx="1286923" cy="691894"/>
        </a:xfrm>
        <a:prstGeom prst="rect">
          <a:avLst/>
        </a:prstGeom>
        <a:noFill/>
        <a:ln>
          <a:noFill/>
        </a:ln>
        <a:effectLst/>
      </dsp:spPr>
      <dsp:style>
        <a:lnRef idx="0">
          <a:scrgbClr r="0" g="0" b="0"/>
        </a:lnRef>
        <a:fillRef idx="0">
          <a:scrgbClr r="0" g="0" b="0"/>
        </a:fillRef>
        <a:effectRef idx="0">
          <a:scrgbClr r="0" g="0" b="0"/>
        </a:effectRef>
        <a:fontRef idx="minor"/>
      </dsp:style>
    </dsp:sp>
    <dsp:sp modelId="{9380FED0-5D58-4866-A095-9F53FC55FFFA}">
      <dsp:nvSpPr>
        <dsp:cNvPr id="0" name=""/>
        <dsp:cNvSpPr/>
      </dsp:nvSpPr>
      <dsp:spPr>
        <a:xfrm rot="5400000">
          <a:off x="1824801" y="-22128"/>
          <a:ext cx="1153157" cy="1197415"/>
        </a:xfrm>
        <a:prstGeom prst="hexagon">
          <a:avLst>
            <a:gd name="adj" fmla="val 25000"/>
            <a:gd name="vf" fmla="val 115470"/>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GB" sz="3600" kern="1200">
            <a:gradFill rotWithShape="0">
              <a:gsLst>
                <a:gs pos="40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atin typeface="Calibri"/>
            <a:ea typeface="+mn-ea"/>
            <a:cs typeface="+mn-cs"/>
          </a:endParaRPr>
        </a:p>
      </dsp:txBody>
      <dsp:txXfrm rot="-5400000">
        <a:off x="2002241" y="192194"/>
        <a:ext cx="798277" cy="768771"/>
      </dsp:txXfrm>
    </dsp:sp>
    <dsp:sp modelId="{0D299D68-5F57-4DAA-B7DA-E7A1769245AC}">
      <dsp:nvSpPr>
        <dsp:cNvPr id="0" name=""/>
        <dsp:cNvSpPr/>
      </dsp:nvSpPr>
      <dsp:spPr>
        <a:xfrm rot="5400000">
          <a:off x="2426102" y="856233"/>
          <a:ext cx="1197092" cy="1295924"/>
        </a:xfrm>
        <a:prstGeom prst="hexagon">
          <a:avLst>
            <a:gd name="adj" fmla="val 25000"/>
            <a:gd name="vf" fmla="val 11547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Arial" panose="020B0604020202020204" pitchFamily="34" charset="0"/>
              <a:ea typeface="+mn-ea"/>
              <a:cs typeface="Arial" panose="020B0604020202020204" pitchFamily="34" charset="0"/>
            </a:rPr>
            <a:t>Average pension in payment £5,056.82</a:t>
          </a:r>
        </a:p>
      </dsp:txBody>
      <dsp:txXfrm rot="-5400000">
        <a:off x="2592673" y="1105164"/>
        <a:ext cx="863950" cy="798062"/>
      </dsp:txXfrm>
    </dsp:sp>
    <dsp:sp modelId="{DF718F04-D26A-457F-B24C-A3E5F5AADF9D}">
      <dsp:nvSpPr>
        <dsp:cNvPr id="0" name=""/>
        <dsp:cNvSpPr/>
      </dsp:nvSpPr>
      <dsp:spPr>
        <a:xfrm>
          <a:off x="1204408" y="1232212"/>
          <a:ext cx="1245410" cy="6918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1920" tIns="121920" rIns="121920" bIns="121920" numCol="1" spcCol="1270" anchor="ctr" anchorCtr="0">
          <a:noAutofit/>
        </a:bodyPr>
        <a:lstStyle/>
        <a:p>
          <a:pPr lvl="0" algn="r" defTabSz="1422400">
            <a:lnSpc>
              <a:spcPct val="90000"/>
            </a:lnSpc>
            <a:spcBef>
              <a:spcPct val="0"/>
            </a:spcBef>
            <a:spcAft>
              <a:spcPct val="35000"/>
            </a:spcAft>
          </a:pPr>
          <a:endParaRPr lang="en-GB" sz="3200" kern="1200">
            <a:solidFill>
              <a:sysClr val="windowText" lastClr="000000">
                <a:hueOff val="0"/>
                <a:satOff val="0"/>
                <a:lumOff val="0"/>
                <a:alphaOff val="0"/>
              </a:sysClr>
            </a:solidFill>
            <a:latin typeface="Calibri"/>
            <a:ea typeface="+mn-ea"/>
            <a:cs typeface="+mn-cs"/>
          </a:endParaRPr>
        </a:p>
      </dsp:txBody>
      <dsp:txXfrm>
        <a:off x="1204408" y="1232212"/>
        <a:ext cx="1245410" cy="691894"/>
      </dsp:txXfrm>
    </dsp:sp>
    <dsp:sp modelId="{1C42C20C-4027-4E49-9697-13DBAD6A53F7}">
      <dsp:nvSpPr>
        <dsp:cNvPr id="0" name=""/>
        <dsp:cNvSpPr/>
      </dsp:nvSpPr>
      <dsp:spPr>
        <a:xfrm rot="5400000">
          <a:off x="3751277" y="835296"/>
          <a:ext cx="1153157" cy="1253918"/>
        </a:xfrm>
        <a:prstGeom prst="hexagon">
          <a:avLst>
            <a:gd name="adj" fmla="val 25000"/>
            <a:gd name="vf" fmla="val 11547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GB" sz="3600" kern="1200"/>
        </a:p>
      </dsp:txBody>
      <dsp:txXfrm rot="-5400000">
        <a:off x="3909883" y="1077869"/>
        <a:ext cx="835946" cy="768771"/>
      </dsp:txXfrm>
    </dsp:sp>
    <dsp:sp modelId="{55BA1957-3959-4952-9675-081F58A51091}">
      <dsp:nvSpPr>
        <dsp:cNvPr id="0" name=""/>
        <dsp:cNvSpPr/>
      </dsp:nvSpPr>
      <dsp:spPr>
        <a:xfrm rot="5400000">
          <a:off x="3171530" y="1689196"/>
          <a:ext cx="1153157" cy="1420206"/>
        </a:xfrm>
        <a:prstGeom prst="hexagon">
          <a:avLst>
            <a:gd name="adj" fmla="val 25000"/>
            <a:gd name="vf" fmla="val 11547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latin typeface="Arial" panose="020B0604020202020204" pitchFamily="34" charset="0"/>
              <a:ea typeface="+mn-ea"/>
              <a:cs typeface="Arial" panose="020B0604020202020204" pitchFamily="34" charset="0"/>
            </a:rPr>
            <a:t>Average spouses pension £2,789.18</a:t>
          </a:r>
        </a:p>
      </dsp:txBody>
      <dsp:txXfrm rot="-5400000">
        <a:off x="3274707" y="2014913"/>
        <a:ext cx="946804" cy="768771"/>
      </dsp:txXfrm>
    </dsp:sp>
    <dsp:sp modelId="{29FBBE38-48D6-4FBA-BD63-A7BBDF4535CF}">
      <dsp:nvSpPr>
        <dsp:cNvPr id="0" name=""/>
        <dsp:cNvSpPr/>
      </dsp:nvSpPr>
      <dsp:spPr>
        <a:xfrm>
          <a:off x="4068852" y="2232979"/>
          <a:ext cx="1286923" cy="6918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1920" tIns="121920" rIns="121920" bIns="121920" numCol="1" spcCol="1270" anchor="ctr" anchorCtr="0">
          <a:noAutofit/>
        </a:bodyPr>
        <a:lstStyle/>
        <a:p>
          <a:pPr lvl="0" algn="l" defTabSz="1422400">
            <a:lnSpc>
              <a:spcPct val="90000"/>
            </a:lnSpc>
            <a:spcBef>
              <a:spcPct val="0"/>
            </a:spcBef>
            <a:spcAft>
              <a:spcPct val="35000"/>
            </a:spcAft>
          </a:pPr>
          <a:endParaRPr lang="en-GB" sz="3200" kern="1200">
            <a:solidFill>
              <a:sysClr val="windowText" lastClr="000000">
                <a:hueOff val="0"/>
                <a:satOff val="0"/>
                <a:lumOff val="0"/>
                <a:alphaOff val="0"/>
              </a:sysClr>
            </a:solidFill>
            <a:latin typeface="Calibri"/>
            <a:ea typeface="+mn-ea"/>
            <a:cs typeface="+mn-cs"/>
          </a:endParaRPr>
        </a:p>
      </dsp:txBody>
      <dsp:txXfrm>
        <a:off x="4068852" y="2232979"/>
        <a:ext cx="1286923" cy="691894"/>
      </dsp:txXfrm>
    </dsp:sp>
    <dsp:sp modelId="{EA55A358-915C-4E09-B1C0-1E9096D0330D}">
      <dsp:nvSpPr>
        <dsp:cNvPr id="0" name=""/>
        <dsp:cNvSpPr/>
      </dsp:nvSpPr>
      <dsp:spPr>
        <a:xfrm rot="5400000">
          <a:off x="1802740" y="1783848"/>
          <a:ext cx="1153157" cy="1252052"/>
        </a:xfrm>
        <a:prstGeom prst="hexagon">
          <a:avLst>
            <a:gd name="adj" fmla="val 25000"/>
            <a:gd name="vf" fmla="val 115470"/>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en-GB" sz="3600" kern="1200">
            <a:solidFill>
              <a:sysClr val="window" lastClr="FFFFFF"/>
            </a:solidFill>
            <a:latin typeface="Calibri"/>
            <a:ea typeface="+mn-ea"/>
            <a:cs typeface="+mn-cs"/>
          </a:endParaRPr>
        </a:p>
      </dsp:txBody>
      <dsp:txXfrm rot="-5400000">
        <a:off x="1961968" y="2025488"/>
        <a:ext cx="834702" cy="768771"/>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281A1-FFC0-4325-BF55-72F12EA9F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(2).dot</Template>
  <TotalTime>26</TotalTime>
  <Pages>112</Pages>
  <Words>30982</Words>
  <Characters>176599</Characters>
  <Application>Microsoft Office Word</Application>
  <DocSecurity>0</DocSecurity>
  <Lines>1471</Lines>
  <Paragraphs>414</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207167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Dodd, Marie</dc:creator>
  <cp:lastModifiedBy>Gorman, Dave</cp:lastModifiedBy>
  <cp:revision>20</cp:revision>
  <cp:lastPrinted>2015-07-10T09:30:00Z</cp:lastPrinted>
  <dcterms:created xsi:type="dcterms:W3CDTF">2016-09-02T08:46:00Z</dcterms:created>
  <dcterms:modified xsi:type="dcterms:W3CDTF">2016-09-06T10:13:00Z</dcterms:modified>
</cp:coreProperties>
</file>